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02BEA" w14:textId="77777777" w:rsidR="00824704" w:rsidRDefault="00824704" w:rsidP="00656EB9">
      <w:pPr>
        <w:spacing w:before="240" w:line="360" w:lineRule="auto"/>
        <w:jc w:val="center"/>
        <w:rPr>
          <w:b/>
          <w:lang w:val="en-GB"/>
        </w:rPr>
      </w:pPr>
    </w:p>
    <w:p w14:paraId="3DB300B6" w14:textId="7AD72DD5" w:rsidR="00BF25FE" w:rsidRDefault="00BF25FE" w:rsidP="00C84403">
      <w:pPr>
        <w:spacing w:before="240" w:line="360" w:lineRule="auto"/>
        <w:jc w:val="center"/>
        <w:rPr>
          <w:b/>
          <w:lang w:val="en-GB"/>
        </w:rPr>
      </w:pPr>
      <w:r>
        <w:rPr>
          <w:b/>
          <w:lang w:val="en-GB"/>
        </w:rPr>
        <w:t>Global Citizenship and the Right of Access to Justic</w:t>
      </w:r>
      <w:r w:rsidR="00C84403">
        <w:rPr>
          <w:b/>
          <w:lang w:val="en-GB"/>
        </w:rPr>
        <w:t xml:space="preserve">e: </w:t>
      </w:r>
      <w:r w:rsidR="00263201">
        <w:rPr>
          <w:b/>
          <w:lang w:val="en-GB"/>
        </w:rPr>
        <w:t>Adapting T.H. Marshall’s Ideas</w:t>
      </w:r>
      <w:r w:rsidR="0089613C">
        <w:rPr>
          <w:b/>
          <w:lang w:val="en-GB"/>
        </w:rPr>
        <w:t xml:space="preserve"> </w:t>
      </w:r>
      <w:r w:rsidR="00263201">
        <w:rPr>
          <w:b/>
          <w:lang w:val="en-GB"/>
        </w:rPr>
        <w:t>to</w:t>
      </w:r>
      <w:r w:rsidR="0089613C">
        <w:rPr>
          <w:b/>
          <w:lang w:val="en-GB"/>
        </w:rPr>
        <w:t xml:space="preserve"> the</w:t>
      </w:r>
      <w:r w:rsidR="00263201">
        <w:rPr>
          <w:b/>
          <w:lang w:val="en-GB"/>
        </w:rPr>
        <w:t xml:space="preserve"> Interconnected World</w:t>
      </w:r>
    </w:p>
    <w:p w14:paraId="203772CC" w14:textId="62A26B78" w:rsidR="0043169B" w:rsidRDefault="00824704" w:rsidP="0043169B">
      <w:pPr>
        <w:spacing w:before="240" w:line="360" w:lineRule="auto"/>
        <w:jc w:val="right"/>
        <w:rPr>
          <w:bCs/>
          <w:i/>
          <w:iCs/>
          <w:lang w:val="en-GB"/>
        </w:rPr>
      </w:pPr>
      <w:r w:rsidRPr="004F4C9F">
        <w:rPr>
          <w:bCs/>
          <w:i/>
          <w:iCs/>
          <w:lang w:val="en-GB"/>
        </w:rPr>
        <w:t>Marina Aksenova</w:t>
      </w:r>
      <w:r w:rsidR="007A4DF1" w:rsidRPr="004F4C9F">
        <w:rPr>
          <w:rStyle w:val="EndnoteReference"/>
          <w:bCs/>
          <w:i/>
          <w:iCs/>
          <w:lang w:val="en-GB"/>
        </w:rPr>
        <w:endnoteReference w:customMarkFollows="1" w:id="1"/>
        <w:sym w:font="Symbol" w:char="F02A"/>
      </w:r>
    </w:p>
    <w:p w14:paraId="336F09C1" w14:textId="50BC4B52" w:rsidR="0043169B" w:rsidRDefault="0043169B" w:rsidP="00656EB9">
      <w:pPr>
        <w:spacing w:before="240" w:line="360" w:lineRule="auto"/>
        <w:jc w:val="right"/>
        <w:rPr>
          <w:bCs/>
          <w:i/>
          <w:iCs/>
          <w:lang w:val="en-GB"/>
        </w:rPr>
      </w:pPr>
      <w:r>
        <w:rPr>
          <w:bCs/>
          <w:i/>
          <w:iCs/>
          <w:lang w:val="en-GB"/>
        </w:rPr>
        <w:t>“We are all just walking each other home.”</w:t>
      </w:r>
    </w:p>
    <w:p w14:paraId="04DE85AD" w14:textId="4DF2E301" w:rsidR="0043169B" w:rsidRPr="0043169B" w:rsidRDefault="0043169B" w:rsidP="00656EB9">
      <w:pPr>
        <w:spacing w:before="240" w:line="360" w:lineRule="auto"/>
        <w:jc w:val="right"/>
        <w:rPr>
          <w:bCs/>
          <w:i/>
          <w:iCs/>
          <w:lang w:val="en-GB"/>
        </w:rPr>
      </w:pPr>
      <w:r w:rsidRPr="0043169B">
        <w:rPr>
          <w:bCs/>
          <w:i/>
          <w:iCs/>
          <w:lang w:val="en-GB"/>
        </w:rPr>
        <w:t xml:space="preserve">Ram </w:t>
      </w:r>
      <w:proofErr w:type="spellStart"/>
      <w:r w:rsidRPr="0043169B">
        <w:rPr>
          <w:bCs/>
          <w:i/>
          <w:iCs/>
          <w:lang w:val="en-GB"/>
        </w:rPr>
        <w:t>Dass</w:t>
      </w:r>
      <w:proofErr w:type="spellEnd"/>
    </w:p>
    <w:p w14:paraId="03D08361" w14:textId="070CA39F" w:rsidR="007A4DF1" w:rsidRPr="005F57CA" w:rsidRDefault="007A4DF1" w:rsidP="005F57CA">
      <w:pPr>
        <w:spacing w:before="240" w:line="360" w:lineRule="auto"/>
        <w:rPr>
          <w:b/>
          <w:lang w:val="en-GB"/>
        </w:rPr>
      </w:pPr>
      <w:r w:rsidRPr="005F57CA">
        <w:rPr>
          <w:b/>
          <w:lang w:val="en-GB"/>
        </w:rPr>
        <w:t>Abstract</w:t>
      </w:r>
    </w:p>
    <w:p w14:paraId="1AA37990" w14:textId="24272A1C" w:rsidR="007A4DF1" w:rsidRDefault="007A4DF1" w:rsidP="002D687F">
      <w:pPr>
        <w:spacing w:before="240" w:line="360" w:lineRule="auto"/>
        <w:rPr>
          <w:bCs/>
          <w:lang w:val="en-GB"/>
        </w:rPr>
      </w:pPr>
      <w:r>
        <w:rPr>
          <w:bCs/>
          <w:lang w:val="en-GB"/>
        </w:rPr>
        <w:t>The r</w:t>
      </w:r>
      <w:r w:rsidRPr="00AD4917">
        <w:rPr>
          <w:bCs/>
          <w:lang w:val="en-GB"/>
        </w:rPr>
        <w:t>ight of access to justice is both procedural in that it guarantees availability of certain recourse mechanism</w:t>
      </w:r>
      <w:r>
        <w:rPr>
          <w:bCs/>
          <w:lang w:val="en-GB"/>
        </w:rPr>
        <w:t>s, not necessarily limited to a purely judicial route via courts,</w:t>
      </w:r>
      <w:r w:rsidRPr="00AD4917">
        <w:rPr>
          <w:bCs/>
          <w:lang w:val="en-GB"/>
        </w:rPr>
        <w:t xml:space="preserve"> and a substantive entitlement allowing for the enforcement of the idea of justice</w:t>
      </w:r>
      <w:r>
        <w:rPr>
          <w:bCs/>
          <w:lang w:val="en-GB"/>
        </w:rPr>
        <w:t xml:space="preserve"> as</w:t>
      </w:r>
      <w:r w:rsidRPr="00AD4917">
        <w:rPr>
          <w:bCs/>
          <w:lang w:val="en-GB"/>
        </w:rPr>
        <w:t xml:space="preserve"> fairness in the context of present-day reality.</w:t>
      </w:r>
      <w:r>
        <w:rPr>
          <w:bCs/>
          <w:lang w:val="en-GB"/>
        </w:rPr>
        <w:t xml:space="preserve"> Right of access to justice as an attribute of the emerging global citizenship denotes our shared understanding that accountability comes in many forms and shapes, which are becoming gradually available to individuals and grassroots organisations on a global scale. This trend is powered by the technological advancements and the evolution of institutions tasked with ensuring world-wide interconnectedness. This paper critically engages with Thomas Marshall’s essay on citizenship published in 1950, arguing that despite </w:t>
      </w:r>
      <w:r w:rsidR="002F2DD4">
        <w:rPr>
          <w:bCs/>
          <w:lang w:val="en-GB"/>
        </w:rPr>
        <w:t>several</w:t>
      </w:r>
      <w:r>
        <w:rPr>
          <w:bCs/>
          <w:lang w:val="en-GB"/>
        </w:rPr>
        <w:t xml:space="preserve"> limitations that became apparent in recent decades, this work </w:t>
      </w:r>
      <w:r w:rsidR="008F0BA1">
        <w:rPr>
          <w:bCs/>
          <w:lang w:val="en-GB"/>
        </w:rPr>
        <w:t>is</w:t>
      </w:r>
      <w:r>
        <w:rPr>
          <w:bCs/>
          <w:lang w:val="en-GB"/>
        </w:rPr>
        <w:t xml:space="preserve"> an important signpost on the road to building a comprehensive account of global citizenship as a status belonging to all of humanity.</w:t>
      </w:r>
    </w:p>
    <w:p w14:paraId="11F113BF" w14:textId="4BD0585A" w:rsidR="007A4DF1" w:rsidRPr="005F57CA" w:rsidRDefault="007A4DF1" w:rsidP="005F57CA">
      <w:pPr>
        <w:spacing w:before="240" w:line="360" w:lineRule="auto"/>
        <w:rPr>
          <w:b/>
          <w:lang w:val="en-GB"/>
        </w:rPr>
      </w:pPr>
      <w:r w:rsidRPr="005F57CA">
        <w:rPr>
          <w:b/>
          <w:lang w:val="en-GB"/>
        </w:rPr>
        <w:t xml:space="preserve">Key words: </w:t>
      </w:r>
      <w:r w:rsidRPr="005F57CA">
        <w:rPr>
          <w:bCs/>
          <w:i/>
          <w:iCs/>
          <w:lang w:val="en-GB"/>
        </w:rPr>
        <w:t xml:space="preserve">global citizenship; natural law; </w:t>
      </w:r>
      <w:r w:rsidR="00F53F8B">
        <w:rPr>
          <w:bCs/>
          <w:i/>
          <w:iCs/>
          <w:lang w:val="en-GB"/>
        </w:rPr>
        <w:t xml:space="preserve">human dignity; </w:t>
      </w:r>
      <w:r w:rsidRPr="005F57CA">
        <w:rPr>
          <w:bCs/>
          <w:i/>
          <w:iCs/>
          <w:lang w:val="en-GB"/>
        </w:rPr>
        <w:t>access to justice; positivism</w:t>
      </w:r>
      <w:r>
        <w:rPr>
          <w:bCs/>
          <w:i/>
          <w:iCs/>
          <w:lang w:val="en-GB"/>
        </w:rPr>
        <w:t>; international law</w:t>
      </w:r>
      <w:r w:rsidR="002B1447">
        <w:rPr>
          <w:bCs/>
          <w:i/>
          <w:iCs/>
          <w:lang w:val="en-GB"/>
        </w:rPr>
        <w:t>; T.H. Marshall</w:t>
      </w:r>
    </w:p>
    <w:p w14:paraId="7DF2A60F" w14:textId="0DB8C0FE" w:rsidR="007A4DF1" w:rsidRPr="00FB1F33" w:rsidRDefault="007A4DF1" w:rsidP="00656EB9">
      <w:pPr>
        <w:pStyle w:val="ListParagraph"/>
        <w:numPr>
          <w:ilvl w:val="0"/>
          <w:numId w:val="1"/>
        </w:numPr>
        <w:spacing w:before="240" w:line="360" w:lineRule="auto"/>
        <w:rPr>
          <w:b/>
          <w:lang w:val="en-GB"/>
        </w:rPr>
      </w:pPr>
      <w:r>
        <w:rPr>
          <w:b/>
          <w:lang w:val="en-GB"/>
        </w:rPr>
        <w:t>Introduction</w:t>
      </w:r>
    </w:p>
    <w:p w14:paraId="58780F03" w14:textId="0D873A88" w:rsidR="00842C22" w:rsidRDefault="007A4DF1" w:rsidP="00656EB9">
      <w:pPr>
        <w:spacing w:before="240" w:line="360" w:lineRule="auto"/>
        <w:rPr>
          <w:bCs/>
          <w:lang w:val="en-GB"/>
        </w:rPr>
      </w:pPr>
      <w:r>
        <w:rPr>
          <w:bCs/>
          <w:lang w:val="en-GB"/>
        </w:rPr>
        <w:t>Thomas Marshall’s seminal essay ‘Citizenship and Social Class’ published in 1950</w:t>
      </w:r>
      <w:r>
        <w:rPr>
          <w:rStyle w:val="EndnoteReference"/>
          <w:bCs/>
          <w:lang w:val="en-GB"/>
        </w:rPr>
        <w:endnoteReference w:id="2"/>
      </w:r>
      <w:r>
        <w:rPr>
          <w:bCs/>
          <w:lang w:val="en-GB"/>
        </w:rPr>
        <w:t xml:space="preserve"> discusses the idea of citizenship as a status granting formal equality to all members of </w:t>
      </w:r>
      <w:r w:rsidR="0021715D">
        <w:rPr>
          <w:bCs/>
          <w:lang w:val="en-GB"/>
        </w:rPr>
        <w:t xml:space="preserve">a </w:t>
      </w:r>
      <w:r>
        <w:rPr>
          <w:bCs/>
          <w:lang w:val="en-GB"/>
        </w:rPr>
        <w:t xml:space="preserve">community. The same work enumerates categories of gradually evolving rights – civil, </w:t>
      </w:r>
      <w:proofErr w:type="gramStart"/>
      <w:r>
        <w:rPr>
          <w:bCs/>
          <w:lang w:val="en-GB"/>
        </w:rPr>
        <w:t>political</w:t>
      </w:r>
      <w:proofErr w:type="gramEnd"/>
      <w:r>
        <w:rPr>
          <w:bCs/>
          <w:lang w:val="en-GB"/>
        </w:rPr>
        <w:t xml:space="preserve"> and social – that belong to such status and </w:t>
      </w:r>
      <w:r w:rsidR="0021715D">
        <w:rPr>
          <w:bCs/>
          <w:lang w:val="en-GB"/>
        </w:rPr>
        <w:t xml:space="preserve">consolidate </w:t>
      </w:r>
      <w:r>
        <w:rPr>
          <w:bCs/>
          <w:lang w:val="en-GB"/>
        </w:rPr>
        <w:t xml:space="preserve">it. </w:t>
      </w:r>
    </w:p>
    <w:p w14:paraId="540E0B04" w14:textId="17DD3C64" w:rsidR="00C266D0" w:rsidRDefault="007A4DF1" w:rsidP="00656EB9">
      <w:pPr>
        <w:spacing w:before="240" w:line="360" w:lineRule="auto"/>
        <w:rPr>
          <w:bCs/>
          <w:lang w:val="en-GB"/>
        </w:rPr>
      </w:pPr>
      <w:r>
        <w:rPr>
          <w:bCs/>
          <w:lang w:val="en-GB"/>
        </w:rPr>
        <w:lastRenderedPageBreak/>
        <w:t xml:space="preserve">A modern observer can come up with </w:t>
      </w:r>
      <w:proofErr w:type="gramStart"/>
      <w:r>
        <w:rPr>
          <w:bCs/>
          <w:lang w:val="en-GB"/>
        </w:rPr>
        <w:t>a number of</w:t>
      </w:r>
      <w:proofErr w:type="gramEnd"/>
      <w:r>
        <w:rPr>
          <w:bCs/>
          <w:lang w:val="en-GB"/>
        </w:rPr>
        <w:t xml:space="preserve"> pertinent criticisms of Marshall’s work, such as his overly simplified and linear account of the various categories of rights underlying the status of citizenship, his exclusive focus on citizenship within one state and his disregard of how this notion functions outside of the nation state in question (</w:t>
      </w:r>
      <w:r w:rsidR="0021715D">
        <w:rPr>
          <w:bCs/>
          <w:lang w:val="en-GB"/>
        </w:rPr>
        <w:t xml:space="preserve">the </w:t>
      </w:r>
      <w:r>
        <w:rPr>
          <w:bCs/>
          <w:lang w:val="en-GB"/>
        </w:rPr>
        <w:t>United Kingdom), and finally, his undue focus on reconciling the irreconcilable – market forces and inequality. Marshall’s emphasis on one nation concealed the inherent privileges brought about by certain citizenship statuses and not other</w:t>
      </w:r>
      <w:r w:rsidR="0021715D">
        <w:rPr>
          <w:bCs/>
          <w:lang w:val="en-GB"/>
        </w:rPr>
        <w:t>s</w:t>
      </w:r>
      <w:r>
        <w:rPr>
          <w:bCs/>
          <w:lang w:val="en-GB"/>
        </w:rPr>
        <w:t>.</w:t>
      </w:r>
      <w:r>
        <w:rPr>
          <w:rStyle w:val="EndnoteReference"/>
          <w:bCs/>
          <w:lang w:val="en-GB"/>
        </w:rPr>
        <w:endnoteReference w:id="3"/>
      </w:r>
      <w:r>
        <w:rPr>
          <w:bCs/>
          <w:lang w:val="en-GB"/>
        </w:rPr>
        <w:t xml:space="preserve"> </w:t>
      </w:r>
    </w:p>
    <w:p w14:paraId="5DD8FD8F" w14:textId="77777777" w:rsidR="005701BA" w:rsidRDefault="007A4DF1" w:rsidP="00656EB9">
      <w:pPr>
        <w:spacing w:before="240" w:line="360" w:lineRule="auto"/>
        <w:rPr>
          <w:bCs/>
          <w:lang w:val="en-GB"/>
        </w:rPr>
      </w:pPr>
      <w:r>
        <w:rPr>
          <w:bCs/>
          <w:lang w:val="en-GB"/>
        </w:rPr>
        <w:t xml:space="preserve">This paper argues that despite obvious critical points, Marshall’s essay sets out </w:t>
      </w:r>
      <w:r w:rsidR="009026A2">
        <w:rPr>
          <w:bCs/>
          <w:lang w:val="en-GB"/>
        </w:rPr>
        <w:t xml:space="preserve">a </w:t>
      </w:r>
      <w:r>
        <w:rPr>
          <w:bCs/>
          <w:lang w:val="en-GB"/>
        </w:rPr>
        <w:t xml:space="preserve">relevant theoretical framework for contemporary study of the idea of global citizenship and its normative content, which consists of a </w:t>
      </w:r>
      <w:r w:rsidR="009A5E2F">
        <w:rPr>
          <w:bCs/>
          <w:lang w:val="en-GB"/>
        </w:rPr>
        <w:t>few</w:t>
      </w:r>
      <w:r>
        <w:rPr>
          <w:bCs/>
          <w:lang w:val="en-GB"/>
        </w:rPr>
        <w:t xml:space="preserve"> individual and collective rights slowly gaining traction </w:t>
      </w:r>
      <w:r w:rsidR="0021715D">
        <w:rPr>
          <w:bCs/>
          <w:lang w:val="en-GB"/>
        </w:rPr>
        <w:t>vis-à-vis the</w:t>
      </w:r>
      <w:r>
        <w:rPr>
          <w:bCs/>
          <w:lang w:val="en-GB"/>
        </w:rPr>
        <w:t xml:space="preserve"> international community. It is precisely the points of contention enumerated in the previous paragraph that make Marshall’s essay interesting for the supporters of the global human rights movement. The emphasis he placed on equality implicit in the status of a citizen of a certain state receives new meaning if seen from the perspective of </w:t>
      </w:r>
      <w:r w:rsidR="000301A9">
        <w:rPr>
          <w:bCs/>
          <w:lang w:val="en-GB"/>
        </w:rPr>
        <w:t xml:space="preserve">a </w:t>
      </w:r>
      <w:r>
        <w:rPr>
          <w:bCs/>
          <w:lang w:val="en-GB"/>
        </w:rPr>
        <w:t xml:space="preserve">global citizenship. </w:t>
      </w:r>
      <w:r w:rsidR="00A839FA">
        <w:rPr>
          <w:bCs/>
          <w:lang w:val="en-GB"/>
        </w:rPr>
        <w:t>The idea of a</w:t>
      </w:r>
      <w:r w:rsidR="00403852">
        <w:rPr>
          <w:bCs/>
          <w:lang w:val="en-GB"/>
        </w:rPr>
        <w:t xml:space="preserve">n inclusive worldwide </w:t>
      </w:r>
      <w:r w:rsidR="00A839FA">
        <w:rPr>
          <w:bCs/>
          <w:lang w:val="en-GB"/>
        </w:rPr>
        <w:t xml:space="preserve">community to which every individual belongs </w:t>
      </w:r>
      <w:r w:rsidR="00E770C4">
        <w:rPr>
          <w:bCs/>
          <w:lang w:val="en-GB"/>
        </w:rPr>
        <w:t xml:space="preserve">sets </w:t>
      </w:r>
      <w:r w:rsidR="00295568">
        <w:rPr>
          <w:bCs/>
          <w:lang w:val="en-GB"/>
        </w:rPr>
        <w:t>the</w:t>
      </w:r>
      <w:r w:rsidR="00E770C4">
        <w:rPr>
          <w:bCs/>
          <w:lang w:val="en-GB"/>
        </w:rPr>
        <w:t xml:space="preserve"> stage for </w:t>
      </w:r>
      <w:r w:rsidR="00403852">
        <w:rPr>
          <w:bCs/>
          <w:lang w:val="en-GB"/>
        </w:rPr>
        <w:t>a new account of equality that goes beyond merely economic or political privileges granted by national citizenship.</w:t>
      </w:r>
      <w:r w:rsidR="00A839FA">
        <w:rPr>
          <w:bCs/>
          <w:lang w:val="en-GB"/>
        </w:rPr>
        <w:t xml:space="preserve"> </w:t>
      </w:r>
      <w:r w:rsidR="00295568">
        <w:rPr>
          <w:bCs/>
          <w:lang w:val="en-GB"/>
        </w:rPr>
        <w:t>This version of</w:t>
      </w:r>
      <w:r w:rsidR="00C56E5C">
        <w:rPr>
          <w:bCs/>
          <w:lang w:val="en-GB"/>
        </w:rPr>
        <w:t xml:space="preserve"> equality is rooted in the idea of </w:t>
      </w:r>
      <w:r w:rsidR="00C56E5C" w:rsidRPr="00393E7C">
        <w:rPr>
          <w:bCs/>
          <w:lang w:val="en-GB"/>
        </w:rPr>
        <w:t>human dignity</w:t>
      </w:r>
      <w:r w:rsidR="00C56E5C">
        <w:rPr>
          <w:bCs/>
          <w:lang w:val="en-GB"/>
        </w:rPr>
        <w:t xml:space="preserve"> – a common core that unites people around the world beyond any specific identity</w:t>
      </w:r>
      <w:r w:rsidR="00486AC2">
        <w:rPr>
          <w:bCs/>
          <w:lang w:val="en-GB"/>
        </w:rPr>
        <w:t xml:space="preserve"> acquired through culture and nurture.</w:t>
      </w:r>
      <w:r w:rsidR="00A857F5">
        <w:rPr>
          <w:bCs/>
          <w:lang w:val="en-GB"/>
        </w:rPr>
        <w:t xml:space="preserve"> </w:t>
      </w:r>
    </w:p>
    <w:p w14:paraId="634D15F4" w14:textId="293B8426" w:rsidR="007A4DF1" w:rsidRDefault="00A857F5" w:rsidP="00656EB9">
      <w:pPr>
        <w:spacing w:before="240" w:line="360" w:lineRule="auto"/>
        <w:rPr>
          <w:bCs/>
          <w:lang w:val="en-GB"/>
        </w:rPr>
      </w:pPr>
      <w:r>
        <w:rPr>
          <w:bCs/>
          <w:lang w:val="en-GB"/>
        </w:rPr>
        <w:t>‘</w:t>
      </w:r>
      <w:r w:rsidR="005701BA">
        <w:rPr>
          <w:bCs/>
          <w:lang w:val="en-GB"/>
        </w:rPr>
        <w:t>H</w:t>
      </w:r>
      <w:r>
        <w:rPr>
          <w:bCs/>
          <w:lang w:val="en-GB"/>
        </w:rPr>
        <w:t xml:space="preserve">uman dignity’ as a term may not have a </w:t>
      </w:r>
      <w:r w:rsidR="005701BA">
        <w:rPr>
          <w:bCs/>
          <w:lang w:val="en-GB"/>
        </w:rPr>
        <w:t>static</w:t>
      </w:r>
      <w:r>
        <w:rPr>
          <w:bCs/>
          <w:lang w:val="en-GB"/>
        </w:rPr>
        <w:t xml:space="preserve"> definition, but </w:t>
      </w:r>
      <w:r w:rsidR="004127DE">
        <w:rPr>
          <w:bCs/>
          <w:lang w:val="en-GB"/>
        </w:rPr>
        <w:t xml:space="preserve">– in the words of Jeremy Waldron - </w:t>
      </w:r>
      <w:r>
        <w:rPr>
          <w:bCs/>
          <w:lang w:val="en-GB"/>
        </w:rPr>
        <w:t>it refers to the history of our attempts over centuries to say what is worthy about being an individual.</w:t>
      </w:r>
      <w:r w:rsidR="005701BA">
        <w:rPr>
          <w:rStyle w:val="EndnoteReference"/>
          <w:bCs/>
          <w:lang w:val="en-GB"/>
        </w:rPr>
        <w:endnoteReference w:id="4"/>
      </w:r>
      <w:r>
        <w:rPr>
          <w:bCs/>
          <w:lang w:val="en-GB"/>
        </w:rPr>
        <w:t xml:space="preserve"> In the context of this article, the </w:t>
      </w:r>
      <w:r w:rsidR="00176BEC">
        <w:rPr>
          <w:bCs/>
          <w:lang w:val="en-GB"/>
        </w:rPr>
        <w:t>term</w:t>
      </w:r>
      <w:r>
        <w:rPr>
          <w:bCs/>
          <w:lang w:val="en-GB"/>
        </w:rPr>
        <w:t xml:space="preserve"> is grounded in </w:t>
      </w:r>
      <w:r w:rsidRPr="001C3BD7">
        <w:rPr>
          <w:bCs/>
          <w:lang w:val="en-GB"/>
        </w:rPr>
        <w:t>Émile Durkheim</w:t>
      </w:r>
      <w:r>
        <w:rPr>
          <w:bCs/>
          <w:lang w:val="en-GB"/>
        </w:rPr>
        <w:t xml:space="preserve">’s later </w:t>
      </w:r>
      <w:r w:rsidR="004127DE">
        <w:rPr>
          <w:bCs/>
          <w:lang w:val="en-GB"/>
        </w:rPr>
        <w:t>writings</w:t>
      </w:r>
      <w:r>
        <w:rPr>
          <w:bCs/>
          <w:lang w:val="en-GB"/>
        </w:rPr>
        <w:t xml:space="preserve"> featuring prominently the idea of moral individualism weaving us together as people. This version of individualism, which </w:t>
      </w:r>
      <w:r w:rsidR="005701BA">
        <w:rPr>
          <w:bCs/>
          <w:lang w:val="en-GB"/>
        </w:rPr>
        <w:t xml:space="preserve">is </w:t>
      </w:r>
      <w:r>
        <w:rPr>
          <w:bCs/>
          <w:lang w:val="en-GB"/>
        </w:rPr>
        <w:t>neither utilitarian nor atomistic, is defined by our shared commitment to human dignity and rights.</w:t>
      </w:r>
      <w:r>
        <w:rPr>
          <w:rStyle w:val="EndnoteReference"/>
          <w:bCs/>
          <w:lang w:val="en-GB"/>
        </w:rPr>
        <w:endnoteReference w:id="5"/>
      </w:r>
      <w:r w:rsidR="005701BA">
        <w:rPr>
          <w:bCs/>
          <w:lang w:val="en-GB"/>
        </w:rPr>
        <w:t xml:space="preserve"> </w:t>
      </w:r>
      <w:r w:rsidR="00DC38F8">
        <w:rPr>
          <w:bCs/>
          <w:lang w:val="en-GB"/>
        </w:rPr>
        <w:t>Natural law</w:t>
      </w:r>
      <w:r w:rsidR="00E805B4">
        <w:rPr>
          <w:bCs/>
          <w:lang w:val="en-GB"/>
        </w:rPr>
        <w:t xml:space="preserve"> is</w:t>
      </w:r>
      <w:r w:rsidR="00DC38F8">
        <w:rPr>
          <w:bCs/>
          <w:lang w:val="en-GB"/>
        </w:rPr>
        <w:t xml:space="preserve"> then a normative vehicle to carry </w:t>
      </w:r>
      <w:r w:rsidR="00C272EB">
        <w:rPr>
          <w:bCs/>
          <w:lang w:val="en-GB"/>
        </w:rPr>
        <w:t>th</w:t>
      </w:r>
      <w:r w:rsidR="004127DE">
        <w:rPr>
          <w:bCs/>
          <w:lang w:val="en-GB"/>
        </w:rPr>
        <w:t>e</w:t>
      </w:r>
      <w:r w:rsidR="00C272EB">
        <w:rPr>
          <w:bCs/>
          <w:lang w:val="en-GB"/>
        </w:rPr>
        <w:t xml:space="preserve"> idea of global citizenship </w:t>
      </w:r>
      <w:r w:rsidR="0026543D">
        <w:rPr>
          <w:bCs/>
          <w:lang w:val="en-GB"/>
        </w:rPr>
        <w:t>encompassing</w:t>
      </w:r>
      <w:r w:rsidR="00C272EB">
        <w:rPr>
          <w:bCs/>
          <w:lang w:val="en-GB"/>
        </w:rPr>
        <w:t xml:space="preserve"> dignity. One of the most elaborate statements on natural law can be found in the works of </w:t>
      </w:r>
      <w:r w:rsidR="00C272EB" w:rsidRPr="001C3BD7">
        <w:rPr>
          <w:bCs/>
          <w:lang w:val="en-GB"/>
        </w:rPr>
        <w:t>Thomas Aquinas</w:t>
      </w:r>
      <w:r w:rsidR="00470D52">
        <w:rPr>
          <w:bCs/>
          <w:lang w:val="en-GB"/>
        </w:rPr>
        <w:t>,</w:t>
      </w:r>
      <w:r w:rsidR="00C272EB">
        <w:rPr>
          <w:bCs/>
          <w:lang w:val="en-GB"/>
        </w:rPr>
        <w:t xml:space="preserve"> who </w:t>
      </w:r>
      <w:r w:rsidR="00F74ABE">
        <w:rPr>
          <w:bCs/>
          <w:lang w:val="en-GB"/>
        </w:rPr>
        <w:t xml:space="preserve">distilled an algorithm based on reason that all </w:t>
      </w:r>
      <w:r w:rsidR="000424C2">
        <w:rPr>
          <w:bCs/>
          <w:lang w:val="en-GB"/>
        </w:rPr>
        <w:t>people</w:t>
      </w:r>
      <w:r w:rsidR="00F74ABE">
        <w:rPr>
          <w:bCs/>
          <w:lang w:val="en-GB"/>
        </w:rPr>
        <w:t xml:space="preserve"> strive towards good and </w:t>
      </w:r>
      <w:r w:rsidR="000424C2">
        <w:rPr>
          <w:bCs/>
          <w:lang w:val="en-GB"/>
        </w:rPr>
        <w:t xml:space="preserve">seek </w:t>
      </w:r>
      <w:r w:rsidR="00F74ABE">
        <w:rPr>
          <w:bCs/>
          <w:lang w:val="en-GB"/>
        </w:rPr>
        <w:t>to avoid evil.</w:t>
      </w:r>
      <w:r w:rsidR="00FF0023">
        <w:rPr>
          <w:rStyle w:val="EndnoteReference"/>
          <w:bCs/>
          <w:lang w:val="en-GB"/>
        </w:rPr>
        <w:endnoteReference w:id="6"/>
      </w:r>
      <w:r w:rsidR="00C272EB">
        <w:rPr>
          <w:bCs/>
          <w:lang w:val="en-GB"/>
        </w:rPr>
        <w:t xml:space="preserve"> </w:t>
      </w:r>
      <w:r w:rsidR="00F74ABE">
        <w:rPr>
          <w:bCs/>
          <w:lang w:val="en-GB"/>
        </w:rPr>
        <w:t xml:space="preserve">Natural law </w:t>
      </w:r>
      <w:r w:rsidR="00F74ABE">
        <w:rPr>
          <w:bCs/>
          <w:lang w:val="en-GB"/>
        </w:rPr>
        <w:softHyphen/>
      </w:r>
      <w:r w:rsidR="008C0E72">
        <w:rPr>
          <w:bCs/>
          <w:lang w:val="en-GB"/>
        </w:rPr>
        <w:t>reflects</w:t>
      </w:r>
      <w:r w:rsidR="00F74ABE">
        <w:rPr>
          <w:bCs/>
          <w:lang w:val="en-GB"/>
        </w:rPr>
        <w:t xml:space="preserve"> these </w:t>
      </w:r>
      <w:r w:rsidR="004127DE">
        <w:rPr>
          <w:bCs/>
          <w:lang w:val="en-GB"/>
        </w:rPr>
        <w:t>inclinations</w:t>
      </w:r>
      <w:r w:rsidR="00F74ABE">
        <w:rPr>
          <w:bCs/>
          <w:lang w:val="en-GB"/>
        </w:rPr>
        <w:t xml:space="preserve"> </w:t>
      </w:r>
      <w:r w:rsidR="003877AE">
        <w:rPr>
          <w:bCs/>
          <w:lang w:val="en-GB"/>
        </w:rPr>
        <w:t xml:space="preserve">inherent </w:t>
      </w:r>
      <w:r w:rsidR="009738F2">
        <w:rPr>
          <w:bCs/>
          <w:lang w:val="en-GB"/>
        </w:rPr>
        <w:t>to the</w:t>
      </w:r>
      <w:r w:rsidR="00176BEC">
        <w:rPr>
          <w:bCs/>
          <w:lang w:val="en-GB"/>
        </w:rPr>
        <w:t xml:space="preserve"> </w:t>
      </w:r>
      <w:r w:rsidR="003877AE">
        <w:rPr>
          <w:bCs/>
          <w:lang w:val="en-GB"/>
        </w:rPr>
        <w:t>human condition</w:t>
      </w:r>
      <w:r w:rsidR="004127DE">
        <w:rPr>
          <w:bCs/>
          <w:lang w:val="en-GB"/>
        </w:rPr>
        <w:t>.</w:t>
      </w:r>
      <w:r w:rsidR="00F74ABE">
        <w:rPr>
          <w:bCs/>
          <w:lang w:val="en-GB"/>
        </w:rPr>
        <w:t xml:space="preserve"> </w:t>
      </w:r>
      <w:r w:rsidR="008C0E72">
        <w:rPr>
          <w:bCs/>
          <w:lang w:val="en-GB"/>
        </w:rPr>
        <w:t>Natural law</w:t>
      </w:r>
      <w:r w:rsidR="005F4CBD" w:rsidRPr="005701BA">
        <w:rPr>
          <w:bCs/>
          <w:lang w:val="en-GB"/>
        </w:rPr>
        <w:t xml:space="preserve"> philosophy is</w:t>
      </w:r>
      <w:r w:rsidR="005701BA">
        <w:rPr>
          <w:bCs/>
          <w:lang w:val="en-GB"/>
        </w:rPr>
        <w:t xml:space="preserve"> thus</w:t>
      </w:r>
      <w:r w:rsidR="005F4CBD" w:rsidRPr="005701BA">
        <w:rPr>
          <w:bCs/>
          <w:lang w:val="en-GB"/>
        </w:rPr>
        <w:t xml:space="preserve"> an adequate starting point in building a thicker account of justice as self-empowerment of </w:t>
      </w:r>
      <w:r w:rsidR="005701BA" w:rsidRPr="005701BA">
        <w:rPr>
          <w:bCs/>
          <w:lang w:val="en-GB"/>
        </w:rPr>
        <w:t xml:space="preserve">all </w:t>
      </w:r>
      <w:r w:rsidR="005F4CBD" w:rsidRPr="005701BA">
        <w:rPr>
          <w:bCs/>
          <w:lang w:val="en-GB"/>
        </w:rPr>
        <w:t>individuals across the globe</w:t>
      </w:r>
      <w:r w:rsidR="005701BA" w:rsidRPr="005701BA">
        <w:rPr>
          <w:bCs/>
          <w:lang w:val="en-GB"/>
        </w:rPr>
        <w:t xml:space="preserve"> regardless of </w:t>
      </w:r>
      <w:r w:rsidR="00C272EB">
        <w:rPr>
          <w:bCs/>
          <w:lang w:val="en-GB"/>
        </w:rPr>
        <w:t xml:space="preserve">their </w:t>
      </w:r>
      <w:r w:rsidR="005701BA" w:rsidRPr="005701BA">
        <w:rPr>
          <w:bCs/>
          <w:lang w:val="en-GB"/>
        </w:rPr>
        <w:t>national affiliation.</w:t>
      </w:r>
    </w:p>
    <w:p w14:paraId="2E520B43" w14:textId="203226C2" w:rsidR="007A61DC" w:rsidRDefault="006E0488" w:rsidP="00656EB9">
      <w:pPr>
        <w:spacing w:before="240" w:line="360" w:lineRule="auto"/>
        <w:rPr>
          <w:bCs/>
          <w:lang w:val="en-GB"/>
        </w:rPr>
      </w:pPr>
      <w:r>
        <w:rPr>
          <w:bCs/>
          <w:lang w:val="en-GB"/>
        </w:rPr>
        <w:lastRenderedPageBreak/>
        <w:t>This paper</w:t>
      </w:r>
      <w:r w:rsidR="00864B04">
        <w:rPr>
          <w:bCs/>
          <w:lang w:val="en-GB"/>
        </w:rPr>
        <w:t xml:space="preserve"> </w:t>
      </w:r>
      <w:r>
        <w:rPr>
          <w:bCs/>
          <w:lang w:val="en-GB"/>
        </w:rPr>
        <w:t xml:space="preserve">brings together perspectives from sociology, legal philosophy, and international law. The </w:t>
      </w:r>
      <w:r w:rsidR="007207C9">
        <w:rPr>
          <w:bCs/>
          <w:lang w:val="en-GB"/>
        </w:rPr>
        <w:t xml:space="preserve">core </w:t>
      </w:r>
      <w:r>
        <w:rPr>
          <w:bCs/>
          <w:lang w:val="en-GB"/>
        </w:rPr>
        <w:t>proposition is to shift focus from the content of substantive rights listed in both international human rights treaties and domestic constitutions to the question of availability of those rights to specific individuals. Th</w:t>
      </w:r>
      <w:r w:rsidR="007207C9">
        <w:rPr>
          <w:bCs/>
          <w:lang w:val="en-GB"/>
        </w:rPr>
        <w:t>e</w:t>
      </w:r>
      <w:r>
        <w:rPr>
          <w:bCs/>
          <w:lang w:val="en-GB"/>
        </w:rPr>
        <w:t xml:space="preserve"> essay frames this question as</w:t>
      </w:r>
      <w:r w:rsidR="007207C9">
        <w:rPr>
          <w:bCs/>
          <w:lang w:val="en-GB"/>
        </w:rPr>
        <w:t xml:space="preserve"> </w:t>
      </w:r>
      <w:r w:rsidR="00AF5D2D">
        <w:rPr>
          <w:bCs/>
          <w:lang w:val="en-GB"/>
        </w:rPr>
        <w:t>that</w:t>
      </w:r>
      <w:r>
        <w:rPr>
          <w:bCs/>
          <w:lang w:val="en-GB"/>
        </w:rPr>
        <w:t xml:space="preserve"> of </w:t>
      </w:r>
      <w:r w:rsidRPr="00227604">
        <w:rPr>
          <w:bCs/>
          <w:i/>
          <w:iCs/>
          <w:lang w:val="en-GB"/>
        </w:rPr>
        <w:t>access</w:t>
      </w:r>
      <w:r>
        <w:rPr>
          <w:bCs/>
          <w:lang w:val="en-GB"/>
        </w:rPr>
        <w:t xml:space="preserve"> to justice. </w:t>
      </w:r>
      <w:r w:rsidR="007A61DC">
        <w:rPr>
          <w:bCs/>
          <w:lang w:val="en-GB"/>
        </w:rPr>
        <w:t xml:space="preserve">The right of access to justice can be broadly described as the ability of individuals and groups to seek and obtain remedy through formal and informal institutions of grievances, such as, </w:t>
      </w:r>
      <w:r w:rsidR="007A61DC" w:rsidRPr="00BD0997">
        <w:rPr>
          <w:bCs/>
          <w:i/>
          <w:iCs/>
          <w:lang w:val="en-GB"/>
        </w:rPr>
        <w:t>inter alia</w:t>
      </w:r>
      <w:r w:rsidR="007A61DC">
        <w:rPr>
          <w:bCs/>
          <w:lang w:val="en-GB"/>
        </w:rPr>
        <w:t>, regional and international courts, international human rights bodies and tr</w:t>
      </w:r>
      <w:r w:rsidR="007A61DC" w:rsidRPr="00AB7052">
        <w:rPr>
          <w:bCs/>
          <w:lang w:val="en-GB"/>
        </w:rPr>
        <w:t>ansnational corporations.</w:t>
      </w:r>
      <w:r w:rsidR="007A61DC">
        <w:rPr>
          <w:rStyle w:val="EndnoteReference"/>
          <w:bCs/>
          <w:lang w:val="en-GB"/>
        </w:rPr>
        <w:endnoteReference w:id="7"/>
      </w:r>
      <w:r w:rsidR="007A61DC" w:rsidRPr="00AB7052">
        <w:rPr>
          <w:bCs/>
          <w:lang w:val="en-GB"/>
        </w:rPr>
        <w:t xml:space="preserve"> </w:t>
      </w:r>
      <w:r w:rsidR="007207C9">
        <w:rPr>
          <w:bCs/>
          <w:lang w:val="en-GB"/>
        </w:rPr>
        <w:t xml:space="preserve">The same inquiry </w:t>
      </w:r>
      <w:r>
        <w:rPr>
          <w:bCs/>
          <w:lang w:val="en-GB"/>
        </w:rPr>
        <w:t xml:space="preserve">may </w:t>
      </w:r>
      <w:r w:rsidR="007207C9">
        <w:rPr>
          <w:bCs/>
          <w:lang w:val="en-GB"/>
        </w:rPr>
        <w:t xml:space="preserve">also </w:t>
      </w:r>
      <w:r>
        <w:rPr>
          <w:bCs/>
          <w:lang w:val="en-GB"/>
        </w:rPr>
        <w:t xml:space="preserve">be conceptualised as ‘the right to have </w:t>
      </w:r>
      <w:proofErr w:type="gramStart"/>
      <w:r>
        <w:rPr>
          <w:bCs/>
          <w:lang w:val="en-GB"/>
        </w:rPr>
        <w:t>rights’</w:t>
      </w:r>
      <w:proofErr w:type="gramEnd"/>
      <w:r>
        <w:rPr>
          <w:bCs/>
          <w:lang w:val="en-GB"/>
        </w:rPr>
        <w:t>.</w:t>
      </w:r>
      <w:r>
        <w:rPr>
          <w:rStyle w:val="EndnoteReference"/>
          <w:bCs/>
          <w:lang w:val="en-GB"/>
        </w:rPr>
        <w:endnoteReference w:id="8"/>
      </w:r>
      <w:r w:rsidR="007207C9">
        <w:rPr>
          <w:bCs/>
          <w:lang w:val="en-GB"/>
        </w:rPr>
        <w:t xml:space="preserve"> Citizenship as an institution of governance is crucial in </w:t>
      </w:r>
      <w:r w:rsidR="00BC0A5D">
        <w:rPr>
          <w:bCs/>
          <w:lang w:val="en-GB"/>
        </w:rPr>
        <w:t xml:space="preserve">facilitating </w:t>
      </w:r>
      <w:r w:rsidR="00295568">
        <w:rPr>
          <w:bCs/>
          <w:lang w:val="en-GB"/>
        </w:rPr>
        <w:t>this overarching right.</w:t>
      </w:r>
    </w:p>
    <w:p w14:paraId="699A8233" w14:textId="5B3F7A05" w:rsidR="007A4DF1" w:rsidRDefault="007A4DF1" w:rsidP="00656EB9">
      <w:pPr>
        <w:spacing w:before="240" w:line="360" w:lineRule="auto"/>
        <w:rPr>
          <w:bCs/>
          <w:lang w:val="en-GB"/>
        </w:rPr>
      </w:pPr>
      <w:r>
        <w:rPr>
          <w:bCs/>
          <w:lang w:val="en-GB"/>
        </w:rPr>
        <w:t xml:space="preserve">Marshall’s work contributes a useful theoretical frame that can add </w:t>
      </w:r>
      <w:r w:rsidR="003B7C83">
        <w:rPr>
          <w:bCs/>
          <w:lang w:val="en-GB"/>
        </w:rPr>
        <w:t>much needed context</w:t>
      </w:r>
      <w:r>
        <w:rPr>
          <w:bCs/>
          <w:lang w:val="en-GB"/>
        </w:rPr>
        <w:t xml:space="preserve"> to</w:t>
      </w:r>
      <w:r w:rsidR="007207C9">
        <w:rPr>
          <w:bCs/>
          <w:lang w:val="en-GB"/>
        </w:rPr>
        <w:t xml:space="preserve"> </w:t>
      </w:r>
      <w:r>
        <w:rPr>
          <w:bCs/>
          <w:lang w:val="en-GB"/>
        </w:rPr>
        <w:t xml:space="preserve">individual rights listed in </w:t>
      </w:r>
      <w:r w:rsidR="00AE7741">
        <w:rPr>
          <w:bCs/>
          <w:lang w:val="en-GB"/>
        </w:rPr>
        <w:t>several</w:t>
      </w:r>
      <w:r>
        <w:rPr>
          <w:bCs/>
          <w:lang w:val="en-GB"/>
        </w:rPr>
        <w:t xml:space="preserve"> international human rights instruments. The emergence of a global constituency is difficult to deny with the proliferation of social media, easily available international exchange programs and cheap airfare</w:t>
      </w:r>
      <w:r w:rsidR="001F7FBB">
        <w:rPr>
          <w:bCs/>
          <w:lang w:val="en-GB"/>
        </w:rPr>
        <w:t>s</w:t>
      </w:r>
      <w:r>
        <w:rPr>
          <w:bCs/>
          <w:lang w:val="en-GB"/>
        </w:rPr>
        <w:t xml:space="preserve">, among other factors. While it is true that the path to building a collective web of humanity is not linear, with some occasional backtracking caused, for instance, by the COVID-19 pandemic, individuals across the world increasingly rapidly form a tightly knit and interconnected grid, not grounded in a particular state. The concept of ‘global citizenship’ appears to be a suitable term to contain theoretical discussion relating to the complex of rights and duties inherent in being a part of such </w:t>
      </w:r>
      <w:r w:rsidR="00893BD0">
        <w:rPr>
          <w:bCs/>
          <w:lang w:val="en-GB"/>
        </w:rPr>
        <w:t xml:space="preserve">a </w:t>
      </w:r>
      <w:r>
        <w:rPr>
          <w:bCs/>
          <w:lang w:val="en-GB"/>
        </w:rPr>
        <w:t xml:space="preserve">global constituency. </w:t>
      </w:r>
    </w:p>
    <w:p w14:paraId="364F8497" w14:textId="6FAC4606" w:rsidR="007A4DF1" w:rsidRDefault="007A4DF1" w:rsidP="00656EB9">
      <w:pPr>
        <w:spacing w:before="240" w:line="360" w:lineRule="auto"/>
        <w:rPr>
          <w:bCs/>
          <w:lang w:val="en-GB"/>
        </w:rPr>
      </w:pPr>
      <w:r>
        <w:rPr>
          <w:bCs/>
          <w:lang w:val="en-GB"/>
        </w:rPr>
        <w:t xml:space="preserve">The core argument of this paper is that the right of access to justice exists at a global level </w:t>
      </w:r>
      <w:r w:rsidRPr="005008E2">
        <w:rPr>
          <w:bCs/>
          <w:lang w:val="en-GB"/>
        </w:rPr>
        <w:t>even w</w:t>
      </w:r>
      <w:r>
        <w:rPr>
          <w:bCs/>
          <w:lang w:val="en-GB"/>
        </w:rPr>
        <w:t>hen</w:t>
      </w:r>
      <w:r w:rsidRPr="005008E2">
        <w:rPr>
          <w:bCs/>
          <w:lang w:val="en-GB"/>
        </w:rPr>
        <w:t xml:space="preserve"> individual recourse</w:t>
      </w:r>
      <w:r>
        <w:rPr>
          <w:bCs/>
          <w:lang w:val="en-GB"/>
        </w:rPr>
        <w:t xml:space="preserve"> </w:t>
      </w:r>
      <w:r w:rsidRPr="005008E2">
        <w:rPr>
          <w:bCs/>
          <w:lang w:val="en-GB"/>
        </w:rPr>
        <w:t xml:space="preserve">to it is </w:t>
      </w:r>
      <w:r w:rsidR="00BC4BC0">
        <w:rPr>
          <w:bCs/>
          <w:lang w:val="en-GB"/>
        </w:rPr>
        <w:t xml:space="preserve">restricted </w:t>
      </w:r>
      <w:r>
        <w:rPr>
          <w:bCs/>
          <w:lang w:val="en-GB"/>
        </w:rPr>
        <w:t xml:space="preserve">and enforcement is not available. Moreover, the ability of individuals to seek remedies </w:t>
      </w:r>
      <w:r w:rsidR="001F7FBB">
        <w:rPr>
          <w:bCs/>
          <w:lang w:val="en-GB"/>
        </w:rPr>
        <w:t xml:space="preserve">is </w:t>
      </w:r>
      <w:r>
        <w:rPr>
          <w:bCs/>
          <w:lang w:val="en-GB"/>
        </w:rPr>
        <w:t>diverse and can no longer be limited to international and regional human rights courts, such as the Inter-American Court of Human Rights (</w:t>
      </w:r>
      <w:proofErr w:type="spellStart"/>
      <w:r>
        <w:rPr>
          <w:bCs/>
          <w:lang w:val="en-GB"/>
        </w:rPr>
        <w:t>IACtHR</w:t>
      </w:r>
      <w:proofErr w:type="spellEnd"/>
      <w:r>
        <w:rPr>
          <w:bCs/>
          <w:lang w:val="en-GB"/>
        </w:rPr>
        <w:t>) and the European Court of Human Rights (ECtHR). It is suggested that this right must be viewed through a much broader lens. It is possible to see how various complaint mechanisms implicit in the UN Human Rights system, as well</w:t>
      </w:r>
      <w:r w:rsidR="0033786F">
        <w:rPr>
          <w:bCs/>
          <w:lang w:val="en-GB"/>
        </w:rPr>
        <w:t xml:space="preserve"> as</w:t>
      </w:r>
      <w:r>
        <w:rPr>
          <w:bCs/>
          <w:lang w:val="en-GB"/>
        </w:rPr>
        <w:t xml:space="preserve"> the European Union and African Union contribute to the substantive development of the global right of access to justice. More importantly, alternative dispute resolution mechanisms, such as the complaint procedures offered by transnational corporations such as Facebook or Uber must be viewed as part of the emerging global right of access to justice.</w:t>
      </w:r>
      <w:r>
        <w:rPr>
          <w:rStyle w:val="EndnoteReference"/>
          <w:bCs/>
          <w:lang w:val="en-GB"/>
        </w:rPr>
        <w:endnoteReference w:id="9"/>
      </w:r>
      <w:r>
        <w:rPr>
          <w:bCs/>
          <w:lang w:val="en-GB"/>
        </w:rPr>
        <w:t xml:space="preserve"> In other words, legal remedies are no longer monopolised by states, international and regional organisations, but are also provided </w:t>
      </w:r>
      <w:r>
        <w:rPr>
          <w:bCs/>
          <w:lang w:val="en-GB"/>
        </w:rPr>
        <w:lastRenderedPageBreak/>
        <w:t>by the very market forces discussed by T.H. Marshall as the drivers of the development of civil rights in the eighteenth century.</w:t>
      </w:r>
      <w:r>
        <w:rPr>
          <w:rStyle w:val="EndnoteReference"/>
          <w:bCs/>
          <w:lang w:val="en-GB"/>
        </w:rPr>
        <w:endnoteReference w:id="10"/>
      </w:r>
      <w:r>
        <w:rPr>
          <w:bCs/>
          <w:lang w:val="en-GB"/>
        </w:rPr>
        <w:t xml:space="preserve"> </w:t>
      </w:r>
    </w:p>
    <w:p w14:paraId="23C71DA6" w14:textId="22F36328" w:rsidR="00A05C41" w:rsidRPr="00227604" w:rsidRDefault="000C6FA7" w:rsidP="00227604">
      <w:pPr>
        <w:spacing w:before="240" w:line="360" w:lineRule="auto"/>
        <w:rPr>
          <w:b/>
          <w:lang w:val="en-GB"/>
        </w:rPr>
      </w:pPr>
      <w:r>
        <w:rPr>
          <w:bCs/>
          <w:lang w:val="en-GB"/>
        </w:rPr>
        <w:t>Section two</w:t>
      </w:r>
      <w:r w:rsidR="007A61DC">
        <w:rPr>
          <w:bCs/>
          <w:lang w:val="en-GB"/>
        </w:rPr>
        <w:t xml:space="preserve"> of the paper clarifies the distinction between national and global citizenship</w:t>
      </w:r>
      <w:r w:rsidR="005441A2">
        <w:rPr>
          <w:bCs/>
          <w:lang w:val="en-GB"/>
        </w:rPr>
        <w:t xml:space="preserve"> to the extent that such difference play</w:t>
      </w:r>
      <w:r>
        <w:rPr>
          <w:bCs/>
          <w:lang w:val="en-GB"/>
        </w:rPr>
        <w:t>s</w:t>
      </w:r>
      <w:r w:rsidR="005441A2">
        <w:rPr>
          <w:bCs/>
          <w:lang w:val="en-GB"/>
        </w:rPr>
        <w:t xml:space="preserve"> a role in </w:t>
      </w:r>
      <w:r w:rsidR="00311A4C">
        <w:rPr>
          <w:bCs/>
          <w:lang w:val="en-GB"/>
        </w:rPr>
        <w:t>constructing</w:t>
      </w:r>
      <w:r>
        <w:rPr>
          <w:bCs/>
          <w:lang w:val="en-GB"/>
        </w:rPr>
        <w:t xml:space="preserve"> further arguments</w:t>
      </w:r>
      <w:r w:rsidR="001F6EE9">
        <w:rPr>
          <w:bCs/>
          <w:lang w:val="en-GB"/>
        </w:rPr>
        <w:t xml:space="preserve"> </w:t>
      </w:r>
      <w:r w:rsidR="00B70831">
        <w:rPr>
          <w:bCs/>
          <w:lang w:val="en-GB"/>
        </w:rPr>
        <w:t>relating to the question</w:t>
      </w:r>
      <w:r w:rsidR="00AB7465">
        <w:rPr>
          <w:bCs/>
          <w:lang w:val="en-GB"/>
        </w:rPr>
        <w:t xml:space="preserve"> of</w:t>
      </w:r>
      <w:r w:rsidR="00B70831">
        <w:rPr>
          <w:bCs/>
          <w:lang w:val="en-GB"/>
        </w:rPr>
        <w:t xml:space="preserve"> universal</w:t>
      </w:r>
      <w:r w:rsidR="00AB7465">
        <w:rPr>
          <w:bCs/>
          <w:lang w:val="en-GB"/>
        </w:rPr>
        <w:t xml:space="preserve"> access to justice</w:t>
      </w:r>
      <w:r w:rsidR="00B70831">
        <w:rPr>
          <w:bCs/>
          <w:lang w:val="en-GB"/>
        </w:rPr>
        <w:t xml:space="preserve">. </w:t>
      </w:r>
      <w:r>
        <w:rPr>
          <w:bCs/>
          <w:lang w:val="en-GB"/>
        </w:rPr>
        <w:t>Section</w:t>
      </w:r>
      <w:r w:rsidR="007A61DC">
        <w:rPr>
          <w:bCs/>
          <w:lang w:val="en-GB"/>
        </w:rPr>
        <w:t xml:space="preserve"> three </w:t>
      </w:r>
      <w:r>
        <w:rPr>
          <w:bCs/>
          <w:lang w:val="en-GB"/>
        </w:rPr>
        <w:t>focuses on</w:t>
      </w:r>
      <w:r w:rsidR="00C7491C">
        <w:rPr>
          <w:bCs/>
          <w:lang w:val="en-GB"/>
        </w:rPr>
        <w:t xml:space="preserve"> the</w:t>
      </w:r>
      <w:r>
        <w:rPr>
          <w:bCs/>
          <w:lang w:val="en-GB"/>
        </w:rPr>
        <w:t xml:space="preserve"> traditional international law understanding of the right of access to justice by drawing </w:t>
      </w:r>
      <w:r w:rsidR="00DD463C">
        <w:rPr>
          <w:bCs/>
          <w:lang w:val="en-GB"/>
        </w:rPr>
        <w:t>on</w:t>
      </w:r>
      <w:r>
        <w:rPr>
          <w:bCs/>
          <w:lang w:val="en-GB"/>
        </w:rPr>
        <w:t xml:space="preserve"> positivist</w:t>
      </w:r>
      <w:r w:rsidR="00C7491C">
        <w:rPr>
          <w:bCs/>
          <w:lang w:val="en-GB"/>
        </w:rPr>
        <w:t xml:space="preserve"> </w:t>
      </w:r>
      <w:r w:rsidR="00822DB4">
        <w:rPr>
          <w:bCs/>
          <w:lang w:val="en-GB"/>
        </w:rPr>
        <w:t>legal</w:t>
      </w:r>
      <w:r>
        <w:rPr>
          <w:bCs/>
          <w:lang w:val="en-GB"/>
        </w:rPr>
        <w:t xml:space="preserve"> scholarship. Section </w:t>
      </w:r>
      <w:r w:rsidR="00A05C41">
        <w:rPr>
          <w:bCs/>
          <w:lang w:val="en-GB"/>
        </w:rPr>
        <w:t xml:space="preserve">four transitions to a normative account of the right of access to justice as an attribute of global citizenship. It does so </w:t>
      </w:r>
      <w:r>
        <w:rPr>
          <w:bCs/>
          <w:lang w:val="en-GB"/>
        </w:rPr>
        <w:t xml:space="preserve">by following a </w:t>
      </w:r>
      <w:r w:rsidR="00A05C41">
        <w:rPr>
          <w:bCs/>
          <w:lang w:val="en-GB"/>
        </w:rPr>
        <w:t xml:space="preserve">two-step process: firstly, this </w:t>
      </w:r>
      <w:r>
        <w:rPr>
          <w:bCs/>
          <w:lang w:val="en-GB"/>
        </w:rPr>
        <w:t xml:space="preserve">section </w:t>
      </w:r>
      <w:r w:rsidR="00A05C41">
        <w:rPr>
          <w:bCs/>
          <w:lang w:val="en-GB"/>
        </w:rPr>
        <w:t xml:space="preserve">explores in some depth the relevance of Marshall’s ideas to the institution of global citizenship, while, at the same time, highlighting some limitations inherent in his view. Secondly, the same </w:t>
      </w:r>
      <w:r>
        <w:rPr>
          <w:bCs/>
          <w:lang w:val="en-GB"/>
        </w:rPr>
        <w:t>section</w:t>
      </w:r>
      <w:r w:rsidR="00A05C41">
        <w:rPr>
          <w:bCs/>
          <w:lang w:val="en-GB"/>
        </w:rPr>
        <w:t xml:space="preserve"> refers to natural law as it seeks to infuse the right of access to justice with </w:t>
      </w:r>
      <w:r w:rsidR="00043E14">
        <w:rPr>
          <w:bCs/>
          <w:lang w:val="en-GB"/>
        </w:rPr>
        <w:t xml:space="preserve">the </w:t>
      </w:r>
      <w:r w:rsidR="00A05C41">
        <w:rPr>
          <w:bCs/>
          <w:lang w:val="en-GB"/>
        </w:rPr>
        <w:t xml:space="preserve">ideas of equality and communal participation. </w:t>
      </w:r>
      <w:r w:rsidR="00A05C41" w:rsidRPr="00F92BC3">
        <w:rPr>
          <w:bCs/>
          <w:lang w:val="en-GB"/>
        </w:rPr>
        <w:t xml:space="preserve">Interestingly, </w:t>
      </w:r>
      <w:r w:rsidRPr="00F92BC3">
        <w:rPr>
          <w:bCs/>
          <w:lang w:val="en-GB"/>
        </w:rPr>
        <w:t>both</w:t>
      </w:r>
      <w:r w:rsidR="00A05C41" w:rsidRPr="00F92BC3">
        <w:rPr>
          <w:bCs/>
          <w:lang w:val="en-GB"/>
        </w:rPr>
        <w:t xml:space="preserve"> notions underlie Marshall’s arguments pertaining to state citizenship, while also featuring prominently in natural law philosophy.</w:t>
      </w:r>
      <w:r w:rsidR="00A05C41">
        <w:rPr>
          <w:bCs/>
          <w:lang w:val="en-GB"/>
        </w:rPr>
        <w:t xml:space="preserve"> The latter school of thought then becomes a source of inspiration for developing a thicker account of the right of access to justice. Some conclusions are drawn at the end of this essay.</w:t>
      </w:r>
    </w:p>
    <w:p w14:paraId="32FA2324" w14:textId="287C5D9E" w:rsidR="00A05C41" w:rsidRDefault="00A05C41" w:rsidP="00656EB9">
      <w:pPr>
        <w:pStyle w:val="ListParagraph"/>
        <w:numPr>
          <w:ilvl w:val="0"/>
          <w:numId w:val="1"/>
        </w:numPr>
        <w:spacing w:before="240" w:line="360" w:lineRule="auto"/>
        <w:rPr>
          <w:b/>
          <w:lang w:val="en-GB"/>
        </w:rPr>
      </w:pPr>
      <w:r w:rsidRPr="001C77FC">
        <w:rPr>
          <w:b/>
          <w:lang w:val="en-GB"/>
        </w:rPr>
        <w:t>‘National’ vs ‘global’ citizenship: a point of clarification</w:t>
      </w:r>
    </w:p>
    <w:p w14:paraId="43F8BCAC" w14:textId="23B3D44F" w:rsidR="00A05C41" w:rsidRDefault="00A05C41" w:rsidP="00A05C41">
      <w:pPr>
        <w:spacing w:before="240" w:line="360" w:lineRule="auto"/>
        <w:rPr>
          <w:bCs/>
          <w:lang w:val="en-GB"/>
        </w:rPr>
      </w:pPr>
      <w:r>
        <w:rPr>
          <w:bCs/>
          <w:lang w:val="en-GB"/>
        </w:rPr>
        <w:t xml:space="preserve">It is important for the sake of clarity to delineate two concepts: ‘national citizenship’ and ‘global citizenship’. National citizenship denotes belonging to a particular state based on the fact of being born in this state or having acquired citizenship through naturalization. It is common to think of national citizenship as a status that contains a collection of rights and duties, which are comparable from jurisdiction to jurisdiction. Dimitry </w:t>
      </w:r>
      <w:proofErr w:type="spellStart"/>
      <w:r>
        <w:rPr>
          <w:bCs/>
          <w:lang w:val="en-GB"/>
        </w:rPr>
        <w:t>Kochenov</w:t>
      </w:r>
      <w:proofErr w:type="spellEnd"/>
      <w:r>
        <w:rPr>
          <w:bCs/>
          <w:lang w:val="en-GB"/>
        </w:rPr>
        <w:t xml:space="preserve"> explains however that this view may be outdated because the duties traditionally associated with citizenship are quickly diminishing. For instance, going to war for one’s motherland is increasingly rare. Duties are rather assigned to individuals based on territoriality – one pays taxes in the place of residence regardless of being a citizen of this specific </w:t>
      </w:r>
      <w:r w:rsidR="0024247A">
        <w:rPr>
          <w:bCs/>
          <w:lang w:val="en-GB"/>
        </w:rPr>
        <w:t>country</w:t>
      </w:r>
      <w:r>
        <w:rPr>
          <w:bCs/>
          <w:lang w:val="en-GB"/>
        </w:rPr>
        <w:t>.</w:t>
      </w:r>
      <w:r>
        <w:rPr>
          <w:rStyle w:val="EndnoteReference"/>
          <w:bCs/>
          <w:lang w:val="en-GB"/>
        </w:rPr>
        <w:endnoteReference w:id="11"/>
      </w:r>
    </w:p>
    <w:p w14:paraId="386AEB0D" w14:textId="3ADBFD65" w:rsidR="00A05C41" w:rsidRDefault="00A05C41" w:rsidP="00A05C41">
      <w:pPr>
        <w:spacing w:before="240" w:line="360" w:lineRule="auto"/>
        <w:rPr>
          <w:bCs/>
          <w:lang w:val="en-GB"/>
        </w:rPr>
      </w:pPr>
      <w:r>
        <w:rPr>
          <w:bCs/>
          <w:lang w:val="en-GB"/>
        </w:rPr>
        <w:t xml:space="preserve">The status of national citizenship is therefore primarily about </w:t>
      </w:r>
      <w:r w:rsidR="00650B2D">
        <w:rPr>
          <w:bCs/>
          <w:lang w:val="en-GB"/>
        </w:rPr>
        <w:t>granting</w:t>
      </w:r>
      <w:r>
        <w:rPr>
          <w:bCs/>
          <w:lang w:val="en-GB"/>
        </w:rPr>
        <w:t xml:space="preserve"> rights</w:t>
      </w:r>
      <w:r w:rsidR="009D45F4">
        <w:rPr>
          <w:bCs/>
          <w:lang w:val="en-GB"/>
        </w:rPr>
        <w:t>. More accurately, i</w:t>
      </w:r>
      <w:r>
        <w:rPr>
          <w:bCs/>
          <w:lang w:val="en-GB"/>
        </w:rPr>
        <w:t xml:space="preserve">t can be seen as a precondition for exercising rights. Hannah Arendt eloquently described this phenomenon in </w:t>
      </w:r>
      <w:r w:rsidRPr="001C77FC">
        <w:rPr>
          <w:bCs/>
          <w:i/>
          <w:iCs/>
          <w:lang w:val="en-GB"/>
        </w:rPr>
        <w:t>The Origins of Totalitarianism</w:t>
      </w:r>
      <w:r w:rsidRPr="009675EC">
        <w:rPr>
          <w:bCs/>
          <w:lang w:val="en-GB"/>
        </w:rPr>
        <w:t>, published</w:t>
      </w:r>
      <w:r>
        <w:rPr>
          <w:bCs/>
          <w:lang w:val="en-GB"/>
        </w:rPr>
        <w:t xml:space="preserve"> just a year after Marshall’s essay -</w:t>
      </w:r>
      <w:r w:rsidRPr="009675EC">
        <w:rPr>
          <w:bCs/>
          <w:lang w:val="en-GB"/>
        </w:rPr>
        <w:t xml:space="preserve"> in 1951</w:t>
      </w:r>
      <w:r>
        <w:rPr>
          <w:bCs/>
          <w:lang w:val="en-GB"/>
        </w:rPr>
        <w:t>.</w:t>
      </w:r>
      <w:r>
        <w:rPr>
          <w:rStyle w:val="EndnoteReference"/>
          <w:bCs/>
          <w:lang w:val="en-GB"/>
        </w:rPr>
        <w:endnoteReference w:id="12"/>
      </w:r>
      <w:r>
        <w:rPr>
          <w:bCs/>
          <w:lang w:val="en-GB"/>
        </w:rPr>
        <w:t xml:space="preserve"> </w:t>
      </w:r>
      <w:r w:rsidRPr="000058BD">
        <w:rPr>
          <w:bCs/>
          <w:lang w:val="en-GB"/>
        </w:rPr>
        <w:t xml:space="preserve">Arendt pointed to </w:t>
      </w:r>
      <w:r w:rsidR="000058BD" w:rsidRPr="000058BD">
        <w:rPr>
          <w:bCs/>
          <w:lang w:val="en-GB"/>
        </w:rPr>
        <w:t>the existence of</w:t>
      </w:r>
      <w:r w:rsidR="000058BD">
        <w:rPr>
          <w:bCs/>
          <w:lang w:val="en-GB"/>
        </w:rPr>
        <w:t xml:space="preserve"> </w:t>
      </w:r>
      <w:r w:rsidR="001B3595">
        <w:rPr>
          <w:bCs/>
          <w:lang w:val="en-GB"/>
        </w:rPr>
        <w:t>a</w:t>
      </w:r>
      <w:r w:rsidR="000058BD">
        <w:rPr>
          <w:bCs/>
          <w:lang w:val="en-GB"/>
        </w:rPr>
        <w:t xml:space="preserve"> policy of</w:t>
      </w:r>
      <w:r w:rsidR="000058BD" w:rsidRPr="000058BD">
        <w:rPr>
          <w:bCs/>
          <w:lang w:val="en-GB"/>
        </w:rPr>
        <w:t xml:space="preserve"> </w:t>
      </w:r>
      <w:r w:rsidR="000058BD" w:rsidRPr="000058BD">
        <w:rPr>
          <w:bCs/>
          <w:lang w:val="en-GB"/>
        </w:rPr>
        <w:lastRenderedPageBreak/>
        <w:t xml:space="preserve">mass statelessness </w:t>
      </w:r>
      <w:r w:rsidR="000058BD">
        <w:rPr>
          <w:bCs/>
          <w:lang w:val="en-GB"/>
        </w:rPr>
        <w:t xml:space="preserve">depriving German Jews of citizenship </w:t>
      </w:r>
      <w:r w:rsidR="000058BD" w:rsidRPr="000058BD">
        <w:rPr>
          <w:bCs/>
          <w:lang w:val="en-GB"/>
        </w:rPr>
        <w:t>in</w:t>
      </w:r>
      <w:r w:rsidR="000058BD">
        <w:rPr>
          <w:bCs/>
          <w:lang w:val="en-GB"/>
        </w:rPr>
        <w:t xml:space="preserve"> </w:t>
      </w:r>
      <w:r w:rsidR="000058BD" w:rsidRPr="000058BD">
        <w:rPr>
          <w:bCs/>
          <w:lang w:val="en-GB"/>
        </w:rPr>
        <w:t>the interwar period.</w:t>
      </w:r>
      <w:r w:rsidR="000058BD">
        <w:rPr>
          <w:bCs/>
          <w:lang w:val="en-GB"/>
        </w:rPr>
        <w:t xml:space="preserve"> </w:t>
      </w:r>
      <w:r>
        <w:rPr>
          <w:bCs/>
          <w:lang w:val="en-GB"/>
        </w:rPr>
        <w:t xml:space="preserve">This policy of turning citizens into stateless persons paved way for further discrimination and made Arendt suspicious of the whole concept of so-called </w:t>
      </w:r>
      <w:r w:rsidR="00E539FD">
        <w:rPr>
          <w:bCs/>
          <w:lang w:val="en-GB"/>
        </w:rPr>
        <w:t>‘</w:t>
      </w:r>
      <w:r w:rsidRPr="009675EC">
        <w:rPr>
          <w:bCs/>
          <w:lang w:val="en-GB"/>
        </w:rPr>
        <w:t>inalienable</w:t>
      </w:r>
      <w:r w:rsidR="00E539FD">
        <w:rPr>
          <w:bCs/>
          <w:lang w:val="en-GB"/>
        </w:rPr>
        <w:t>’</w:t>
      </w:r>
      <w:r w:rsidRPr="009675EC">
        <w:rPr>
          <w:bCs/>
          <w:lang w:val="en-GB"/>
        </w:rPr>
        <w:t xml:space="preserve"> human rights</w:t>
      </w:r>
      <w:r>
        <w:rPr>
          <w:bCs/>
          <w:lang w:val="en-GB"/>
        </w:rPr>
        <w:t>.</w:t>
      </w:r>
      <w:r>
        <w:rPr>
          <w:rStyle w:val="EndnoteReference"/>
          <w:bCs/>
          <w:lang w:val="en-GB"/>
        </w:rPr>
        <w:endnoteReference w:id="13"/>
      </w:r>
      <w:r>
        <w:rPr>
          <w:bCs/>
          <w:lang w:val="en-GB"/>
        </w:rPr>
        <w:t xml:space="preserve"> While Arendt contrasted citizenship and statelessness, it would be </w:t>
      </w:r>
      <w:r w:rsidR="009C3B5F">
        <w:rPr>
          <w:bCs/>
          <w:lang w:val="en-GB"/>
        </w:rPr>
        <w:t>disingenuous</w:t>
      </w:r>
      <w:r>
        <w:rPr>
          <w:bCs/>
          <w:lang w:val="en-GB"/>
        </w:rPr>
        <w:t xml:space="preserve"> to claim that the situation is fundamentally different when </w:t>
      </w:r>
      <w:r w:rsidR="00AE5376">
        <w:rPr>
          <w:bCs/>
          <w:lang w:val="en-GB"/>
        </w:rPr>
        <w:t>making inter-state comparisons</w:t>
      </w:r>
      <w:r w:rsidR="0062503F">
        <w:rPr>
          <w:bCs/>
          <w:lang w:val="en-GB"/>
        </w:rPr>
        <w:t xml:space="preserve">: </w:t>
      </w:r>
      <w:r>
        <w:rPr>
          <w:bCs/>
          <w:lang w:val="en-GB"/>
        </w:rPr>
        <w:t xml:space="preserve">being a citizen of Syria carries with it a lot less privilege than being a citizen of Switzerland even if the constituent instruments of both </w:t>
      </w:r>
      <w:r w:rsidR="009C3B5F">
        <w:rPr>
          <w:bCs/>
          <w:lang w:val="en-GB"/>
        </w:rPr>
        <w:t>countries</w:t>
      </w:r>
      <w:r>
        <w:rPr>
          <w:bCs/>
          <w:lang w:val="en-GB"/>
        </w:rPr>
        <w:t xml:space="preserve"> contain </w:t>
      </w:r>
      <w:r w:rsidR="00AE5376">
        <w:rPr>
          <w:bCs/>
          <w:lang w:val="en-GB"/>
        </w:rPr>
        <w:t>an</w:t>
      </w:r>
      <w:r w:rsidR="009C3B5F">
        <w:rPr>
          <w:bCs/>
          <w:lang w:val="en-GB"/>
        </w:rPr>
        <w:t xml:space="preserve"> </w:t>
      </w:r>
      <w:r w:rsidR="00AE5376">
        <w:rPr>
          <w:bCs/>
          <w:lang w:val="en-GB"/>
        </w:rPr>
        <w:t>analogous list of rights</w:t>
      </w:r>
      <w:r>
        <w:rPr>
          <w:bCs/>
          <w:lang w:val="en-GB"/>
        </w:rPr>
        <w:t>. The idea of citizenship as being linked to a certain cultural-linguistic identity also seems outdated given the fact citizenship is assigned by law and has nothing to do with personal self-identification.</w:t>
      </w:r>
      <w:r>
        <w:rPr>
          <w:rStyle w:val="EndnoteReference"/>
          <w:bCs/>
          <w:lang w:val="en-GB"/>
        </w:rPr>
        <w:endnoteReference w:id="14"/>
      </w:r>
      <w:r>
        <w:rPr>
          <w:bCs/>
          <w:lang w:val="en-GB"/>
        </w:rPr>
        <w:t xml:space="preserve"> </w:t>
      </w:r>
    </w:p>
    <w:p w14:paraId="78C82005" w14:textId="6FC430EC" w:rsidR="00A05C41" w:rsidRDefault="00A05C41" w:rsidP="00A05C41">
      <w:pPr>
        <w:spacing w:before="240" w:line="360" w:lineRule="auto"/>
        <w:rPr>
          <w:bCs/>
          <w:lang w:val="en-GB"/>
        </w:rPr>
      </w:pPr>
      <w:r>
        <w:rPr>
          <w:bCs/>
          <w:lang w:val="en-GB"/>
        </w:rPr>
        <w:t>National citizenship is thus a governance instrument securing rights for those belonging to a particular community, while simultaneously establishing exclusionary policies with respect to those who do not.</w:t>
      </w:r>
      <w:r>
        <w:rPr>
          <w:rStyle w:val="EndnoteReference"/>
          <w:bCs/>
          <w:lang w:val="en-GB"/>
        </w:rPr>
        <w:endnoteReference w:id="15"/>
      </w:r>
      <w:r>
        <w:rPr>
          <w:bCs/>
          <w:lang w:val="en-GB"/>
        </w:rPr>
        <w:t xml:space="preserve"> It is a boundary setting tool enabling stratification, which may gradually become irrelevant as humanity moves from the vertical system of governance (state vs citizen) to the horizontal one based on clusters of networks operating simultaneously and across state borders. One may object that transnational networking is only available to the educated elites with resources and knowledge to connect to peers and organizations across the world. I would argue however that rapid technological progress accompanying </w:t>
      </w:r>
      <w:r w:rsidR="0083167E">
        <w:rPr>
          <w:bCs/>
          <w:lang w:val="en-GB"/>
        </w:rPr>
        <w:t xml:space="preserve">the </w:t>
      </w:r>
      <w:r>
        <w:rPr>
          <w:bCs/>
          <w:lang w:val="en-GB"/>
        </w:rPr>
        <w:t xml:space="preserve">ever-increasing availability of </w:t>
      </w:r>
      <w:r w:rsidR="00B44E2D">
        <w:rPr>
          <w:bCs/>
          <w:lang w:val="en-GB"/>
        </w:rPr>
        <w:t>interactive</w:t>
      </w:r>
      <w:r>
        <w:rPr>
          <w:bCs/>
          <w:lang w:val="en-GB"/>
        </w:rPr>
        <w:t xml:space="preserve"> </w:t>
      </w:r>
      <w:r w:rsidR="001F5806">
        <w:rPr>
          <w:bCs/>
          <w:lang w:val="en-GB"/>
        </w:rPr>
        <w:t>instruments</w:t>
      </w:r>
      <w:r>
        <w:rPr>
          <w:bCs/>
          <w:lang w:val="en-GB"/>
        </w:rPr>
        <w:t xml:space="preserve"> attests to the inevitability of such global inter-connectedness among </w:t>
      </w:r>
      <w:r w:rsidRPr="001C77FC">
        <w:rPr>
          <w:bCs/>
          <w:i/>
          <w:iCs/>
          <w:lang w:val="en-GB"/>
        </w:rPr>
        <w:t>all</w:t>
      </w:r>
      <w:r>
        <w:rPr>
          <w:bCs/>
          <w:lang w:val="en-GB"/>
        </w:rPr>
        <w:t xml:space="preserve"> individuals and not just the selected few. This is when the idea of global citizenship </w:t>
      </w:r>
      <w:r w:rsidR="009C3B5F">
        <w:rPr>
          <w:bCs/>
          <w:lang w:val="en-GB"/>
        </w:rPr>
        <w:t>becomes relevant</w:t>
      </w:r>
      <w:r>
        <w:rPr>
          <w:bCs/>
          <w:lang w:val="en-GB"/>
        </w:rPr>
        <w:t xml:space="preserve">. The proposition of this paper is to ‘upgrade’ the outdated idea of national citizenship to reflect </w:t>
      </w:r>
      <w:r w:rsidR="000D4874">
        <w:rPr>
          <w:bCs/>
          <w:lang w:val="en-GB"/>
        </w:rPr>
        <w:t xml:space="preserve">this </w:t>
      </w:r>
      <w:r>
        <w:rPr>
          <w:bCs/>
          <w:lang w:val="en-GB"/>
        </w:rPr>
        <w:t>changing realit</w:t>
      </w:r>
      <w:r w:rsidR="000D4874">
        <w:rPr>
          <w:bCs/>
          <w:lang w:val="en-GB"/>
        </w:rPr>
        <w:t>y</w:t>
      </w:r>
      <w:r>
        <w:rPr>
          <w:bCs/>
          <w:lang w:val="en-GB"/>
        </w:rPr>
        <w:t xml:space="preserve">. The governance tool of citizenship can still serve its purpose if it is reconceptualised to reflect the status of belonging to the whole of humanity and not just the territory of one </w:t>
      </w:r>
      <w:r w:rsidR="00067BA2">
        <w:rPr>
          <w:bCs/>
          <w:lang w:val="en-GB"/>
        </w:rPr>
        <w:t>state</w:t>
      </w:r>
      <w:r>
        <w:rPr>
          <w:bCs/>
          <w:lang w:val="en-GB"/>
        </w:rPr>
        <w:t xml:space="preserve">. </w:t>
      </w:r>
    </w:p>
    <w:p w14:paraId="4620467F" w14:textId="7ECEF540" w:rsidR="00A05C41" w:rsidRPr="001E749A" w:rsidRDefault="00A05C41" w:rsidP="00227604">
      <w:pPr>
        <w:spacing w:before="240" w:line="360" w:lineRule="auto"/>
        <w:rPr>
          <w:bCs/>
          <w:lang w:val="en-GB"/>
        </w:rPr>
      </w:pPr>
      <w:r>
        <w:rPr>
          <w:bCs/>
          <w:lang w:val="en-GB"/>
        </w:rPr>
        <w:t xml:space="preserve">One may further object that the concept of global citizenship is then devoid of any meaning as no one is excluded from the community </w:t>
      </w:r>
      <w:r w:rsidR="0084718E">
        <w:rPr>
          <w:bCs/>
          <w:lang w:val="en-GB"/>
        </w:rPr>
        <w:t>and</w:t>
      </w:r>
      <w:r w:rsidR="000B3C2B">
        <w:rPr>
          <w:bCs/>
          <w:lang w:val="en-GB"/>
        </w:rPr>
        <w:t xml:space="preserve"> no apparent boundaries exist. </w:t>
      </w:r>
      <w:r w:rsidR="00694F96">
        <w:rPr>
          <w:bCs/>
          <w:lang w:val="en-GB"/>
        </w:rPr>
        <w:t xml:space="preserve">It appears, however, </w:t>
      </w:r>
      <w:r w:rsidR="003F30C1">
        <w:rPr>
          <w:bCs/>
          <w:lang w:val="en-GB"/>
        </w:rPr>
        <w:t>that inclusivity carries immense expressive potential</w:t>
      </w:r>
      <w:r w:rsidR="0084718E">
        <w:rPr>
          <w:bCs/>
          <w:lang w:val="en-GB"/>
        </w:rPr>
        <w:t xml:space="preserve"> </w:t>
      </w:r>
      <w:r w:rsidR="00B737B8">
        <w:rPr>
          <w:bCs/>
          <w:lang w:val="en-GB"/>
        </w:rPr>
        <w:t>because</w:t>
      </w:r>
      <w:r>
        <w:rPr>
          <w:bCs/>
          <w:lang w:val="en-GB"/>
        </w:rPr>
        <w:t xml:space="preserve"> it leads to individual empowerment of people across the world.</w:t>
      </w:r>
      <w:r>
        <w:rPr>
          <w:rStyle w:val="EndnoteReference"/>
          <w:bCs/>
          <w:lang w:val="en-GB"/>
        </w:rPr>
        <w:endnoteReference w:id="16"/>
      </w:r>
      <w:r>
        <w:rPr>
          <w:bCs/>
          <w:lang w:val="en-GB"/>
        </w:rPr>
        <w:t xml:space="preserve"> The purpose of this paper is not to</w:t>
      </w:r>
      <w:r w:rsidR="00067BA2">
        <w:rPr>
          <w:bCs/>
          <w:lang w:val="en-GB"/>
        </w:rPr>
        <w:t xml:space="preserve"> offer</w:t>
      </w:r>
      <w:r>
        <w:rPr>
          <w:bCs/>
          <w:lang w:val="en-GB"/>
        </w:rPr>
        <w:t xml:space="preserve"> </w:t>
      </w:r>
      <w:r w:rsidR="00067BA2">
        <w:rPr>
          <w:bCs/>
          <w:lang w:val="en-GB"/>
        </w:rPr>
        <w:t>some specific</w:t>
      </w:r>
      <w:r>
        <w:rPr>
          <w:bCs/>
          <w:lang w:val="en-GB"/>
        </w:rPr>
        <w:t xml:space="preserve"> policy </w:t>
      </w:r>
      <w:r w:rsidR="00067BA2">
        <w:rPr>
          <w:bCs/>
          <w:lang w:val="en-GB"/>
        </w:rPr>
        <w:t>suggestions</w:t>
      </w:r>
      <w:r>
        <w:rPr>
          <w:bCs/>
          <w:lang w:val="en-GB"/>
        </w:rPr>
        <w:t xml:space="preserve"> ensuing from accepting the notion of global citizenship but rather to start the discussion on how to </w:t>
      </w:r>
      <w:r w:rsidR="000B3C2B">
        <w:rPr>
          <w:bCs/>
          <w:lang w:val="en-GB"/>
        </w:rPr>
        <w:t>facilitate</w:t>
      </w:r>
      <w:r>
        <w:rPr>
          <w:bCs/>
          <w:lang w:val="en-GB"/>
        </w:rPr>
        <w:t xml:space="preserve"> </w:t>
      </w:r>
      <w:r w:rsidR="00B737B8">
        <w:rPr>
          <w:bCs/>
          <w:lang w:val="en-GB"/>
        </w:rPr>
        <w:t xml:space="preserve">human </w:t>
      </w:r>
      <w:r>
        <w:rPr>
          <w:bCs/>
          <w:lang w:val="en-GB"/>
        </w:rPr>
        <w:t xml:space="preserve">prospering without relying on outdated exclusionary tools such as national citizenship. </w:t>
      </w:r>
      <w:r w:rsidR="008B2106">
        <w:rPr>
          <w:bCs/>
          <w:lang w:val="en-GB"/>
        </w:rPr>
        <w:t xml:space="preserve">This is not a short-term project, yet it is appropriate </w:t>
      </w:r>
      <w:r w:rsidR="001C77B6">
        <w:rPr>
          <w:bCs/>
          <w:lang w:val="en-GB"/>
        </w:rPr>
        <w:t>now</w:t>
      </w:r>
      <w:r w:rsidR="00D113F0">
        <w:rPr>
          <w:bCs/>
          <w:lang w:val="en-GB"/>
        </w:rPr>
        <w:t xml:space="preserve"> </w:t>
      </w:r>
      <w:r w:rsidR="008B2106">
        <w:rPr>
          <w:bCs/>
          <w:lang w:val="en-GB"/>
        </w:rPr>
        <w:t xml:space="preserve">to create </w:t>
      </w:r>
      <w:r w:rsidR="00000712">
        <w:rPr>
          <w:bCs/>
          <w:lang w:val="en-GB"/>
        </w:rPr>
        <w:t xml:space="preserve">legal </w:t>
      </w:r>
      <w:r w:rsidR="008B2106">
        <w:rPr>
          <w:bCs/>
          <w:lang w:val="en-GB"/>
        </w:rPr>
        <w:t>vocabulary</w:t>
      </w:r>
      <w:r w:rsidR="008B2106" w:rsidRPr="008B2106">
        <w:rPr>
          <w:bCs/>
          <w:lang w:val="en-GB"/>
        </w:rPr>
        <w:t xml:space="preserve"> </w:t>
      </w:r>
      <w:r w:rsidR="008B2106">
        <w:rPr>
          <w:bCs/>
          <w:lang w:val="en-GB"/>
        </w:rPr>
        <w:t xml:space="preserve">to </w:t>
      </w:r>
      <w:r w:rsidR="008B2106">
        <w:rPr>
          <w:bCs/>
          <w:lang w:val="en-GB"/>
        </w:rPr>
        <w:lastRenderedPageBreak/>
        <w:t xml:space="preserve">reflect the core of our shared humanity </w:t>
      </w:r>
      <w:r w:rsidR="00CE2437">
        <w:rPr>
          <w:bCs/>
          <w:lang w:val="en-GB"/>
        </w:rPr>
        <w:t xml:space="preserve">that </w:t>
      </w:r>
      <w:r w:rsidR="008B2106">
        <w:rPr>
          <w:bCs/>
          <w:lang w:val="en-GB"/>
        </w:rPr>
        <w:t>go</w:t>
      </w:r>
      <w:r w:rsidR="00CE2437">
        <w:rPr>
          <w:bCs/>
          <w:lang w:val="en-GB"/>
        </w:rPr>
        <w:t>es</w:t>
      </w:r>
      <w:r w:rsidR="008B2106">
        <w:rPr>
          <w:bCs/>
          <w:lang w:val="en-GB"/>
        </w:rPr>
        <w:t xml:space="preserve"> deeper than any specific identity</w:t>
      </w:r>
      <w:r>
        <w:rPr>
          <w:bCs/>
          <w:lang w:val="en-GB"/>
        </w:rPr>
        <w:t xml:space="preserve">. This exercise </w:t>
      </w:r>
      <w:r w:rsidR="001C77B6">
        <w:rPr>
          <w:bCs/>
          <w:lang w:val="en-GB"/>
        </w:rPr>
        <w:t>may assist in galvanizing efforts around the</w:t>
      </w:r>
      <w:r>
        <w:rPr>
          <w:bCs/>
          <w:lang w:val="en-GB"/>
        </w:rPr>
        <w:t xml:space="preserve"> mounting number of </w:t>
      </w:r>
      <w:r w:rsidR="00FB3951">
        <w:rPr>
          <w:bCs/>
          <w:lang w:val="en-GB"/>
        </w:rPr>
        <w:t>global</w:t>
      </w:r>
      <w:r w:rsidR="00D93BF7">
        <w:rPr>
          <w:bCs/>
          <w:lang w:val="en-GB"/>
        </w:rPr>
        <w:t xml:space="preserve"> </w:t>
      </w:r>
      <w:r>
        <w:rPr>
          <w:bCs/>
          <w:lang w:val="en-GB"/>
        </w:rPr>
        <w:t xml:space="preserve">concerns, such as climate change, the increasing availability of technology for creating nuclear and biological weapons, and the </w:t>
      </w:r>
      <w:r w:rsidR="001F3F6A" w:rsidRPr="001F3F6A">
        <w:rPr>
          <w:bCs/>
          <w:lang w:val="en-GB"/>
        </w:rPr>
        <w:t xml:space="preserve">interwoven </w:t>
      </w:r>
      <w:r>
        <w:rPr>
          <w:bCs/>
          <w:lang w:val="en-GB"/>
        </w:rPr>
        <w:t xml:space="preserve">nature of supply chains. </w:t>
      </w:r>
    </w:p>
    <w:p w14:paraId="0E6F4B25" w14:textId="37BDE904" w:rsidR="007A4DF1" w:rsidRDefault="004D2A15" w:rsidP="00656EB9">
      <w:pPr>
        <w:pStyle w:val="ListParagraph"/>
        <w:numPr>
          <w:ilvl w:val="0"/>
          <w:numId w:val="1"/>
        </w:numPr>
        <w:spacing w:before="240" w:line="360" w:lineRule="auto"/>
        <w:rPr>
          <w:b/>
          <w:lang w:val="en-GB"/>
        </w:rPr>
      </w:pPr>
      <w:r>
        <w:rPr>
          <w:b/>
          <w:lang w:val="en-GB"/>
        </w:rPr>
        <w:t>The r</w:t>
      </w:r>
      <w:r w:rsidR="007A4DF1">
        <w:rPr>
          <w:b/>
          <w:lang w:val="en-GB"/>
        </w:rPr>
        <w:t>ight of access to justice in human rights discourse</w:t>
      </w:r>
    </w:p>
    <w:p w14:paraId="33D61D45" w14:textId="4D4AFAC5" w:rsidR="007A4DF1" w:rsidRDefault="007A4DF1" w:rsidP="00656EB9">
      <w:pPr>
        <w:pStyle w:val="NormalWeb"/>
        <w:spacing w:before="240" w:beforeAutospacing="0" w:after="0" w:afterAutospacing="0" w:line="360" w:lineRule="auto"/>
        <w:rPr>
          <w:bCs/>
          <w:lang w:val="en-GB"/>
        </w:rPr>
      </w:pPr>
      <w:r w:rsidRPr="00656EB9">
        <w:rPr>
          <w:bCs/>
          <w:lang w:val="en-GB"/>
        </w:rPr>
        <w:t xml:space="preserve">Prior to delving into the </w:t>
      </w:r>
      <w:r>
        <w:rPr>
          <w:bCs/>
          <w:lang w:val="en-GB"/>
        </w:rPr>
        <w:t xml:space="preserve">conceptual framework laid down by Marshall, it is important to establish what the ‘right of access to justice’ denotes in a contemporary human rights discourse. </w:t>
      </w:r>
    </w:p>
    <w:p w14:paraId="336F8D0A" w14:textId="50833D9E" w:rsidR="007A4DF1" w:rsidRDefault="007A4DF1" w:rsidP="00135486">
      <w:pPr>
        <w:pStyle w:val="NormalWeb"/>
        <w:spacing w:before="240" w:beforeAutospacing="0" w:after="0" w:afterAutospacing="0" w:line="360" w:lineRule="auto"/>
        <w:rPr>
          <w:bCs/>
          <w:lang w:val="en-GB"/>
        </w:rPr>
      </w:pPr>
      <w:r>
        <w:rPr>
          <w:bCs/>
          <w:lang w:val="en-GB"/>
        </w:rPr>
        <w:t xml:space="preserve">Even within the framework of a purely legal discussion, one may adopt varying positions depending on whether the wish is to </w:t>
      </w:r>
      <w:r w:rsidR="009D556C">
        <w:rPr>
          <w:bCs/>
          <w:lang w:val="en-GB"/>
        </w:rPr>
        <w:t xml:space="preserve">adhere to </w:t>
      </w:r>
      <w:r>
        <w:rPr>
          <w:bCs/>
          <w:lang w:val="en-GB"/>
        </w:rPr>
        <w:t xml:space="preserve">a more normative language of natural law (how things </w:t>
      </w:r>
      <w:r w:rsidRPr="009E6D89">
        <w:rPr>
          <w:bCs/>
          <w:i/>
          <w:iCs/>
          <w:lang w:val="en-GB"/>
        </w:rPr>
        <w:t>ought</w:t>
      </w:r>
      <w:r>
        <w:rPr>
          <w:bCs/>
          <w:lang w:val="en-GB"/>
        </w:rPr>
        <w:t xml:space="preserve"> to be) or a more descriptive account of positive law. The term ‘justice’ in the phrase ‘access to justice’ in a human rights discourse would encompass, in its broadest iteration, remedies offered by competent public authorities capable of performing dispute settlement function</w:t>
      </w:r>
      <w:r w:rsidR="00F95D68">
        <w:rPr>
          <w:bCs/>
          <w:lang w:val="en-GB"/>
        </w:rPr>
        <w:t>s</w:t>
      </w:r>
      <w:r>
        <w:rPr>
          <w:bCs/>
          <w:lang w:val="en-GB"/>
        </w:rPr>
        <w:t xml:space="preserve"> and not necessarily limited to courts of law.</w:t>
      </w:r>
      <w:r>
        <w:rPr>
          <w:rStyle w:val="EndnoteReference"/>
          <w:bCs/>
          <w:lang w:val="en-GB"/>
        </w:rPr>
        <w:endnoteReference w:id="17"/>
      </w:r>
      <w:r>
        <w:rPr>
          <w:bCs/>
          <w:lang w:val="en-GB"/>
        </w:rPr>
        <w:t xml:space="preserve"> This procedural meaning is contextual and displays faithful adherence to legal positivism. The term ‘justice’ here is not deployed as a normative or evaluative criterion but rather as a method of obtaining redress stipulated by law. </w:t>
      </w:r>
    </w:p>
    <w:p w14:paraId="6880E21E" w14:textId="2669FD4B" w:rsidR="007A4DF1" w:rsidRDefault="007A4DF1" w:rsidP="00656EB9">
      <w:pPr>
        <w:pStyle w:val="NormalWeb"/>
        <w:spacing w:before="240" w:beforeAutospacing="0" w:after="0" w:afterAutospacing="0" w:line="360" w:lineRule="auto"/>
        <w:rPr>
          <w:bCs/>
          <w:lang w:val="en-GB"/>
        </w:rPr>
      </w:pPr>
      <w:r w:rsidRPr="006E2CBB">
        <w:rPr>
          <w:bCs/>
          <w:lang w:val="en-GB"/>
        </w:rPr>
        <w:t>Legal positivists, such as HLA Hart, argue that subjective justice and humanity are distinct from law, which is legally valid when it is adopted according to correct procedure.</w:t>
      </w:r>
      <w:r w:rsidRPr="006E2CBB">
        <w:rPr>
          <w:rStyle w:val="EndnoteReference"/>
          <w:bCs/>
          <w:lang w:val="en-GB"/>
        </w:rPr>
        <w:endnoteReference w:id="18"/>
      </w:r>
      <w:r w:rsidRPr="006E2CBB">
        <w:rPr>
          <w:bCs/>
          <w:lang w:val="en-GB"/>
        </w:rPr>
        <w:t xml:space="preserve"> Another proponent of legal positivism - Hans </w:t>
      </w:r>
      <w:proofErr w:type="spellStart"/>
      <w:r w:rsidRPr="006E2CBB">
        <w:rPr>
          <w:bCs/>
          <w:lang w:val="en-GB"/>
        </w:rPr>
        <w:t>Kelsen</w:t>
      </w:r>
      <w:proofErr w:type="spellEnd"/>
      <w:r w:rsidRPr="006E2CBB">
        <w:rPr>
          <w:bCs/>
          <w:lang w:val="en-GB"/>
        </w:rPr>
        <w:t xml:space="preserve"> - provides a slightly different account by tracing law’s validity not to the social fact of the enactment of the legal statute but rather to the underlying basic norm.</w:t>
      </w:r>
      <w:r w:rsidRPr="006E2CBB">
        <w:rPr>
          <w:rStyle w:val="EndnoteReference"/>
          <w:bCs/>
          <w:lang w:val="en-GB"/>
        </w:rPr>
        <w:endnoteReference w:id="19"/>
      </w:r>
      <w:r w:rsidRPr="006E2CBB">
        <w:rPr>
          <w:bCs/>
          <w:lang w:val="en-GB"/>
        </w:rPr>
        <w:t xml:space="preserve"> </w:t>
      </w:r>
      <w:proofErr w:type="spellStart"/>
      <w:r w:rsidRPr="006E2CBB">
        <w:rPr>
          <w:bCs/>
          <w:lang w:val="en-GB"/>
        </w:rPr>
        <w:t>Kelsen</w:t>
      </w:r>
      <w:proofErr w:type="spellEnd"/>
      <w:r w:rsidRPr="006E2CBB">
        <w:rPr>
          <w:bCs/>
          <w:lang w:val="en-GB"/>
        </w:rPr>
        <w:t xml:space="preserve"> maintains that any legal order is a hierarchy of norms, in which the constitution in its ‘material’ sense occupies the highest place. The constitution determines the content of laws in the lower strata of the hierarchy.</w:t>
      </w:r>
      <w:r w:rsidRPr="006E2CBB">
        <w:rPr>
          <w:rStyle w:val="EndnoteReference"/>
          <w:bCs/>
          <w:lang w:val="en-GB"/>
        </w:rPr>
        <w:endnoteReference w:id="20"/>
      </w:r>
      <w:r w:rsidRPr="006E2CBB">
        <w:rPr>
          <w:bCs/>
          <w:lang w:val="en-GB"/>
        </w:rPr>
        <w:t xml:space="preserve"> The conception of justice is thus viewed as distinct from law. Justice is </w:t>
      </w:r>
      <w:r>
        <w:rPr>
          <w:bCs/>
          <w:lang w:val="en-GB"/>
        </w:rPr>
        <w:t>portrayed</w:t>
      </w:r>
      <w:r w:rsidRPr="006E2CBB">
        <w:rPr>
          <w:bCs/>
          <w:lang w:val="en-GB"/>
        </w:rPr>
        <w:t xml:space="preserve"> as a subjective judgment of value, while law is an objective social phenomenon detached from a specific ideal of justice.</w:t>
      </w:r>
      <w:r w:rsidRPr="006E2CBB">
        <w:rPr>
          <w:rStyle w:val="EndnoteReference"/>
          <w:bCs/>
          <w:lang w:val="en-GB"/>
        </w:rPr>
        <w:endnoteReference w:id="21"/>
      </w:r>
      <w:r w:rsidRPr="006E2CBB">
        <w:rPr>
          <w:bCs/>
          <w:lang w:val="en-GB"/>
        </w:rPr>
        <w:t xml:space="preserve"> </w:t>
      </w:r>
      <w:proofErr w:type="spellStart"/>
      <w:r w:rsidRPr="006E2CBB">
        <w:rPr>
          <w:bCs/>
          <w:lang w:val="en-GB"/>
        </w:rPr>
        <w:t>Kelsen</w:t>
      </w:r>
      <w:proofErr w:type="spellEnd"/>
      <w:r w:rsidRPr="006E2CBB">
        <w:rPr>
          <w:bCs/>
          <w:lang w:val="en-GB"/>
        </w:rPr>
        <w:t xml:space="preserve"> admits that despite the subjective nature of justice, it is not necessarily an individual judgment as there can be a societal agreement as to what is considered just.</w:t>
      </w:r>
      <w:r w:rsidRPr="006E2CBB">
        <w:rPr>
          <w:rStyle w:val="EndnoteReference"/>
          <w:bCs/>
          <w:lang w:val="en-GB"/>
        </w:rPr>
        <w:endnoteReference w:id="22"/>
      </w:r>
      <w:r w:rsidRPr="006E2CBB">
        <w:rPr>
          <w:bCs/>
          <w:lang w:val="en-GB"/>
        </w:rPr>
        <w:t xml:space="preserve"> To sum up, positivists</w:t>
      </w:r>
      <w:r>
        <w:rPr>
          <w:bCs/>
          <w:lang w:val="en-GB"/>
        </w:rPr>
        <w:t xml:space="preserve"> describe law as an objective social fact, which gives rise to rights and obligations. Law is thus distinct </w:t>
      </w:r>
      <w:r>
        <w:rPr>
          <w:bCs/>
          <w:lang w:val="en-GB"/>
        </w:rPr>
        <w:lastRenderedPageBreak/>
        <w:t xml:space="preserve">from the subjective system of beliefs accepted at an individual or a communal level, the latter notion embraced by the broader idea of justice. </w:t>
      </w:r>
    </w:p>
    <w:p w14:paraId="2D85C4A1" w14:textId="27154570" w:rsidR="007A4DF1" w:rsidRDefault="007A4DF1" w:rsidP="00656EB9">
      <w:pPr>
        <w:pStyle w:val="NormalWeb"/>
        <w:spacing w:before="240" w:beforeAutospacing="0" w:after="0" w:afterAutospacing="0" w:line="360" w:lineRule="auto"/>
        <w:rPr>
          <w:bCs/>
          <w:lang w:val="en-GB"/>
        </w:rPr>
      </w:pPr>
      <w:r>
        <w:rPr>
          <w:bCs/>
          <w:lang w:val="en-GB"/>
        </w:rPr>
        <w:t xml:space="preserve">The meaning and scope of the term ‘right of access to justice’ in a positivistic sense of the word has been thoroughly explored by Francesco </w:t>
      </w:r>
      <w:proofErr w:type="spellStart"/>
      <w:r>
        <w:rPr>
          <w:bCs/>
          <w:lang w:val="en-GB"/>
        </w:rPr>
        <w:t>Francioni</w:t>
      </w:r>
      <w:proofErr w:type="spellEnd"/>
      <w:r>
        <w:rPr>
          <w:bCs/>
          <w:lang w:val="en-GB"/>
        </w:rPr>
        <w:t xml:space="preserve"> in his work on access to justice as a human right.</w:t>
      </w:r>
      <w:r>
        <w:rPr>
          <w:rStyle w:val="EndnoteReference"/>
          <w:bCs/>
          <w:lang w:val="en-GB"/>
        </w:rPr>
        <w:endnoteReference w:id="23"/>
      </w:r>
      <w:r>
        <w:rPr>
          <w:bCs/>
          <w:lang w:val="en-GB"/>
        </w:rPr>
        <w:t xml:space="preserve"> </w:t>
      </w:r>
      <w:r w:rsidR="00F95D68">
        <w:rPr>
          <w:bCs/>
          <w:lang w:val="en-GB"/>
        </w:rPr>
        <w:t>A p</w:t>
      </w:r>
      <w:r>
        <w:rPr>
          <w:bCs/>
          <w:lang w:val="en-GB"/>
        </w:rPr>
        <w:t xml:space="preserve">ositivistic approach is a helpful starting point as </w:t>
      </w:r>
      <w:r w:rsidR="005D3111">
        <w:rPr>
          <w:bCs/>
          <w:lang w:val="en-GB"/>
        </w:rPr>
        <w:t xml:space="preserve">a </w:t>
      </w:r>
      <w:r>
        <w:rPr>
          <w:bCs/>
          <w:lang w:val="en-GB"/>
        </w:rPr>
        <w:t xml:space="preserve">clear understanding of the operational legal system at play is crucial for discerning the relevance of Marshall’s work for the </w:t>
      </w:r>
      <w:r w:rsidRPr="00656EB9">
        <w:rPr>
          <w:bCs/>
          <w:i/>
          <w:iCs/>
          <w:lang w:val="en-GB"/>
        </w:rPr>
        <w:t>development</w:t>
      </w:r>
      <w:r>
        <w:rPr>
          <w:bCs/>
          <w:lang w:val="en-GB"/>
        </w:rPr>
        <w:t xml:space="preserve"> of </w:t>
      </w:r>
      <w:r w:rsidRPr="00741BC7">
        <w:rPr>
          <w:bCs/>
          <w:lang w:val="en-GB"/>
        </w:rPr>
        <w:t>law</w:t>
      </w:r>
      <w:r w:rsidRPr="00476A45">
        <w:rPr>
          <w:bCs/>
          <w:lang w:val="en-GB"/>
        </w:rPr>
        <w:t>.</w:t>
      </w:r>
      <w:r w:rsidRPr="00741BC7">
        <w:rPr>
          <w:rStyle w:val="EndnoteReference"/>
          <w:bCs/>
          <w:lang w:val="en-GB"/>
        </w:rPr>
        <w:endnoteReference w:id="24"/>
      </w:r>
      <w:r>
        <w:rPr>
          <w:bCs/>
          <w:lang w:val="en-GB"/>
        </w:rPr>
        <w:t xml:space="preserve"> A short summary of Francesco </w:t>
      </w:r>
      <w:proofErr w:type="spellStart"/>
      <w:r>
        <w:rPr>
          <w:bCs/>
          <w:lang w:val="en-GB"/>
        </w:rPr>
        <w:t>Francioni’s</w:t>
      </w:r>
      <w:proofErr w:type="spellEnd"/>
      <w:r>
        <w:rPr>
          <w:bCs/>
          <w:lang w:val="en-GB"/>
        </w:rPr>
        <w:t xml:space="preserve"> conceptualisation of the ‘right of access to justice’ is thus merited here for the reasons of clarity. </w:t>
      </w:r>
      <w:proofErr w:type="spellStart"/>
      <w:r>
        <w:rPr>
          <w:bCs/>
          <w:lang w:val="en-GB"/>
        </w:rPr>
        <w:t>Francioni</w:t>
      </w:r>
      <w:proofErr w:type="spellEnd"/>
      <w:r>
        <w:rPr>
          <w:bCs/>
          <w:lang w:val="en-GB"/>
        </w:rPr>
        <w:t xml:space="preserve"> makes his position apparent with reference to a more general notion of ‘human rights’. He explains that for the purpose of his work this term is to be used not in relation to abstract concepts of natural law, but rather in relation to positive law and more specifically a plethora of multilateral treaties, soft law, customary international law, as well as ensuing</w:t>
      </w:r>
      <w:r w:rsidR="002A6E51">
        <w:rPr>
          <w:bCs/>
          <w:lang w:val="en-GB"/>
        </w:rPr>
        <w:t xml:space="preserve"> the</w:t>
      </w:r>
      <w:r>
        <w:rPr>
          <w:bCs/>
          <w:lang w:val="en-GB"/>
        </w:rPr>
        <w:t xml:space="preserve"> legal practice.</w:t>
      </w:r>
      <w:r>
        <w:rPr>
          <w:rStyle w:val="EndnoteReference"/>
          <w:bCs/>
          <w:lang w:val="en-GB"/>
        </w:rPr>
        <w:endnoteReference w:id="25"/>
      </w:r>
      <w:r>
        <w:rPr>
          <w:bCs/>
          <w:lang w:val="en-GB"/>
        </w:rPr>
        <w:t xml:space="preserve">  </w:t>
      </w:r>
    </w:p>
    <w:p w14:paraId="7BEE0520" w14:textId="33C0C62E" w:rsidR="007A4DF1" w:rsidRDefault="007A4DF1" w:rsidP="00656EB9">
      <w:pPr>
        <w:pStyle w:val="NormalWeb"/>
        <w:spacing w:before="240" w:beforeAutospacing="0" w:after="0" w:afterAutospacing="0" w:line="360" w:lineRule="auto"/>
        <w:rPr>
          <w:bCs/>
          <w:lang w:val="en-GB"/>
        </w:rPr>
      </w:pPr>
      <w:r>
        <w:rPr>
          <w:bCs/>
          <w:lang w:val="en-GB"/>
        </w:rPr>
        <w:t xml:space="preserve">These legal events cumulatively created a system of international obligations binding upon states in their relationship to each other, and, in some instances, towards </w:t>
      </w:r>
      <w:r w:rsidR="00F416AF">
        <w:rPr>
          <w:bCs/>
          <w:lang w:val="en-GB"/>
        </w:rPr>
        <w:t xml:space="preserve">the </w:t>
      </w:r>
      <w:r>
        <w:rPr>
          <w:bCs/>
          <w:lang w:val="en-GB"/>
        </w:rPr>
        <w:t>international community as a whole, private entities and private individuals.</w:t>
      </w:r>
      <w:r>
        <w:rPr>
          <w:rStyle w:val="EndnoteReference"/>
          <w:bCs/>
          <w:lang w:val="en-GB"/>
        </w:rPr>
        <w:endnoteReference w:id="26"/>
      </w:r>
      <w:r>
        <w:rPr>
          <w:bCs/>
          <w:lang w:val="en-GB"/>
        </w:rPr>
        <w:t xml:space="preserve"> </w:t>
      </w:r>
      <w:proofErr w:type="spellStart"/>
      <w:r>
        <w:rPr>
          <w:bCs/>
          <w:lang w:val="en-GB"/>
        </w:rPr>
        <w:t>Francioni</w:t>
      </w:r>
      <w:proofErr w:type="spellEnd"/>
      <w:r>
        <w:rPr>
          <w:bCs/>
          <w:lang w:val="en-GB"/>
        </w:rPr>
        <w:t xml:space="preserve"> then concedes that such</w:t>
      </w:r>
      <w:r w:rsidR="00E742BD">
        <w:rPr>
          <w:bCs/>
          <w:lang w:val="en-GB"/>
        </w:rPr>
        <w:t xml:space="preserve"> a</w:t>
      </w:r>
      <w:r>
        <w:rPr>
          <w:bCs/>
          <w:lang w:val="en-GB"/>
        </w:rPr>
        <w:t xml:space="preserve"> </w:t>
      </w:r>
      <w:r w:rsidRPr="001C3BD7">
        <w:rPr>
          <w:bCs/>
          <w:lang w:val="en-GB"/>
        </w:rPr>
        <w:t>positivistic focus does not undermine the notion of</w:t>
      </w:r>
      <w:r w:rsidR="00F416AF" w:rsidRPr="001C3BD7">
        <w:rPr>
          <w:bCs/>
          <w:lang w:val="en-GB"/>
        </w:rPr>
        <w:t xml:space="preserve"> the</w:t>
      </w:r>
      <w:r w:rsidRPr="001C3BD7">
        <w:rPr>
          <w:bCs/>
          <w:lang w:val="en-GB"/>
        </w:rPr>
        <w:t xml:space="preserve"> universality of human rights because the universality standard is fully compatible with a broad margin of cultural adaptation in various domestic legal systems and traditions. This means that the same rights are understood and</w:t>
      </w:r>
      <w:r>
        <w:rPr>
          <w:bCs/>
          <w:lang w:val="en-GB"/>
        </w:rPr>
        <w:t xml:space="preserve"> implemented differently in </w:t>
      </w:r>
      <w:r w:rsidRPr="004B6373">
        <w:rPr>
          <w:bCs/>
          <w:lang w:val="en-GB"/>
        </w:rPr>
        <w:t>different parts of the world.</w:t>
      </w:r>
      <w:r>
        <w:rPr>
          <w:rStyle w:val="EndnoteReference"/>
          <w:bCs/>
          <w:lang w:val="en-GB"/>
        </w:rPr>
        <w:endnoteReference w:id="27"/>
      </w:r>
      <w:r>
        <w:rPr>
          <w:bCs/>
          <w:lang w:val="en-GB"/>
        </w:rPr>
        <w:t xml:space="preserve"> This viewpoint creates an opening for developing the normative content of the rights in question in line with natural law philosophy. Section </w:t>
      </w:r>
      <w:r w:rsidRPr="00077D13">
        <w:rPr>
          <w:bCs/>
          <w:lang w:val="en-GB"/>
        </w:rPr>
        <w:t>four</w:t>
      </w:r>
      <w:r>
        <w:rPr>
          <w:bCs/>
          <w:lang w:val="en-GB"/>
        </w:rPr>
        <w:t xml:space="preserve"> of this paper does precisely that with respect to the right of access to justice.</w:t>
      </w:r>
    </w:p>
    <w:p w14:paraId="5580D7F9" w14:textId="54976AF7" w:rsidR="007A4DF1" w:rsidRPr="00656EB9" w:rsidRDefault="007A4DF1" w:rsidP="00656EB9">
      <w:pPr>
        <w:spacing w:before="240" w:line="360" w:lineRule="auto"/>
        <w:rPr>
          <w:bCs/>
          <w:lang w:val="en-GB"/>
        </w:rPr>
      </w:pPr>
      <w:r>
        <w:rPr>
          <w:bCs/>
          <w:lang w:val="en-GB"/>
        </w:rPr>
        <w:t xml:space="preserve">While the right of access to justice is enshrined in </w:t>
      </w:r>
      <w:proofErr w:type="gramStart"/>
      <w:r>
        <w:rPr>
          <w:bCs/>
          <w:lang w:val="en-GB"/>
        </w:rPr>
        <w:t>a number of</w:t>
      </w:r>
      <w:proofErr w:type="gramEnd"/>
      <w:r>
        <w:rPr>
          <w:bCs/>
          <w:lang w:val="en-GB"/>
        </w:rPr>
        <w:t xml:space="preserve"> legal instruments, it is not necessarily formulated in these terms. Major human rights treaties rather contain procedural provisions on ‘effective remedy’, guaranteeing certain possibilities of recourse. For instance, Article 8 of the Universal Declaration of Human Rights </w:t>
      </w:r>
      <w:r w:rsidRPr="004E5EBA">
        <w:rPr>
          <w:bCs/>
          <w:lang w:val="en-GB"/>
        </w:rPr>
        <w:t>recognizes an individual’s right to an effective remedy</w:t>
      </w:r>
      <w:r>
        <w:rPr>
          <w:bCs/>
          <w:lang w:val="en-GB"/>
        </w:rPr>
        <w:t>, but</w:t>
      </w:r>
      <w:r w:rsidRPr="004E5EBA">
        <w:rPr>
          <w:bCs/>
          <w:lang w:val="en-GB"/>
        </w:rPr>
        <w:t xml:space="preserve"> only in relation to ‘acts violating the fundamental rights granted him by the constitution and by law’.</w:t>
      </w:r>
      <w:r>
        <w:rPr>
          <w:rStyle w:val="EndnoteReference"/>
          <w:bCs/>
          <w:lang w:val="en-GB"/>
        </w:rPr>
        <w:endnoteReference w:id="28"/>
      </w:r>
      <w:r>
        <w:rPr>
          <w:bCs/>
          <w:lang w:val="en-GB"/>
        </w:rPr>
        <w:t xml:space="preserve"> Interestingly, this provision links the implementation of human rights to domestic law. In contrast, Article 13 of the European Convention on Human Rights (ECHR) mentions the right to an effective remedy with respect to </w:t>
      </w:r>
      <w:r w:rsidRPr="004E5EBA">
        <w:rPr>
          <w:bCs/>
          <w:lang w:val="en-GB"/>
        </w:rPr>
        <w:t xml:space="preserve">‘rights and freedoms as set forth in this </w:t>
      </w:r>
      <w:r w:rsidRPr="004E5EBA">
        <w:rPr>
          <w:bCs/>
          <w:lang w:val="en-GB"/>
        </w:rPr>
        <w:lastRenderedPageBreak/>
        <w:t>Convention’</w:t>
      </w:r>
      <w:r>
        <w:rPr>
          <w:bCs/>
          <w:lang w:val="en-GB"/>
        </w:rPr>
        <w:t>, thereby referring to an international standard. Nonetheless, the ECHR limits the right of recourse only to guarantees enshrined in the Convention.</w:t>
      </w:r>
      <w:r>
        <w:rPr>
          <w:rStyle w:val="EndnoteReference"/>
          <w:bCs/>
          <w:lang w:val="en-GB"/>
        </w:rPr>
        <w:endnoteReference w:id="29"/>
      </w:r>
      <w:r w:rsidR="004173A7">
        <w:rPr>
          <w:bCs/>
          <w:lang w:val="en-GB"/>
        </w:rPr>
        <w:t xml:space="preserve"> </w:t>
      </w:r>
      <w:r>
        <w:rPr>
          <w:bCs/>
          <w:lang w:val="en-GB"/>
        </w:rPr>
        <w:t>The International Covenant on Civil and Political Rights has a weaker provision calling on states to ‘</w:t>
      </w:r>
      <w:r w:rsidRPr="004E5EBA">
        <w:rPr>
          <w:bCs/>
          <w:lang w:val="en-GB"/>
        </w:rPr>
        <w:t xml:space="preserve">[t]o </w:t>
      </w:r>
      <w:proofErr w:type="gramStart"/>
      <w:r w:rsidRPr="004E5EBA">
        <w:rPr>
          <w:bCs/>
          <w:lang w:val="en-GB"/>
        </w:rPr>
        <w:t>ensure</w:t>
      </w:r>
      <w:proofErr w:type="gramEnd"/>
      <w:r w:rsidRPr="004E5EBA">
        <w:rPr>
          <w:bCs/>
          <w:lang w:val="en-GB"/>
        </w:rPr>
        <w:t xml:space="preserve"> that any person whose rights and freedoms herein recognized are violated shall have an effective remedy’.</w:t>
      </w:r>
      <w:r>
        <w:rPr>
          <w:rStyle w:val="EndnoteReference"/>
          <w:bCs/>
          <w:lang w:val="en-GB"/>
        </w:rPr>
        <w:endnoteReference w:id="30"/>
      </w:r>
    </w:p>
    <w:p w14:paraId="7E3A02CC" w14:textId="77777777" w:rsidR="00077D13" w:rsidRDefault="007A4DF1" w:rsidP="00656EB9">
      <w:pPr>
        <w:spacing w:before="240" w:line="360" w:lineRule="auto"/>
        <w:rPr>
          <w:bCs/>
          <w:lang w:val="en-US"/>
        </w:rPr>
      </w:pPr>
      <w:proofErr w:type="spellStart"/>
      <w:r>
        <w:rPr>
          <w:bCs/>
          <w:lang w:val="en-US"/>
        </w:rPr>
        <w:t>Francioni</w:t>
      </w:r>
      <w:proofErr w:type="spellEnd"/>
      <w:r>
        <w:rPr>
          <w:bCs/>
          <w:lang w:val="en-US"/>
        </w:rPr>
        <w:t xml:space="preserve"> makes express concessions to progressive developments in the field of international law, however, noting that legal practice expands the meaning of the right of access to justice beyond purely procedural guarantees contained in the majority of relevant legal instruments as it includes substantive components as well as necessary adaptations to the changing reality </w:t>
      </w:r>
      <w:r w:rsidRPr="0073639C">
        <w:rPr>
          <w:bCs/>
          <w:lang w:val="en-US"/>
        </w:rPr>
        <w:t>where private actors—individuals, as well as economic, scientific, and technological entities—are increasingly participating in the process of law formation, law enforcement, and adjudication at the international level.</w:t>
      </w:r>
      <w:r>
        <w:rPr>
          <w:rStyle w:val="EndnoteReference"/>
          <w:bCs/>
          <w:lang w:val="en-US"/>
        </w:rPr>
        <w:endnoteReference w:id="31"/>
      </w:r>
      <w:r w:rsidRPr="0073639C">
        <w:rPr>
          <w:bCs/>
          <w:lang w:val="en-US"/>
        </w:rPr>
        <w:t xml:space="preserve"> </w:t>
      </w:r>
    </w:p>
    <w:p w14:paraId="4AA1B870" w14:textId="03BD8BB6" w:rsidR="00026C2D" w:rsidRDefault="007A4DF1" w:rsidP="00656EB9">
      <w:pPr>
        <w:spacing w:before="240" w:line="360" w:lineRule="auto"/>
        <w:rPr>
          <w:bCs/>
          <w:lang w:val="en-US"/>
        </w:rPr>
      </w:pPr>
      <w:r>
        <w:rPr>
          <w:bCs/>
          <w:lang w:val="en-US"/>
        </w:rPr>
        <w:t xml:space="preserve">To support this latter claim, </w:t>
      </w:r>
      <w:proofErr w:type="spellStart"/>
      <w:r>
        <w:rPr>
          <w:bCs/>
          <w:lang w:val="en-US"/>
        </w:rPr>
        <w:t>Francioni</w:t>
      </w:r>
      <w:proofErr w:type="spellEnd"/>
      <w:r>
        <w:rPr>
          <w:bCs/>
          <w:lang w:val="en-US"/>
        </w:rPr>
        <w:t xml:space="preserve"> mentions, among other cases, </w:t>
      </w:r>
      <w:proofErr w:type="spellStart"/>
      <w:r w:rsidRPr="00945FAD">
        <w:rPr>
          <w:bCs/>
          <w:i/>
          <w:iCs/>
          <w:lang w:val="en-US"/>
        </w:rPr>
        <w:t>Canea</w:t>
      </w:r>
      <w:proofErr w:type="spellEnd"/>
      <w:r w:rsidRPr="00945FAD">
        <w:rPr>
          <w:bCs/>
          <w:i/>
          <w:iCs/>
          <w:lang w:val="en-US"/>
        </w:rPr>
        <w:t xml:space="preserve"> Catholic Church v Greece</w:t>
      </w:r>
      <w:r>
        <w:rPr>
          <w:bCs/>
          <w:i/>
          <w:iCs/>
          <w:lang w:val="en-US"/>
        </w:rPr>
        <w:t xml:space="preserve">, </w:t>
      </w:r>
      <w:r w:rsidRPr="00891789">
        <w:rPr>
          <w:bCs/>
          <w:lang w:val="en-US"/>
        </w:rPr>
        <w:t>which was</w:t>
      </w:r>
      <w:r>
        <w:rPr>
          <w:bCs/>
          <w:lang w:val="en-US"/>
        </w:rPr>
        <w:t xml:space="preserve"> heard by the European Court of Human Rights (ECtHR) and </w:t>
      </w:r>
      <w:r w:rsidRPr="005418E5">
        <w:rPr>
          <w:bCs/>
          <w:lang w:val="en-US"/>
        </w:rPr>
        <w:t>concerned the law that effectively</w:t>
      </w:r>
      <w:r>
        <w:rPr>
          <w:bCs/>
          <w:i/>
          <w:iCs/>
          <w:lang w:val="en-US"/>
        </w:rPr>
        <w:t xml:space="preserve"> </w:t>
      </w:r>
      <w:r w:rsidRPr="00945FAD">
        <w:rPr>
          <w:bCs/>
          <w:lang w:val="en-US"/>
        </w:rPr>
        <w:t>barred the ability of the church to bring proceedings in Greek courts</w:t>
      </w:r>
      <w:r>
        <w:rPr>
          <w:bCs/>
          <w:lang w:val="en-US"/>
        </w:rPr>
        <w:t xml:space="preserve"> due to bureaucratic obstacles.</w:t>
      </w:r>
      <w:r>
        <w:rPr>
          <w:rStyle w:val="EndnoteReference"/>
          <w:bCs/>
          <w:lang w:val="en-US"/>
        </w:rPr>
        <w:endnoteReference w:id="32"/>
      </w:r>
      <w:r>
        <w:rPr>
          <w:bCs/>
          <w:lang w:val="en-US"/>
        </w:rPr>
        <w:t xml:space="preserve"> In this case, the ECtHR decided that the church had long been in existence and possessed legal personality. Thus, t</w:t>
      </w:r>
      <w:r w:rsidRPr="00945FAD">
        <w:rPr>
          <w:bCs/>
          <w:lang w:val="en-US"/>
        </w:rPr>
        <w:t>he</w:t>
      </w:r>
      <w:r>
        <w:rPr>
          <w:bCs/>
          <w:lang w:val="en-US"/>
        </w:rPr>
        <w:t xml:space="preserve"> </w:t>
      </w:r>
      <w:r w:rsidRPr="00945FAD">
        <w:rPr>
          <w:bCs/>
          <w:lang w:val="en-US"/>
        </w:rPr>
        <w:t>deprivation of any means to defend its rights constituted an impermissible interference with the very substance of the right of access to justice.</w:t>
      </w:r>
      <w:r>
        <w:rPr>
          <w:rStyle w:val="EndnoteReference"/>
          <w:bCs/>
          <w:lang w:val="en-US"/>
        </w:rPr>
        <w:endnoteReference w:id="33"/>
      </w:r>
      <w:r>
        <w:rPr>
          <w:bCs/>
          <w:lang w:val="en-US"/>
        </w:rPr>
        <w:t xml:space="preserve"> </w:t>
      </w:r>
      <w:r w:rsidR="00026C2D">
        <w:rPr>
          <w:bCs/>
          <w:lang w:val="en-US"/>
        </w:rPr>
        <w:t xml:space="preserve">Another example is </w:t>
      </w:r>
      <w:r w:rsidR="00F340AF">
        <w:rPr>
          <w:bCs/>
          <w:lang w:val="en-US"/>
        </w:rPr>
        <w:t xml:space="preserve">dynamic interpretation of the notion </w:t>
      </w:r>
      <w:r w:rsidR="00026C2D">
        <w:rPr>
          <w:bCs/>
          <w:lang w:val="en-US"/>
        </w:rPr>
        <w:t>of ‘fairness’ of criminal and civil proceedings enshrined in Article 6 of the ECHR</w:t>
      </w:r>
      <w:r w:rsidR="00F340AF">
        <w:rPr>
          <w:bCs/>
          <w:lang w:val="en-US"/>
        </w:rPr>
        <w:t xml:space="preserve">. This article is a substantive law provision, yet the evaluative criterion of </w:t>
      </w:r>
      <w:r w:rsidR="00FD5C5F">
        <w:rPr>
          <w:bCs/>
          <w:lang w:val="en-US"/>
        </w:rPr>
        <w:t>‘</w:t>
      </w:r>
      <w:r w:rsidR="00F340AF">
        <w:rPr>
          <w:bCs/>
          <w:lang w:val="en-US"/>
        </w:rPr>
        <w:t>fairness</w:t>
      </w:r>
      <w:r w:rsidR="00FD5C5F">
        <w:rPr>
          <w:bCs/>
          <w:lang w:val="en-US"/>
        </w:rPr>
        <w:t>’</w:t>
      </w:r>
      <w:r w:rsidR="00F340AF">
        <w:rPr>
          <w:bCs/>
          <w:lang w:val="en-US"/>
        </w:rPr>
        <w:t xml:space="preserve"> used to measure the effectiveness of domestic proceedings allows for the expansion of the meaning of procedural Article 13</w:t>
      </w:r>
      <w:r w:rsidR="00FD205F">
        <w:rPr>
          <w:bCs/>
          <w:lang w:val="en-US"/>
        </w:rPr>
        <w:t xml:space="preserve"> of the ECHR.</w:t>
      </w:r>
    </w:p>
    <w:p w14:paraId="54E4AF79" w14:textId="19A583AF" w:rsidR="007A4DF1" w:rsidRDefault="007A4DF1" w:rsidP="00656EB9">
      <w:pPr>
        <w:spacing w:before="240" w:line="360" w:lineRule="auto"/>
        <w:rPr>
          <w:bCs/>
          <w:lang w:val="en-US"/>
        </w:rPr>
      </w:pPr>
      <w:r>
        <w:rPr>
          <w:bCs/>
          <w:lang w:val="en-US"/>
        </w:rPr>
        <w:t xml:space="preserve">Sociologically speaking, </w:t>
      </w:r>
      <w:proofErr w:type="spellStart"/>
      <w:r>
        <w:rPr>
          <w:bCs/>
          <w:lang w:val="en-US"/>
        </w:rPr>
        <w:t>Francioni</w:t>
      </w:r>
      <w:proofErr w:type="spellEnd"/>
      <w:r>
        <w:rPr>
          <w:bCs/>
          <w:lang w:val="en-US"/>
        </w:rPr>
        <w:t xml:space="preserve"> notes that individual </w:t>
      </w:r>
      <w:r w:rsidRPr="00FA0965">
        <w:rPr>
          <w:bCs/>
          <w:lang w:val="en-US"/>
        </w:rPr>
        <w:t xml:space="preserve">access to international remedies has gained much wider recognition in </w:t>
      </w:r>
      <w:r>
        <w:rPr>
          <w:bCs/>
          <w:lang w:val="en-US"/>
        </w:rPr>
        <w:t>legal</w:t>
      </w:r>
      <w:r w:rsidRPr="00FA0965">
        <w:rPr>
          <w:bCs/>
          <w:lang w:val="en-US"/>
        </w:rPr>
        <w:t xml:space="preserve"> practice of the last quarter of </w:t>
      </w:r>
      <w:r>
        <w:rPr>
          <w:bCs/>
          <w:lang w:val="en-US"/>
        </w:rPr>
        <w:t>the</w:t>
      </w:r>
      <w:r w:rsidRPr="00FA0965">
        <w:rPr>
          <w:bCs/>
          <w:lang w:val="en-US"/>
        </w:rPr>
        <w:t xml:space="preserve"> </w:t>
      </w:r>
      <w:r>
        <w:rPr>
          <w:bCs/>
          <w:lang w:val="en-US"/>
        </w:rPr>
        <w:t xml:space="preserve">twentieth </w:t>
      </w:r>
      <w:r w:rsidRPr="00FA0965">
        <w:rPr>
          <w:bCs/>
          <w:lang w:val="en-US"/>
        </w:rPr>
        <w:t>century.</w:t>
      </w:r>
      <w:r>
        <w:rPr>
          <w:rStyle w:val="EndnoteReference"/>
          <w:bCs/>
          <w:lang w:val="en-US"/>
        </w:rPr>
        <w:endnoteReference w:id="34"/>
      </w:r>
      <w:r w:rsidRPr="00FA0965">
        <w:rPr>
          <w:bCs/>
          <w:lang w:val="en-US"/>
        </w:rPr>
        <w:t xml:space="preserve"> </w:t>
      </w:r>
      <w:r>
        <w:rPr>
          <w:bCs/>
          <w:lang w:val="en-US"/>
        </w:rPr>
        <w:t xml:space="preserve">One can argue that the first two decades of the twenty-first century only saw this trend grow manifold. As a result, it is plausible to maintain that an increased recognition of the right of individual recourse is precisely the defining feature of the emerging global citizenship </w:t>
      </w:r>
      <w:r w:rsidRPr="00C110DB">
        <w:rPr>
          <w:bCs/>
          <w:i/>
          <w:iCs/>
          <w:lang w:val="en-US"/>
        </w:rPr>
        <w:t>per</w:t>
      </w:r>
      <w:r>
        <w:rPr>
          <w:bCs/>
          <w:lang w:val="en-US"/>
        </w:rPr>
        <w:t xml:space="preserve"> Marshall discussed in the following section of the paper.</w:t>
      </w:r>
    </w:p>
    <w:p w14:paraId="6C602ED9" w14:textId="61260CF6" w:rsidR="007A4DF1" w:rsidRDefault="007A4DF1" w:rsidP="00656EB9">
      <w:pPr>
        <w:pStyle w:val="ListParagraph"/>
        <w:numPr>
          <w:ilvl w:val="0"/>
          <w:numId w:val="1"/>
        </w:numPr>
        <w:spacing w:before="240" w:line="360" w:lineRule="auto"/>
        <w:rPr>
          <w:b/>
          <w:lang w:val="en-GB"/>
        </w:rPr>
      </w:pPr>
      <w:r>
        <w:rPr>
          <w:b/>
          <w:lang w:val="en-GB"/>
        </w:rPr>
        <w:lastRenderedPageBreak/>
        <w:t xml:space="preserve">Global citizenship </w:t>
      </w:r>
      <w:r w:rsidRPr="00C110DB">
        <w:rPr>
          <w:b/>
          <w:i/>
          <w:iCs/>
          <w:lang w:val="en-GB"/>
        </w:rPr>
        <w:t xml:space="preserve">per </w:t>
      </w:r>
      <w:r>
        <w:rPr>
          <w:b/>
          <w:lang w:val="en-GB"/>
        </w:rPr>
        <w:t>Marshall?</w:t>
      </w:r>
    </w:p>
    <w:p w14:paraId="7F096317" w14:textId="5E6D7BA9" w:rsidR="007A4DF1" w:rsidRPr="00C110DB" w:rsidRDefault="007A4DF1" w:rsidP="00C110DB">
      <w:pPr>
        <w:pStyle w:val="ListParagraph"/>
        <w:numPr>
          <w:ilvl w:val="1"/>
          <w:numId w:val="1"/>
        </w:numPr>
        <w:spacing w:before="240" w:line="360" w:lineRule="auto"/>
        <w:rPr>
          <w:bCs/>
          <w:i/>
          <w:iCs/>
          <w:lang w:val="en-GB"/>
        </w:rPr>
      </w:pPr>
      <w:r w:rsidRPr="00C110DB">
        <w:rPr>
          <w:bCs/>
          <w:i/>
          <w:iCs/>
          <w:lang w:val="en-GB"/>
        </w:rPr>
        <w:t>Summary of Marshall’s essay</w:t>
      </w:r>
      <w:r w:rsidR="00C67293">
        <w:rPr>
          <w:bCs/>
          <w:i/>
          <w:iCs/>
          <w:lang w:val="en-GB"/>
        </w:rPr>
        <w:t xml:space="preserve"> and points of criticism</w:t>
      </w:r>
    </w:p>
    <w:p w14:paraId="6F68D804" w14:textId="7DB99DBF" w:rsidR="00C9571E" w:rsidRDefault="007A4DF1" w:rsidP="00656EB9">
      <w:pPr>
        <w:spacing w:before="240" w:line="360" w:lineRule="auto"/>
        <w:rPr>
          <w:bCs/>
          <w:lang w:val="en-GB"/>
        </w:rPr>
      </w:pPr>
      <w:r w:rsidRPr="001C3BD7">
        <w:rPr>
          <w:bCs/>
          <w:lang w:val="en-GB"/>
        </w:rPr>
        <w:t>Thomas Marshall’s work centres around the idea of national citizenship, which he understands as a status bestowed on those who are full members of the community. The status of citizenship confers equal rights and duties on those endowed with the status.</w:t>
      </w:r>
      <w:r w:rsidRPr="001C3BD7">
        <w:rPr>
          <w:rStyle w:val="EndnoteReference"/>
          <w:bCs/>
          <w:lang w:val="en-GB"/>
        </w:rPr>
        <w:endnoteReference w:id="35"/>
      </w:r>
      <w:r>
        <w:rPr>
          <w:bCs/>
          <w:lang w:val="en-GB"/>
        </w:rPr>
        <w:t xml:space="preserve"> It is peculiar that Marshall’s conceptualisation of citizenship extends beyond purely formalistic and procedural notions of linking an individual to a state. Rather it encompasses a complex of </w:t>
      </w:r>
      <w:r w:rsidRPr="004F4C9F">
        <w:rPr>
          <w:bCs/>
          <w:lang w:val="en-GB"/>
        </w:rPr>
        <w:t xml:space="preserve">civil, </w:t>
      </w:r>
      <w:proofErr w:type="gramStart"/>
      <w:r w:rsidRPr="004F4C9F">
        <w:rPr>
          <w:bCs/>
          <w:lang w:val="en-GB"/>
        </w:rPr>
        <w:t>political</w:t>
      </w:r>
      <w:proofErr w:type="gramEnd"/>
      <w:r w:rsidRPr="004F4C9F">
        <w:rPr>
          <w:bCs/>
          <w:lang w:val="en-GB"/>
        </w:rPr>
        <w:t xml:space="preserve"> and social</w:t>
      </w:r>
      <w:r>
        <w:rPr>
          <w:bCs/>
          <w:lang w:val="en-GB"/>
        </w:rPr>
        <w:t xml:space="preserve"> rights that had crystallised by the time of the writing of the essay in the 1950. For Marshall, the evolution of each category of these rights is directly linked to industrialisation. He observes the historical progression whereby civil rights </w:t>
      </w:r>
      <w:r w:rsidR="00E95384">
        <w:rPr>
          <w:bCs/>
          <w:lang w:val="en-GB"/>
        </w:rPr>
        <w:t>emerged in</w:t>
      </w:r>
      <w:r>
        <w:rPr>
          <w:bCs/>
          <w:lang w:val="en-GB"/>
        </w:rPr>
        <w:t xml:space="preserve"> the eighteenth century when the right to work freely - linked to personal autonomy and individual economic freedom – supported the dissolution of the feudal state.</w:t>
      </w:r>
      <w:r>
        <w:rPr>
          <w:rStyle w:val="EndnoteReference"/>
          <w:bCs/>
          <w:lang w:val="en-GB"/>
        </w:rPr>
        <w:endnoteReference w:id="36"/>
      </w:r>
      <w:r>
        <w:rPr>
          <w:bCs/>
          <w:lang w:val="en-GB"/>
        </w:rPr>
        <w:t xml:space="preserve"> Marshall ascribes political rights largely to the nineteenth century marked by the ability of the newly formed classes to participate more comprehensively than before in the electoral process.</w:t>
      </w:r>
      <w:r>
        <w:rPr>
          <w:rStyle w:val="EndnoteReference"/>
          <w:bCs/>
          <w:lang w:val="en-GB"/>
        </w:rPr>
        <w:endnoteReference w:id="37"/>
      </w:r>
      <w:r>
        <w:rPr>
          <w:bCs/>
          <w:lang w:val="en-GB"/>
        </w:rPr>
        <w:t xml:space="preserve"> Finally, the twentieth century for Marshall is the period of the formation of a welfare state progressively guaranteeing social rights, such as the right to education, housing and healthcare.</w:t>
      </w:r>
      <w:r>
        <w:rPr>
          <w:rStyle w:val="EndnoteReference"/>
          <w:bCs/>
          <w:lang w:val="en-GB"/>
        </w:rPr>
        <w:endnoteReference w:id="38"/>
      </w:r>
      <w:r w:rsidR="00C3287F">
        <w:rPr>
          <w:bCs/>
          <w:lang w:val="en-GB"/>
        </w:rPr>
        <w:t xml:space="preserve"> </w:t>
      </w:r>
    </w:p>
    <w:p w14:paraId="3CD2EAF0" w14:textId="6167337A" w:rsidR="00301DBB" w:rsidRPr="001C3BD7" w:rsidRDefault="00B11AC0" w:rsidP="00656EB9">
      <w:pPr>
        <w:spacing w:before="240" w:line="360" w:lineRule="auto"/>
        <w:rPr>
          <w:bCs/>
          <w:lang w:val="en-GB"/>
        </w:rPr>
      </w:pPr>
      <w:r w:rsidRPr="001C3BD7">
        <w:rPr>
          <w:bCs/>
          <w:lang w:val="en-GB"/>
        </w:rPr>
        <w:t>Marshall dedicated particular attention to education in his theory of social citizenship.</w:t>
      </w:r>
      <w:r w:rsidRPr="001C3BD7">
        <w:rPr>
          <w:rStyle w:val="EndnoteReference"/>
          <w:bCs/>
          <w:lang w:val="en-GB"/>
        </w:rPr>
        <w:endnoteReference w:id="39"/>
      </w:r>
      <w:r w:rsidRPr="001C3BD7">
        <w:rPr>
          <w:bCs/>
          <w:lang w:val="en-GB"/>
        </w:rPr>
        <w:t xml:space="preserve"> Education allowed individuals to ‘improve and civilise’ themselves </w:t>
      </w:r>
      <w:r w:rsidR="0016505D" w:rsidRPr="001C3BD7">
        <w:rPr>
          <w:bCs/>
          <w:lang w:val="en-GB"/>
        </w:rPr>
        <w:t>to</w:t>
      </w:r>
      <w:r w:rsidRPr="001C3BD7">
        <w:rPr>
          <w:bCs/>
          <w:lang w:val="en-GB"/>
        </w:rPr>
        <w:t xml:space="preserve"> cultivate ‘organic unity’.</w:t>
      </w:r>
      <w:r w:rsidRPr="001C3BD7">
        <w:rPr>
          <w:rStyle w:val="EndnoteReference"/>
          <w:bCs/>
          <w:lang w:val="en-GB"/>
        </w:rPr>
        <w:endnoteReference w:id="40"/>
      </w:r>
      <w:r w:rsidR="007B3EBD" w:rsidRPr="001C3BD7">
        <w:rPr>
          <w:bCs/>
          <w:lang w:val="en-GB"/>
        </w:rPr>
        <w:t xml:space="preserve"> This is where Marshall reconciled the idea of individual self-realisation and communal living</w:t>
      </w:r>
      <w:r w:rsidR="00DF5F21" w:rsidRPr="001C3BD7">
        <w:rPr>
          <w:bCs/>
          <w:lang w:val="en-GB"/>
        </w:rPr>
        <w:t xml:space="preserve"> – the state ensures that an individual is well-equipped with the tools for contributing to the common good.</w:t>
      </w:r>
      <w:r w:rsidR="00301DBB" w:rsidRPr="001C3BD7">
        <w:rPr>
          <w:bCs/>
          <w:lang w:val="en-GB"/>
        </w:rPr>
        <w:t xml:space="preserve">  The choice of terminology – ‘organic unity’ – points in the direction of earlier sociological works by Émile Durkheim who developed the concept of ‘organic solidarity’ – a type of inter-relatedness that holds individuals together based on mutual exchange of services.</w:t>
      </w:r>
      <w:r w:rsidR="00301DBB" w:rsidRPr="001C3BD7">
        <w:rPr>
          <w:rStyle w:val="EndnoteReference"/>
          <w:bCs/>
          <w:lang w:val="en-GB"/>
        </w:rPr>
        <w:endnoteReference w:id="41"/>
      </w:r>
    </w:p>
    <w:p w14:paraId="4EC2FEDB" w14:textId="0FF4D2F2" w:rsidR="00B73B93" w:rsidRPr="001C3BD7" w:rsidRDefault="007A4DF1" w:rsidP="00656EB9">
      <w:pPr>
        <w:spacing w:before="240" w:line="360" w:lineRule="auto"/>
        <w:rPr>
          <w:bCs/>
          <w:lang w:val="en-GB"/>
        </w:rPr>
      </w:pPr>
      <w:r w:rsidRPr="001C3BD7">
        <w:rPr>
          <w:bCs/>
          <w:lang w:val="en-GB"/>
        </w:rPr>
        <w:t xml:space="preserve">It is essential to contextualise Marshall’s ideas in time. He wrote his essay at </w:t>
      </w:r>
      <w:r w:rsidR="00006AF1" w:rsidRPr="001C3BD7">
        <w:rPr>
          <w:bCs/>
          <w:lang w:val="en-GB"/>
        </w:rPr>
        <w:t>a</w:t>
      </w:r>
      <w:r w:rsidRPr="001C3BD7">
        <w:rPr>
          <w:bCs/>
          <w:lang w:val="en-GB"/>
        </w:rPr>
        <w:t xml:space="preserve"> time when the idea of a welfare state found significant support in England. It is therefore understandable why Marshall was concerned with reconciling two opposing principles - market forces driving industrialisation and individual equality - within one single concept of citizenship. As history has shown with the fall of communism in Eastern Europe, there are limits to equality </w:t>
      </w:r>
      <w:r w:rsidR="00D91D5A" w:rsidRPr="001C3BD7">
        <w:rPr>
          <w:bCs/>
          <w:lang w:val="en-GB"/>
        </w:rPr>
        <w:t xml:space="preserve">guaranteed </w:t>
      </w:r>
      <w:r w:rsidRPr="001C3BD7">
        <w:rPr>
          <w:bCs/>
          <w:lang w:val="en-GB"/>
        </w:rPr>
        <w:t xml:space="preserve">by the state. Danilo </w:t>
      </w:r>
      <w:proofErr w:type="spellStart"/>
      <w:r w:rsidRPr="001C3BD7">
        <w:rPr>
          <w:bCs/>
          <w:lang w:val="en-GB"/>
        </w:rPr>
        <w:t>Zolo</w:t>
      </w:r>
      <w:proofErr w:type="spellEnd"/>
      <w:r w:rsidRPr="001C3BD7">
        <w:rPr>
          <w:bCs/>
          <w:lang w:val="en-GB"/>
        </w:rPr>
        <w:t xml:space="preserve"> argues in his </w:t>
      </w:r>
      <w:r w:rsidRPr="001C3BD7">
        <w:rPr>
          <w:bCs/>
          <w:lang w:val="en-GB"/>
        </w:rPr>
        <w:lastRenderedPageBreak/>
        <w:t xml:space="preserve">1994 critique of T. H. Marshall that </w:t>
      </w:r>
      <w:r w:rsidR="003D7AC5" w:rsidRPr="001C3BD7">
        <w:rPr>
          <w:bCs/>
          <w:lang w:val="en-GB"/>
        </w:rPr>
        <w:t xml:space="preserve">the </w:t>
      </w:r>
      <w:r w:rsidRPr="001C3BD7">
        <w:rPr>
          <w:bCs/>
          <w:lang w:val="en-GB"/>
        </w:rPr>
        <w:t xml:space="preserve">human drive towards freedom is incomparable in its intensity to </w:t>
      </w:r>
      <w:r w:rsidR="00EB5665" w:rsidRPr="001C3BD7">
        <w:rPr>
          <w:bCs/>
          <w:lang w:val="en-GB"/>
        </w:rPr>
        <w:t xml:space="preserve">people’s </w:t>
      </w:r>
      <w:r w:rsidR="00714805" w:rsidRPr="001C3BD7">
        <w:rPr>
          <w:bCs/>
          <w:lang w:val="en-GB"/>
        </w:rPr>
        <w:t>striving for</w:t>
      </w:r>
      <w:r w:rsidRPr="001C3BD7">
        <w:rPr>
          <w:bCs/>
          <w:lang w:val="en-GB"/>
        </w:rPr>
        <w:t xml:space="preserve"> equality.</w:t>
      </w:r>
      <w:r w:rsidRPr="001C3BD7">
        <w:rPr>
          <w:rStyle w:val="EndnoteReference"/>
          <w:bCs/>
          <w:lang w:val="en-GB"/>
        </w:rPr>
        <w:endnoteReference w:id="42"/>
      </w:r>
      <w:r w:rsidRPr="001C3BD7">
        <w:rPr>
          <w:bCs/>
          <w:lang w:val="en-GB"/>
        </w:rPr>
        <w:t xml:space="preserve"> </w:t>
      </w:r>
      <w:proofErr w:type="spellStart"/>
      <w:r w:rsidRPr="001C3BD7">
        <w:rPr>
          <w:bCs/>
          <w:lang w:val="en-GB"/>
        </w:rPr>
        <w:t>Zolo</w:t>
      </w:r>
      <w:proofErr w:type="spellEnd"/>
      <w:r w:rsidRPr="001C3BD7">
        <w:rPr>
          <w:bCs/>
          <w:lang w:val="en-GB"/>
        </w:rPr>
        <w:t xml:space="preserve"> openly admits the unwavering existence of a contradiction between market forces and equality that Marshall tried so hard to resolve in his work. </w:t>
      </w:r>
      <w:proofErr w:type="spellStart"/>
      <w:r w:rsidR="00B73B93" w:rsidRPr="001C3BD7">
        <w:rPr>
          <w:bCs/>
          <w:lang w:val="en-GB"/>
        </w:rPr>
        <w:t>Zolo’s</w:t>
      </w:r>
      <w:proofErr w:type="spellEnd"/>
      <w:r w:rsidR="00B73B93" w:rsidRPr="001C3BD7">
        <w:rPr>
          <w:bCs/>
          <w:lang w:val="en-GB"/>
        </w:rPr>
        <w:t xml:space="preserve"> criticism may overstate Marshall’s struggle with such opposition</w:t>
      </w:r>
      <w:r w:rsidR="00077D13" w:rsidRPr="001C3BD7">
        <w:rPr>
          <w:bCs/>
          <w:lang w:val="en-GB"/>
        </w:rPr>
        <w:t>, however.</w:t>
      </w:r>
    </w:p>
    <w:p w14:paraId="36D944B5" w14:textId="64A392D5" w:rsidR="007A4DF1" w:rsidRDefault="00FE4E73" w:rsidP="00656EB9">
      <w:pPr>
        <w:spacing w:before="240" w:line="360" w:lineRule="auto"/>
        <w:rPr>
          <w:bCs/>
          <w:lang w:val="en-GB"/>
        </w:rPr>
      </w:pPr>
      <w:r w:rsidRPr="001C3BD7">
        <w:rPr>
          <w:bCs/>
          <w:lang w:val="en-GB"/>
        </w:rPr>
        <w:t>Marshall’s theory of citizenship saw natural progression of the idea of citizenship as a status based on birth and privilege under feudalism to that based on wealth under capitalism</w:t>
      </w:r>
      <w:r w:rsidR="00B73B93" w:rsidRPr="001C3BD7">
        <w:rPr>
          <w:bCs/>
          <w:lang w:val="en-GB"/>
        </w:rPr>
        <w:t>,</w:t>
      </w:r>
      <w:r w:rsidRPr="001C3BD7">
        <w:rPr>
          <w:bCs/>
          <w:lang w:val="en-GB"/>
        </w:rPr>
        <w:t xml:space="preserve"> and then ultimately to the one reflective of </w:t>
      </w:r>
      <w:r w:rsidR="00B73B93" w:rsidRPr="001C3BD7">
        <w:rPr>
          <w:bCs/>
          <w:lang w:val="en-GB"/>
        </w:rPr>
        <w:t>one’s</w:t>
      </w:r>
      <w:r w:rsidRPr="001C3BD7">
        <w:rPr>
          <w:bCs/>
          <w:lang w:val="en-GB"/>
        </w:rPr>
        <w:t xml:space="preserve"> social status.</w:t>
      </w:r>
      <w:r w:rsidRPr="001C3BD7">
        <w:rPr>
          <w:rStyle w:val="EndnoteReference"/>
          <w:bCs/>
          <w:lang w:val="en-GB"/>
        </w:rPr>
        <w:endnoteReference w:id="43"/>
      </w:r>
      <w:r w:rsidRPr="001C3BD7">
        <w:rPr>
          <w:bCs/>
          <w:lang w:val="en-GB"/>
        </w:rPr>
        <w:t xml:space="preserve"> It is peculiar, however, that towards the end of his career Marshall admitted to </w:t>
      </w:r>
      <w:r w:rsidR="001707A7" w:rsidRPr="001C3BD7">
        <w:rPr>
          <w:bCs/>
          <w:lang w:val="en-GB"/>
        </w:rPr>
        <w:t xml:space="preserve">the </w:t>
      </w:r>
      <w:r w:rsidR="00410CEB" w:rsidRPr="001C3BD7">
        <w:rPr>
          <w:bCs/>
          <w:lang w:val="en-GB"/>
        </w:rPr>
        <w:t xml:space="preserve">historical and national </w:t>
      </w:r>
      <w:r w:rsidRPr="001C3BD7">
        <w:rPr>
          <w:bCs/>
          <w:lang w:val="en-GB"/>
        </w:rPr>
        <w:t xml:space="preserve">limitations of </w:t>
      </w:r>
      <w:r w:rsidR="005540E9" w:rsidRPr="001C3BD7">
        <w:rPr>
          <w:bCs/>
          <w:lang w:val="en-GB"/>
        </w:rPr>
        <w:t>such</w:t>
      </w:r>
      <w:r w:rsidRPr="001C3BD7">
        <w:rPr>
          <w:bCs/>
          <w:lang w:val="en-GB"/>
        </w:rPr>
        <w:t xml:space="preserve"> view. After having worked </w:t>
      </w:r>
      <w:r w:rsidR="00D0546D" w:rsidRPr="001C3BD7">
        <w:rPr>
          <w:bCs/>
          <w:lang w:val="en-GB"/>
        </w:rPr>
        <w:t xml:space="preserve">for </w:t>
      </w:r>
      <w:r w:rsidRPr="001C3BD7">
        <w:rPr>
          <w:bCs/>
          <w:lang w:val="en-GB"/>
        </w:rPr>
        <w:t>UNESCO in the</w:t>
      </w:r>
      <w:r>
        <w:rPr>
          <w:bCs/>
          <w:lang w:val="en-GB"/>
        </w:rPr>
        <w:t xml:space="preserve"> late 1950’s, </w:t>
      </w:r>
      <w:r w:rsidR="00D31024">
        <w:rPr>
          <w:bCs/>
          <w:lang w:val="en-GB"/>
        </w:rPr>
        <w:t>he noted that the conception of</w:t>
      </w:r>
      <w:r>
        <w:rPr>
          <w:bCs/>
          <w:lang w:val="en-GB"/>
        </w:rPr>
        <w:t xml:space="preserve"> citizenship containing civil, </w:t>
      </w:r>
      <w:proofErr w:type="gramStart"/>
      <w:r>
        <w:rPr>
          <w:bCs/>
          <w:lang w:val="en-GB"/>
        </w:rPr>
        <w:t>political</w:t>
      </w:r>
      <w:proofErr w:type="gramEnd"/>
      <w:r>
        <w:rPr>
          <w:bCs/>
          <w:lang w:val="en-GB"/>
        </w:rPr>
        <w:t xml:space="preserve"> and social rights is not supportive of the universal human rights movement</w:t>
      </w:r>
      <w:r w:rsidR="00410CEB">
        <w:rPr>
          <w:bCs/>
          <w:lang w:val="en-GB"/>
        </w:rPr>
        <w:t xml:space="preserve"> because cultures around the world differed significantly</w:t>
      </w:r>
      <w:r>
        <w:rPr>
          <w:bCs/>
          <w:lang w:val="en-GB"/>
        </w:rPr>
        <w:t>.</w:t>
      </w:r>
      <w:r>
        <w:rPr>
          <w:rStyle w:val="EndnoteReference"/>
          <w:bCs/>
          <w:lang w:val="en-GB"/>
        </w:rPr>
        <w:endnoteReference w:id="44"/>
      </w:r>
      <w:r w:rsidR="00A55B45">
        <w:rPr>
          <w:bCs/>
          <w:lang w:val="en-GB"/>
        </w:rPr>
        <w:t xml:space="preserve"> In this admission, Marshall comes </w:t>
      </w:r>
      <w:r w:rsidR="00CB0DEA">
        <w:rPr>
          <w:bCs/>
          <w:lang w:val="en-GB"/>
        </w:rPr>
        <w:t xml:space="preserve">somewhat </w:t>
      </w:r>
      <w:r w:rsidR="00A55B45">
        <w:rPr>
          <w:bCs/>
          <w:lang w:val="en-GB"/>
        </w:rPr>
        <w:t xml:space="preserve">close to Hannah Arendt’s </w:t>
      </w:r>
      <w:r w:rsidR="001A6AD2">
        <w:rPr>
          <w:bCs/>
          <w:lang w:val="en-GB"/>
        </w:rPr>
        <w:t xml:space="preserve">view </w:t>
      </w:r>
      <w:r w:rsidR="00A55B45">
        <w:rPr>
          <w:bCs/>
          <w:lang w:val="en-GB"/>
        </w:rPr>
        <w:t>regarding the futility of the notion of universal human rights in the absence of</w:t>
      </w:r>
      <w:r w:rsidR="009C173E">
        <w:rPr>
          <w:bCs/>
          <w:lang w:val="en-GB"/>
        </w:rPr>
        <w:t xml:space="preserve"> </w:t>
      </w:r>
      <w:r w:rsidR="00077D13">
        <w:rPr>
          <w:bCs/>
          <w:lang w:val="en-GB"/>
        </w:rPr>
        <w:t>an effective mechanism for their enforcement.</w:t>
      </w:r>
    </w:p>
    <w:p w14:paraId="19052D71" w14:textId="648906E5" w:rsidR="007A4DF1" w:rsidRDefault="007A4DF1" w:rsidP="00656EB9">
      <w:pPr>
        <w:spacing w:before="240" w:line="360" w:lineRule="auto"/>
        <w:rPr>
          <w:bCs/>
          <w:lang w:val="en-GB"/>
        </w:rPr>
      </w:pPr>
      <w:r>
        <w:rPr>
          <w:bCs/>
          <w:lang w:val="en-GB"/>
        </w:rPr>
        <w:t>Another significant point of criticism is the linearity of Marshall’s depiction of rights comprising the status of citizenship, with each category neatly falling within its own timeframe.</w:t>
      </w:r>
      <w:r>
        <w:rPr>
          <w:rStyle w:val="EndnoteReference"/>
          <w:bCs/>
          <w:lang w:val="en-GB"/>
        </w:rPr>
        <w:endnoteReference w:id="45"/>
      </w:r>
      <w:r>
        <w:rPr>
          <w:bCs/>
          <w:lang w:val="en-GB"/>
        </w:rPr>
        <w:t xml:space="preserve"> From the vantage point of the twenty-first century, it seems plausible that the development of rights cannot be attributed solely to industrialisation as many forces were and are at play in the process of giving public recognition to certain interests, including the progressive development of international law and institutions. Given the plethora of different factors contributing to such development, is it useful to include each new interest attaining public recognition to the category of ‘citizenship’?</w:t>
      </w:r>
      <w:r>
        <w:rPr>
          <w:rStyle w:val="EndnoteReference"/>
          <w:bCs/>
          <w:lang w:val="en-GB"/>
        </w:rPr>
        <w:endnoteReference w:id="46"/>
      </w:r>
      <w:r>
        <w:rPr>
          <w:bCs/>
          <w:lang w:val="en-GB"/>
        </w:rPr>
        <w:t xml:space="preserve"> </w:t>
      </w:r>
    </w:p>
    <w:p w14:paraId="7F68B67F" w14:textId="55BFDE27" w:rsidR="008A3934" w:rsidRDefault="007A4DF1" w:rsidP="00C430A2">
      <w:pPr>
        <w:spacing w:before="240" w:line="360" w:lineRule="auto"/>
        <w:rPr>
          <w:bCs/>
          <w:lang w:val="en-GB"/>
        </w:rPr>
      </w:pPr>
      <w:r>
        <w:rPr>
          <w:bCs/>
          <w:lang w:val="en-GB"/>
        </w:rPr>
        <w:t xml:space="preserve">Finally, another layer of complexity </w:t>
      </w:r>
      <w:r w:rsidR="004A6CDC">
        <w:rPr>
          <w:bCs/>
          <w:lang w:val="en-GB"/>
        </w:rPr>
        <w:t xml:space="preserve">when </w:t>
      </w:r>
      <w:r>
        <w:rPr>
          <w:bCs/>
          <w:lang w:val="en-GB"/>
        </w:rPr>
        <w:t>engaging with Marshall’s work contemporaneously stems from adopting a viewpoint that individuals generate rights and duties vis-à-vis</w:t>
      </w:r>
      <w:r w:rsidR="00365B22">
        <w:rPr>
          <w:bCs/>
          <w:lang w:val="en-GB"/>
        </w:rPr>
        <w:t xml:space="preserve"> the</w:t>
      </w:r>
      <w:r>
        <w:rPr>
          <w:bCs/>
          <w:lang w:val="en-GB"/>
        </w:rPr>
        <w:t xml:space="preserve"> </w:t>
      </w:r>
      <w:r w:rsidRPr="000C58FC">
        <w:rPr>
          <w:bCs/>
          <w:i/>
          <w:iCs/>
          <w:lang w:val="en-GB"/>
        </w:rPr>
        <w:t>international community</w:t>
      </w:r>
      <w:r>
        <w:rPr>
          <w:bCs/>
          <w:lang w:val="en-GB"/>
        </w:rPr>
        <w:t xml:space="preserve">, of which all of humanity is a member. In </w:t>
      </w:r>
      <w:r w:rsidR="00112F1F">
        <w:rPr>
          <w:bCs/>
          <w:lang w:val="en-GB"/>
        </w:rPr>
        <w:t xml:space="preserve">this </w:t>
      </w:r>
      <w:r>
        <w:rPr>
          <w:bCs/>
          <w:lang w:val="en-GB"/>
        </w:rPr>
        <w:t xml:space="preserve">case, one can speak of the idea of emerging global citizenship </w:t>
      </w:r>
      <w:r w:rsidRPr="00497B8D">
        <w:rPr>
          <w:bCs/>
          <w:i/>
          <w:iCs/>
          <w:lang w:val="en-GB"/>
        </w:rPr>
        <w:t>per</w:t>
      </w:r>
      <w:r>
        <w:rPr>
          <w:bCs/>
          <w:lang w:val="en-GB"/>
        </w:rPr>
        <w:t xml:space="preserve"> Marshall. It is essential to make a disclaimer here that Marshall thought of citizenship as an institution designed to function in the context of one country, clearly disregarding</w:t>
      </w:r>
      <w:r w:rsidR="00365B22">
        <w:rPr>
          <w:bCs/>
          <w:lang w:val="en-GB"/>
        </w:rPr>
        <w:t xml:space="preserve"> the</w:t>
      </w:r>
      <w:r>
        <w:rPr>
          <w:bCs/>
          <w:lang w:val="en-GB"/>
        </w:rPr>
        <w:t xml:space="preserve"> socio-legal phenomena of citizenship playing </w:t>
      </w:r>
      <w:r w:rsidRPr="0019518D">
        <w:rPr>
          <w:bCs/>
          <w:lang w:val="en-GB"/>
        </w:rPr>
        <w:t>outside</w:t>
      </w:r>
      <w:r>
        <w:rPr>
          <w:bCs/>
          <w:lang w:val="en-GB"/>
        </w:rPr>
        <w:t xml:space="preserve"> of</w:t>
      </w:r>
      <w:r w:rsidR="00C958A8">
        <w:rPr>
          <w:bCs/>
          <w:lang w:val="en-GB"/>
        </w:rPr>
        <w:t xml:space="preserve"> a</w:t>
      </w:r>
      <w:r w:rsidRPr="0019518D">
        <w:rPr>
          <w:bCs/>
          <w:lang w:val="en-GB"/>
        </w:rPr>
        <w:t xml:space="preserve"> one-nation context</w:t>
      </w:r>
      <w:r>
        <w:rPr>
          <w:bCs/>
          <w:lang w:val="en-GB"/>
        </w:rPr>
        <w:t>.</w:t>
      </w:r>
      <w:r>
        <w:rPr>
          <w:rStyle w:val="EndnoteReference"/>
          <w:bCs/>
          <w:lang w:val="en-GB"/>
        </w:rPr>
        <w:endnoteReference w:id="47"/>
      </w:r>
      <w:r>
        <w:rPr>
          <w:bCs/>
          <w:lang w:val="en-GB"/>
        </w:rPr>
        <w:t xml:space="preserve"> This omission has implications to the extent that it ignores inequality produced by the randomness in </w:t>
      </w:r>
      <w:r>
        <w:rPr>
          <w:bCs/>
          <w:lang w:val="en-GB"/>
        </w:rPr>
        <w:lastRenderedPageBreak/>
        <w:t xml:space="preserve">distributing privileges that a citizenship in a wealthy </w:t>
      </w:r>
      <w:r w:rsidR="008A69C9">
        <w:rPr>
          <w:bCs/>
          <w:lang w:val="en-GB"/>
        </w:rPr>
        <w:t>socially oriented</w:t>
      </w:r>
      <w:r>
        <w:rPr>
          <w:bCs/>
          <w:lang w:val="en-GB"/>
        </w:rPr>
        <w:t xml:space="preserve"> democracy may confer on individuals purely </w:t>
      </w:r>
      <w:proofErr w:type="gramStart"/>
      <w:r>
        <w:rPr>
          <w:bCs/>
          <w:lang w:val="en-GB"/>
        </w:rPr>
        <w:t>on the basis of</w:t>
      </w:r>
      <w:proofErr w:type="gramEnd"/>
      <w:r>
        <w:rPr>
          <w:bCs/>
          <w:lang w:val="en-GB"/>
        </w:rPr>
        <w:t xml:space="preserve"> birth.</w:t>
      </w:r>
      <w:r>
        <w:rPr>
          <w:rStyle w:val="EndnoteReference"/>
          <w:bCs/>
          <w:lang w:val="en-GB"/>
        </w:rPr>
        <w:endnoteReference w:id="48"/>
      </w:r>
      <w:r>
        <w:rPr>
          <w:bCs/>
          <w:lang w:val="en-GB"/>
        </w:rPr>
        <w:t xml:space="preserve"> </w:t>
      </w:r>
    </w:p>
    <w:p w14:paraId="135E7F86" w14:textId="78671656" w:rsidR="007A4DF1" w:rsidRPr="001C3BD7" w:rsidRDefault="007A4DF1" w:rsidP="00656EB9">
      <w:pPr>
        <w:spacing w:before="240" w:line="360" w:lineRule="auto"/>
        <w:rPr>
          <w:bCs/>
          <w:iCs/>
          <w:lang w:val="en-GB"/>
        </w:rPr>
      </w:pPr>
      <w:r>
        <w:rPr>
          <w:bCs/>
          <w:lang w:val="en-GB"/>
        </w:rPr>
        <w:t>As mentioned earlier in the paper, one of the key challenges in claiming there are rights attached to the idea of global citizenship is the effectiveness of the implementation of such rights.</w:t>
      </w:r>
      <w:r>
        <w:rPr>
          <w:rStyle w:val="EndnoteReference"/>
          <w:bCs/>
          <w:lang w:val="en-GB"/>
        </w:rPr>
        <w:endnoteReference w:id="49"/>
      </w:r>
      <w:r>
        <w:rPr>
          <w:bCs/>
          <w:lang w:val="en-GB"/>
        </w:rPr>
        <w:t xml:space="preserve"> </w:t>
      </w:r>
      <w:r w:rsidRPr="004F4C9F">
        <w:rPr>
          <w:bCs/>
          <w:lang w:val="en-GB"/>
        </w:rPr>
        <w:t xml:space="preserve">Arguably, moving forward </w:t>
      </w:r>
      <w:r>
        <w:rPr>
          <w:bCs/>
          <w:lang w:val="en-GB"/>
        </w:rPr>
        <w:t xml:space="preserve">in the twenty-first century </w:t>
      </w:r>
      <w:r w:rsidRPr="004F4C9F">
        <w:rPr>
          <w:bCs/>
          <w:lang w:val="en-GB"/>
        </w:rPr>
        <w:t xml:space="preserve">will occur not in the sphere of the </w:t>
      </w:r>
      <w:r w:rsidRPr="004F4C9F">
        <w:rPr>
          <w:bCs/>
          <w:i/>
          <w:lang w:val="en-GB"/>
        </w:rPr>
        <w:t>content</w:t>
      </w:r>
      <w:r w:rsidRPr="004F4C9F">
        <w:rPr>
          <w:bCs/>
          <w:lang w:val="en-GB"/>
        </w:rPr>
        <w:t xml:space="preserve"> of the rights and interests in question, but rather in </w:t>
      </w:r>
      <w:r w:rsidR="00C958A8">
        <w:rPr>
          <w:bCs/>
          <w:lang w:val="en-GB"/>
        </w:rPr>
        <w:t>the</w:t>
      </w:r>
      <w:r w:rsidRPr="004F4C9F">
        <w:rPr>
          <w:bCs/>
          <w:lang w:val="en-GB"/>
        </w:rPr>
        <w:t xml:space="preserve"> way they are enforced</w:t>
      </w:r>
      <w:r w:rsidR="005540E9">
        <w:rPr>
          <w:bCs/>
          <w:lang w:val="en-GB"/>
        </w:rPr>
        <w:t xml:space="preserve"> and claimed</w:t>
      </w:r>
      <w:r w:rsidRPr="004F4C9F">
        <w:rPr>
          <w:bCs/>
          <w:lang w:val="en-GB"/>
        </w:rPr>
        <w:t>.</w:t>
      </w:r>
      <w:r>
        <w:rPr>
          <w:bCs/>
          <w:lang w:val="en-GB"/>
        </w:rPr>
        <w:t xml:space="preserve"> </w:t>
      </w:r>
      <w:r w:rsidRPr="004F4C9F">
        <w:rPr>
          <w:bCs/>
          <w:lang w:val="en-GB"/>
        </w:rPr>
        <w:t>It is true that the definitions of some rights - especially those not sufficiently codified at the level of international treaties – are constantly being refined and expanded by the international criminal and human rights courts.</w:t>
      </w:r>
      <w:r w:rsidRPr="004F4C9F">
        <w:rPr>
          <w:rStyle w:val="EndnoteReference"/>
          <w:bCs/>
          <w:lang w:val="en-GB"/>
        </w:rPr>
        <w:endnoteReference w:id="50"/>
      </w:r>
      <w:r w:rsidRPr="004F4C9F">
        <w:rPr>
          <w:bCs/>
          <w:lang w:val="en-GB"/>
        </w:rPr>
        <w:t xml:space="preserve"> At the same time, the </w:t>
      </w:r>
      <w:r w:rsidRPr="001C3BD7">
        <w:rPr>
          <w:bCs/>
          <w:lang w:val="en-GB"/>
        </w:rPr>
        <w:t xml:space="preserve">main area of tension at present shifts to matters of </w:t>
      </w:r>
      <w:r w:rsidRPr="001C3BD7">
        <w:rPr>
          <w:bCs/>
          <w:i/>
          <w:lang w:val="en-GB"/>
        </w:rPr>
        <w:t>standing</w:t>
      </w:r>
      <w:r w:rsidRPr="001C3BD7">
        <w:rPr>
          <w:bCs/>
          <w:lang w:val="en-GB"/>
        </w:rPr>
        <w:t xml:space="preserve"> (or lack thereof) of individuals or grassroots organisations for holding states or corporations accountable for gross human rights violations. The question of legal standing can thus be viewed as an essential condition for enforcing the rights in question – there needs to be a solid comprehension of one’s ability to bring a claim </w:t>
      </w:r>
      <w:r w:rsidRPr="001C3BD7">
        <w:rPr>
          <w:bCs/>
          <w:i/>
          <w:iCs/>
          <w:lang w:val="en-GB"/>
        </w:rPr>
        <w:t>prior</w:t>
      </w:r>
      <w:r w:rsidRPr="001C3BD7">
        <w:rPr>
          <w:bCs/>
          <w:lang w:val="en-GB"/>
        </w:rPr>
        <w:t xml:space="preserve"> to the initiation of any recourse proceedings.</w:t>
      </w:r>
      <w:r w:rsidR="002C7FF3" w:rsidRPr="001C3BD7">
        <w:rPr>
          <w:bCs/>
          <w:lang w:val="en-GB"/>
        </w:rPr>
        <w:t xml:space="preserve"> </w:t>
      </w:r>
    </w:p>
    <w:p w14:paraId="49ACD861" w14:textId="2CE084F3" w:rsidR="007A4DF1" w:rsidRPr="001C3BD7" w:rsidRDefault="007A4DF1" w:rsidP="00C83461">
      <w:pPr>
        <w:pStyle w:val="ListParagraph"/>
        <w:numPr>
          <w:ilvl w:val="1"/>
          <w:numId w:val="1"/>
        </w:numPr>
        <w:spacing w:before="240" w:line="360" w:lineRule="auto"/>
        <w:rPr>
          <w:bCs/>
          <w:i/>
          <w:iCs/>
          <w:lang w:val="en-GB"/>
        </w:rPr>
      </w:pPr>
      <w:r w:rsidRPr="001C3BD7">
        <w:rPr>
          <w:bCs/>
          <w:i/>
          <w:iCs/>
          <w:lang w:val="en-GB"/>
        </w:rPr>
        <w:t>Relevance of Marshall’s essay to the idea of global citizenship</w:t>
      </w:r>
    </w:p>
    <w:p w14:paraId="31931F40" w14:textId="53A11877" w:rsidR="006E0109" w:rsidRDefault="006E0109" w:rsidP="006E0109">
      <w:pPr>
        <w:spacing w:before="240" w:line="360" w:lineRule="auto"/>
        <w:rPr>
          <w:bCs/>
          <w:lang w:val="en-GB"/>
        </w:rPr>
      </w:pPr>
      <w:r w:rsidRPr="001C3BD7">
        <w:rPr>
          <w:bCs/>
          <w:lang w:val="en-GB"/>
        </w:rPr>
        <w:t xml:space="preserve">This essay takes Marshall’s argument to an international plane. What if we accepted that a simple fact of being born on planet earth is sufficient reason to confer on any individual a status of a global citizen? What if we detached the idea of ‘nationality’ from the status of global citizenship? The former notion refers to the technical fact of life that people reside </w:t>
      </w:r>
      <w:r w:rsidR="00977BB0" w:rsidRPr="001C3BD7">
        <w:rPr>
          <w:bCs/>
          <w:lang w:val="en-GB"/>
        </w:rPr>
        <w:t>i</w:t>
      </w:r>
      <w:r w:rsidRPr="001C3BD7">
        <w:rPr>
          <w:bCs/>
          <w:lang w:val="en-GB"/>
        </w:rPr>
        <w:t>n territories of certain states and thereby obtain rights and incur responsibilities through constituent instruments of these states.</w:t>
      </w:r>
      <w:r w:rsidRPr="001C3BD7">
        <w:rPr>
          <w:rStyle w:val="EndnoteReference"/>
          <w:bCs/>
          <w:lang w:val="en-GB"/>
        </w:rPr>
        <w:endnoteReference w:id="51"/>
      </w:r>
      <w:r w:rsidRPr="001C3BD7">
        <w:rPr>
          <w:bCs/>
          <w:lang w:val="en-GB"/>
        </w:rPr>
        <w:t xml:space="preserve"> For instance, the US Constitution emphas</w:t>
      </w:r>
      <w:r w:rsidR="00316759" w:rsidRPr="001C3BD7">
        <w:rPr>
          <w:bCs/>
          <w:lang w:val="en-GB"/>
        </w:rPr>
        <w:t>ises</w:t>
      </w:r>
      <w:r w:rsidRPr="001C3BD7">
        <w:rPr>
          <w:bCs/>
          <w:lang w:val="en-GB"/>
        </w:rPr>
        <w:t xml:space="preserve"> such territorial conception of national citizenship: ‘[a]</w:t>
      </w:r>
      <w:proofErr w:type="spellStart"/>
      <w:r w:rsidRPr="001C3BD7">
        <w:rPr>
          <w:bCs/>
          <w:lang w:val="en-GB"/>
        </w:rPr>
        <w:t>ll</w:t>
      </w:r>
      <w:proofErr w:type="spellEnd"/>
      <w:r w:rsidRPr="001C3BD7">
        <w:rPr>
          <w:bCs/>
          <w:lang w:val="en-GB"/>
        </w:rPr>
        <w:t xml:space="preserve"> persons born or naturalized in the United States, and subject to the jurisdiction thereof, are citizens of the United States and of the state wherein they reside […].’</w:t>
      </w:r>
      <w:r w:rsidRPr="001C3BD7">
        <w:rPr>
          <w:rStyle w:val="EndnoteReference"/>
          <w:bCs/>
          <w:lang w:val="en-GB"/>
        </w:rPr>
        <w:endnoteReference w:id="52"/>
      </w:r>
      <w:r>
        <w:rPr>
          <w:bCs/>
          <w:lang w:val="en-GB"/>
        </w:rPr>
        <w:t xml:space="preserve"> </w:t>
      </w:r>
    </w:p>
    <w:p w14:paraId="1D671D6C" w14:textId="77777777" w:rsidR="00DE690F" w:rsidRDefault="006E0109" w:rsidP="00C83461">
      <w:pPr>
        <w:spacing w:before="240" w:line="360" w:lineRule="auto"/>
        <w:rPr>
          <w:bCs/>
          <w:lang w:val="en-GB"/>
        </w:rPr>
      </w:pPr>
      <w:r>
        <w:rPr>
          <w:bCs/>
          <w:lang w:val="en-GB"/>
        </w:rPr>
        <w:t>In contrast, the notion of global citizenship</w:t>
      </w:r>
      <w:r w:rsidR="00CF110D">
        <w:rPr>
          <w:bCs/>
          <w:lang w:val="en-GB"/>
        </w:rPr>
        <w:t xml:space="preserve"> </w:t>
      </w:r>
      <w:r>
        <w:rPr>
          <w:bCs/>
          <w:lang w:val="en-GB"/>
        </w:rPr>
        <w:t>does not link to</w:t>
      </w:r>
      <w:r w:rsidR="00316759">
        <w:rPr>
          <w:bCs/>
          <w:lang w:val="en-GB"/>
        </w:rPr>
        <w:t xml:space="preserve"> an</w:t>
      </w:r>
      <w:r>
        <w:rPr>
          <w:bCs/>
          <w:lang w:val="en-GB"/>
        </w:rPr>
        <w:t xml:space="preserve"> individual’s territorial affiliation but attaches directly to the idea of their human dignity. The work of </w:t>
      </w:r>
      <w:r w:rsidRPr="0058757A">
        <w:rPr>
          <w:bCs/>
          <w:lang w:val="en-GB"/>
        </w:rPr>
        <w:t>É</w:t>
      </w:r>
      <w:r>
        <w:rPr>
          <w:bCs/>
          <w:lang w:val="en-GB"/>
        </w:rPr>
        <w:t xml:space="preserve">mile Durkheim is enlightening in this regard. In his earlier work – </w:t>
      </w:r>
      <w:r w:rsidRPr="001C77FC">
        <w:rPr>
          <w:bCs/>
          <w:i/>
          <w:iCs/>
          <w:lang w:val="en-GB"/>
        </w:rPr>
        <w:t>The</w:t>
      </w:r>
      <w:r>
        <w:rPr>
          <w:bCs/>
          <w:lang w:val="en-GB"/>
        </w:rPr>
        <w:t xml:space="preserve"> </w:t>
      </w:r>
      <w:r w:rsidRPr="001C77FC">
        <w:rPr>
          <w:bCs/>
          <w:i/>
          <w:iCs/>
          <w:lang w:val="en-GB"/>
        </w:rPr>
        <w:t>Division of Labour in Society</w:t>
      </w:r>
      <w:r>
        <w:rPr>
          <w:bCs/>
          <w:lang w:val="en-GB"/>
        </w:rPr>
        <w:t xml:space="preserve"> - Durkheim</w:t>
      </w:r>
      <w:r w:rsidRPr="001C77FC">
        <w:rPr>
          <w:bCs/>
          <w:lang w:val="en-GB"/>
        </w:rPr>
        <w:t xml:space="preserve"> reject</w:t>
      </w:r>
      <w:r>
        <w:rPr>
          <w:bCs/>
          <w:lang w:val="en-GB"/>
        </w:rPr>
        <w:t>ed</w:t>
      </w:r>
      <w:r w:rsidRPr="001C77FC">
        <w:rPr>
          <w:bCs/>
          <w:lang w:val="en-GB"/>
        </w:rPr>
        <w:t xml:space="preserve"> the idea that the value of human dignity can provide </w:t>
      </w:r>
      <w:r>
        <w:rPr>
          <w:bCs/>
          <w:lang w:val="en-GB"/>
        </w:rPr>
        <w:t>any</w:t>
      </w:r>
      <w:r w:rsidRPr="001C77FC">
        <w:rPr>
          <w:bCs/>
          <w:lang w:val="en-GB"/>
        </w:rPr>
        <w:t xml:space="preserve"> moral foundation of modern law</w:t>
      </w:r>
      <w:r>
        <w:rPr>
          <w:bCs/>
          <w:lang w:val="en-GB"/>
        </w:rPr>
        <w:t xml:space="preserve"> as </w:t>
      </w:r>
      <w:r w:rsidRPr="00E71B48">
        <w:rPr>
          <w:bCs/>
          <w:lang w:val="en-GB"/>
        </w:rPr>
        <w:t xml:space="preserve">he insisted that ‘dignity’ is not a unifying force but rather an instrument of self-exploration. Durkheim initially relied on the notion of </w:t>
      </w:r>
      <w:r w:rsidRPr="00E71B48">
        <w:rPr>
          <w:bCs/>
          <w:lang w:val="en-GB"/>
        </w:rPr>
        <w:lastRenderedPageBreak/>
        <w:t>‘organic solidarity’ to explain how modern societies ensure congruency by facilitating the exchange of highly specific services among people.</w:t>
      </w:r>
      <w:r w:rsidRPr="00E71B48">
        <w:rPr>
          <w:rStyle w:val="EndnoteReference"/>
          <w:bCs/>
          <w:lang w:val="en-GB"/>
        </w:rPr>
        <w:endnoteReference w:id="53"/>
      </w:r>
      <w:r w:rsidRPr="00E71B48">
        <w:rPr>
          <w:bCs/>
          <w:lang w:val="en-GB"/>
        </w:rPr>
        <w:t xml:space="preserve">  </w:t>
      </w:r>
      <w:r w:rsidRPr="00E71B48">
        <w:rPr>
          <w:bCs/>
          <w:i/>
          <w:iCs/>
          <w:lang w:val="en-GB"/>
        </w:rPr>
        <w:t>The Elementary Forms of Religious Life</w:t>
      </w:r>
      <w:r w:rsidRPr="00E71B48">
        <w:rPr>
          <w:bCs/>
          <w:lang w:val="en-GB"/>
        </w:rPr>
        <w:t xml:space="preserve"> authored much later in life showed a shift in Durkheim’s thinking as he largely abandoned the division of labour as the ‘glue’</w:t>
      </w:r>
      <w:r w:rsidRPr="00E71B48">
        <w:rPr>
          <w:bCs/>
          <w:i/>
          <w:iCs/>
          <w:lang w:val="en-GB"/>
        </w:rPr>
        <w:t xml:space="preserve"> </w:t>
      </w:r>
      <w:r w:rsidRPr="00E71B48">
        <w:rPr>
          <w:bCs/>
          <w:lang w:val="en-GB"/>
        </w:rPr>
        <w:t>holding societies together and leaned on the exact idea of individualism rooted in human dignity as a way of ensuring the moral unity of the country.</w:t>
      </w:r>
      <w:r w:rsidRPr="00E71B48">
        <w:rPr>
          <w:rStyle w:val="EndnoteReference"/>
          <w:bCs/>
          <w:lang w:val="en-GB"/>
        </w:rPr>
        <w:endnoteReference w:id="54"/>
      </w:r>
      <w:r w:rsidRPr="00E71B48">
        <w:rPr>
          <w:bCs/>
          <w:lang w:val="en-GB"/>
        </w:rPr>
        <w:t xml:space="preserve"> Imminent globalisation allows us to </w:t>
      </w:r>
      <w:r w:rsidR="009E583E" w:rsidRPr="00E71B48">
        <w:rPr>
          <w:bCs/>
          <w:lang w:val="en-GB"/>
        </w:rPr>
        <w:t>elevate</w:t>
      </w:r>
      <w:r w:rsidRPr="00E71B48">
        <w:rPr>
          <w:bCs/>
          <w:lang w:val="en-GB"/>
        </w:rPr>
        <w:t xml:space="preserve"> this hundred year</w:t>
      </w:r>
      <w:r w:rsidR="00FC48D2" w:rsidRPr="00E71B48">
        <w:rPr>
          <w:bCs/>
          <w:lang w:val="en-GB"/>
        </w:rPr>
        <w:t>-old</w:t>
      </w:r>
      <w:r w:rsidRPr="00E71B48">
        <w:rPr>
          <w:bCs/>
          <w:lang w:val="en-GB"/>
        </w:rPr>
        <w:t xml:space="preserve"> </w:t>
      </w:r>
      <w:r w:rsidR="00264D8B" w:rsidRPr="00E71B48">
        <w:rPr>
          <w:bCs/>
          <w:lang w:val="en-GB"/>
        </w:rPr>
        <w:t>observation</w:t>
      </w:r>
      <w:r w:rsidRPr="00E71B48">
        <w:rPr>
          <w:bCs/>
          <w:lang w:val="en-GB"/>
        </w:rPr>
        <w:t xml:space="preserve"> to a global scale.</w:t>
      </w:r>
      <w:r w:rsidR="009926A6">
        <w:rPr>
          <w:bCs/>
          <w:lang w:val="en-GB"/>
        </w:rPr>
        <w:t xml:space="preserve"> </w:t>
      </w:r>
    </w:p>
    <w:p w14:paraId="71F0B3B7" w14:textId="2012420D" w:rsidR="00DE690F" w:rsidRDefault="008B7CE9" w:rsidP="00C83461">
      <w:pPr>
        <w:spacing w:before="240" w:line="360" w:lineRule="auto"/>
        <w:rPr>
          <w:bCs/>
          <w:lang w:val="en-GB"/>
        </w:rPr>
      </w:pPr>
      <w:r>
        <w:rPr>
          <w:bCs/>
          <w:lang w:val="en-GB"/>
        </w:rPr>
        <w:t xml:space="preserve">The idea of human dignity </w:t>
      </w:r>
      <w:r w:rsidR="00234C51">
        <w:rPr>
          <w:bCs/>
          <w:lang w:val="en-GB"/>
        </w:rPr>
        <w:t xml:space="preserve">- </w:t>
      </w:r>
      <w:r w:rsidR="00D35268">
        <w:rPr>
          <w:bCs/>
          <w:lang w:val="en-GB"/>
        </w:rPr>
        <w:t>discussed</w:t>
      </w:r>
      <w:r w:rsidR="0043706F">
        <w:rPr>
          <w:bCs/>
          <w:lang w:val="en-GB"/>
        </w:rPr>
        <w:t xml:space="preserve"> by Durkheim</w:t>
      </w:r>
      <w:r w:rsidR="00234C51">
        <w:rPr>
          <w:bCs/>
          <w:lang w:val="en-GB"/>
        </w:rPr>
        <w:t xml:space="preserve"> around the time of the </w:t>
      </w:r>
      <w:r w:rsidR="001F1B4D">
        <w:rPr>
          <w:bCs/>
          <w:lang w:val="en-GB"/>
        </w:rPr>
        <w:t xml:space="preserve">First </w:t>
      </w:r>
      <w:r w:rsidR="00234C51">
        <w:rPr>
          <w:bCs/>
          <w:lang w:val="en-GB"/>
        </w:rPr>
        <w:t>World War -</w:t>
      </w:r>
      <w:r w:rsidR="0043706F">
        <w:rPr>
          <w:bCs/>
          <w:lang w:val="en-GB"/>
        </w:rPr>
        <w:t xml:space="preserve"> </w:t>
      </w:r>
      <w:r w:rsidR="001F1B4D">
        <w:rPr>
          <w:bCs/>
          <w:lang w:val="en-GB"/>
        </w:rPr>
        <w:t>was</w:t>
      </w:r>
      <w:r w:rsidR="00234C51">
        <w:rPr>
          <w:bCs/>
          <w:lang w:val="en-GB"/>
        </w:rPr>
        <w:t xml:space="preserve"> later</w:t>
      </w:r>
      <w:r w:rsidR="00DE690F">
        <w:rPr>
          <w:bCs/>
          <w:lang w:val="en-GB"/>
        </w:rPr>
        <w:t xml:space="preserve"> introduced in both the UN Charter </w:t>
      </w:r>
      <w:r w:rsidR="003B7FAA">
        <w:rPr>
          <w:bCs/>
          <w:lang w:val="en-GB"/>
        </w:rPr>
        <w:t xml:space="preserve">of 1945 </w:t>
      </w:r>
      <w:r w:rsidR="00DE690F">
        <w:rPr>
          <w:bCs/>
          <w:lang w:val="en-GB"/>
        </w:rPr>
        <w:t>and the Universal Declaration of Human Rights (UDHR)</w:t>
      </w:r>
      <w:r w:rsidR="003B7FAA">
        <w:rPr>
          <w:bCs/>
          <w:lang w:val="en-GB"/>
        </w:rPr>
        <w:t xml:space="preserve"> </w:t>
      </w:r>
      <w:r w:rsidR="001D0C82">
        <w:rPr>
          <w:bCs/>
          <w:lang w:val="en-GB"/>
        </w:rPr>
        <w:t>of 1948</w:t>
      </w:r>
      <w:r w:rsidR="001F1B4D">
        <w:rPr>
          <w:bCs/>
          <w:lang w:val="en-GB"/>
        </w:rPr>
        <w:t>,</w:t>
      </w:r>
      <w:r w:rsidR="003B7FAA">
        <w:rPr>
          <w:bCs/>
          <w:lang w:val="en-GB"/>
        </w:rPr>
        <w:t xml:space="preserve"> seemingly without </w:t>
      </w:r>
      <w:r w:rsidR="00463A34">
        <w:rPr>
          <w:bCs/>
          <w:lang w:val="en-GB"/>
        </w:rPr>
        <w:t xml:space="preserve">controversy and </w:t>
      </w:r>
      <w:r w:rsidR="003B7FAA">
        <w:rPr>
          <w:bCs/>
          <w:lang w:val="en-GB"/>
        </w:rPr>
        <w:t xml:space="preserve">extended </w:t>
      </w:r>
      <w:r w:rsidR="00463A34">
        <w:rPr>
          <w:bCs/>
          <w:lang w:val="en-GB"/>
        </w:rPr>
        <w:t>interpretation.</w:t>
      </w:r>
      <w:r w:rsidR="00463A34">
        <w:rPr>
          <w:rStyle w:val="EndnoteReference"/>
          <w:bCs/>
          <w:lang w:val="en-GB"/>
        </w:rPr>
        <w:endnoteReference w:id="55"/>
      </w:r>
      <w:r w:rsidR="00DE690F">
        <w:rPr>
          <w:bCs/>
          <w:lang w:val="en-GB"/>
        </w:rPr>
        <w:t xml:space="preserve"> The Preamble of the UN Charter reaffirms ‘</w:t>
      </w:r>
      <w:r w:rsidR="00DE690F" w:rsidRPr="00DE690F">
        <w:rPr>
          <w:bCs/>
          <w:lang w:val="en-GB"/>
        </w:rPr>
        <w:t>faith in fundamental human rights, in the dignity and worth of the human person</w:t>
      </w:r>
      <w:r w:rsidR="00DE690F">
        <w:rPr>
          <w:bCs/>
          <w:lang w:val="en-GB"/>
        </w:rPr>
        <w:t xml:space="preserve">’, while the UDHR </w:t>
      </w:r>
      <w:r w:rsidR="002E3626">
        <w:rPr>
          <w:bCs/>
          <w:lang w:val="en-GB"/>
        </w:rPr>
        <w:t xml:space="preserve">(which is not a binding instrument) </w:t>
      </w:r>
      <w:r w:rsidR="00DE690F">
        <w:rPr>
          <w:bCs/>
          <w:lang w:val="en-GB"/>
        </w:rPr>
        <w:t>refers to dignity in its Preamble, Article 1 establishing</w:t>
      </w:r>
      <w:r w:rsidR="00A22710">
        <w:rPr>
          <w:bCs/>
          <w:lang w:val="en-GB"/>
        </w:rPr>
        <w:t xml:space="preserve"> the equality and freedom of all human beings in</w:t>
      </w:r>
      <w:r w:rsidR="00DE690F">
        <w:rPr>
          <w:bCs/>
          <w:lang w:val="en-GB"/>
        </w:rPr>
        <w:t xml:space="preserve"> </w:t>
      </w:r>
      <w:r w:rsidR="00DE690F" w:rsidRPr="00DE690F">
        <w:rPr>
          <w:bCs/>
          <w:lang w:val="en-GB"/>
        </w:rPr>
        <w:t>dignity and rights</w:t>
      </w:r>
      <w:r w:rsidR="00DE690F">
        <w:rPr>
          <w:bCs/>
          <w:lang w:val="en-GB"/>
        </w:rPr>
        <w:t xml:space="preserve">, and Article 22 </w:t>
      </w:r>
      <w:r w:rsidR="003B7FAA">
        <w:rPr>
          <w:bCs/>
          <w:lang w:val="en-GB"/>
        </w:rPr>
        <w:t xml:space="preserve">embodying </w:t>
      </w:r>
      <w:r w:rsidR="00DE690F" w:rsidRPr="00DE690F">
        <w:rPr>
          <w:bCs/>
          <w:lang w:val="en-GB"/>
        </w:rPr>
        <w:t>the right to social security and entitl</w:t>
      </w:r>
      <w:r w:rsidR="00DE690F">
        <w:rPr>
          <w:bCs/>
          <w:lang w:val="en-GB"/>
        </w:rPr>
        <w:t>ement</w:t>
      </w:r>
      <w:r w:rsidR="00DE690F" w:rsidRPr="00DE690F">
        <w:rPr>
          <w:bCs/>
          <w:lang w:val="en-GB"/>
        </w:rPr>
        <w:t xml:space="preserve"> to realization</w:t>
      </w:r>
      <w:r w:rsidR="00DE690F">
        <w:rPr>
          <w:bCs/>
          <w:lang w:val="en-GB"/>
        </w:rPr>
        <w:t xml:space="preserve"> of </w:t>
      </w:r>
      <w:r w:rsidR="00DE690F" w:rsidRPr="00DE690F">
        <w:rPr>
          <w:bCs/>
          <w:lang w:val="en-GB"/>
        </w:rPr>
        <w:t>economic, social and cultural</w:t>
      </w:r>
      <w:r w:rsidR="00DE690F">
        <w:rPr>
          <w:bCs/>
          <w:lang w:val="en-GB"/>
        </w:rPr>
        <w:t xml:space="preserve"> rights indispensable for dignity of </w:t>
      </w:r>
      <w:r w:rsidR="003B7FAA">
        <w:rPr>
          <w:bCs/>
          <w:lang w:val="en-GB"/>
        </w:rPr>
        <w:t xml:space="preserve">everyone as a </w:t>
      </w:r>
      <w:r w:rsidR="00DE690F">
        <w:rPr>
          <w:bCs/>
          <w:lang w:val="en-GB"/>
        </w:rPr>
        <w:t>member</w:t>
      </w:r>
      <w:r w:rsidR="003B7FAA">
        <w:rPr>
          <w:bCs/>
          <w:lang w:val="en-GB"/>
        </w:rPr>
        <w:t xml:space="preserve"> </w:t>
      </w:r>
      <w:r w:rsidR="00DE690F">
        <w:rPr>
          <w:bCs/>
          <w:lang w:val="en-GB"/>
        </w:rPr>
        <w:t xml:space="preserve">of society. </w:t>
      </w:r>
      <w:r w:rsidR="001D0C82">
        <w:rPr>
          <w:bCs/>
          <w:lang w:val="en-GB"/>
        </w:rPr>
        <w:t>The latter provision has strong correspondence with the idea of social citizenship developed by Marshall. It is peculiar, however, that Marshall did not refer to the UDHR in his writings in the 1950’s, possibly reflecting general ambivalence regarding the scope of the universal human rights</w:t>
      </w:r>
      <w:r w:rsidR="002E3626">
        <w:rPr>
          <w:bCs/>
          <w:lang w:val="en-GB"/>
        </w:rPr>
        <w:t xml:space="preserve"> and the difficulty of enforcing these </w:t>
      </w:r>
      <w:r w:rsidR="00905E51">
        <w:rPr>
          <w:bCs/>
          <w:lang w:val="en-GB"/>
        </w:rPr>
        <w:t xml:space="preserve">norms </w:t>
      </w:r>
      <w:r w:rsidR="002E3626">
        <w:rPr>
          <w:bCs/>
          <w:lang w:val="en-GB"/>
        </w:rPr>
        <w:t>globally</w:t>
      </w:r>
      <w:r w:rsidR="001D0C82">
        <w:rPr>
          <w:bCs/>
          <w:lang w:val="en-GB"/>
        </w:rPr>
        <w:t>.</w:t>
      </w:r>
      <w:r w:rsidR="001D0C82">
        <w:rPr>
          <w:rStyle w:val="EndnoteReference"/>
          <w:bCs/>
          <w:lang w:val="en-GB"/>
        </w:rPr>
        <w:endnoteReference w:id="56"/>
      </w:r>
    </w:p>
    <w:p w14:paraId="78DFBC73" w14:textId="489DA2A8" w:rsidR="00905E51" w:rsidRDefault="00463A34" w:rsidP="00C83461">
      <w:pPr>
        <w:spacing w:before="240" w:line="360" w:lineRule="auto"/>
        <w:rPr>
          <w:bCs/>
          <w:lang w:val="en-GB"/>
        </w:rPr>
      </w:pPr>
      <w:r>
        <w:rPr>
          <w:bCs/>
          <w:lang w:val="en-GB"/>
        </w:rPr>
        <w:t xml:space="preserve">Interestingly, the term </w:t>
      </w:r>
      <w:r w:rsidR="00A22710">
        <w:rPr>
          <w:bCs/>
          <w:lang w:val="en-GB"/>
        </w:rPr>
        <w:t>‘</w:t>
      </w:r>
      <w:r>
        <w:rPr>
          <w:bCs/>
          <w:lang w:val="en-GB"/>
        </w:rPr>
        <w:t>human dignity</w:t>
      </w:r>
      <w:r w:rsidR="00A22710">
        <w:rPr>
          <w:bCs/>
          <w:lang w:val="en-GB"/>
        </w:rPr>
        <w:t>’</w:t>
      </w:r>
      <w:r>
        <w:rPr>
          <w:bCs/>
          <w:lang w:val="en-GB"/>
        </w:rPr>
        <w:t xml:space="preserve"> in constitutional law gained traction even prior to its introduction into the UN Charter. In the words of Samuel </w:t>
      </w:r>
      <w:proofErr w:type="spellStart"/>
      <w:r>
        <w:rPr>
          <w:bCs/>
          <w:lang w:val="en-GB"/>
        </w:rPr>
        <w:t>Moyn</w:t>
      </w:r>
      <w:proofErr w:type="spellEnd"/>
      <w:r>
        <w:rPr>
          <w:bCs/>
          <w:lang w:val="en-GB"/>
        </w:rPr>
        <w:t>, the notion has been ‘very promiscuous’ in the period before World War II was over.</w:t>
      </w:r>
      <w:r w:rsidRPr="00DE690F">
        <w:rPr>
          <w:rStyle w:val="EndnoteReference"/>
          <w:bCs/>
          <w:lang w:val="en-GB"/>
        </w:rPr>
        <w:t xml:space="preserve"> </w:t>
      </w:r>
      <w:r>
        <w:rPr>
          <w:rStyle w:val="EndnoteReference"/>
          <w:bCs/>
          <w:lang w:val="en-GB"/>
        </w:rPr>
        <w:endnoteReference w:id="57"/>
      </w:r>
      <w:r>
        <w:rPr>
          <w:bCs/>
          <w:lang w:val="en-GB"/>
        </w:rPr>
        <w:t xml:space="preserve"> The Vichy Constitution of 1944 </w:t>
      </w:r>
      <w:r w:rsidR="00672E72">
        <w:rPr>
          <w:bCs/>
          <w:lang w:val="en-GB"/>
        </w:rPr>
        <w:t xml:space="preserve">in France </w:t>
      </w:r>
      <w:r>
        <w:rPr>
          <w:bCs/>
          <w:lang w:val="en-GB"/>
        </w:rPr>
        <w:t xml:space="preserve">(never enacted) mentioned in its first article </w:t>
      </w:r>
      <w:r w:rsidR="001D0C82">
        <w:rPr>
          <w:bCs/>
          <w:lang w:val="en-GB"/>
        </w:rPr>
        <w:t>‘</w:t>
      </w:r>
      <w:r>
        <w:rPr>
          <w:bCs/>
          <w:lang w:val="en-GB"/>
        </w:rPr>
        <w:t>t</w:t>
      </w:r>
      <w:r w:rsidRPr="00454006">
        <w:rPr>
          <w:bCs/>
          <w:lang w:val="en-GB"/>
        </w:rPr>
        <w:t>he liberty and dignity of the human person</w:t>
      </w:r>
      <w:r w:rsidR="001D0C82">
        <w:rPr>
          <w:bCs/>
          <w:lang w:val="en-GB"/>
        </w:rPr>
        <w:t>’</w:t>
      </w:r>
      <w:r w:rsidRPr="00454006">
        <w:rPr>
          <w:bCs/>
          <w:lang w:val="en-GB"/>
        </w:rPr>
        <w:t xml:space="preserve"> </w:t>
      </w:r>
      <w:r>
        <w:rPr>
          <w:bCs/>
          <w:lang w:val="en-GB"/>
        </w:rPr>
        <w:t>as</w:t>
      </w:r>
      <w:r w:rsidRPr="00454006">
        <w:rPr>
          <w:bCs/>
          <w:lang w:val="en-GB"/>
        </w:rPr>
        <w:t xml:space="preserve"> supreme values and intangible goods</w:t>
      </w:r>
      <w:r>
        <w:rPr>
          <w:bCs/>
          <w:lang w:val="en-GB"/>
        </w:rPr>
        <w:t>.</w:t>
      </w:r>
      <w:r>
        <w:rPr>
          <w:rStyle w:val="EndnoteReference"/>
          <w:bCs/>
          <w:lang w:val="en-GB"/>
        </w:rPr>
        <w:endnoteReference w:id="58"/>
      </w:r>
      <w:r>
        <w:rPr>
          <w:bCs/>
          <w:lang w:val="en-GB"/>
        </w:rPr>
        <w:t xml:space="preserve"> </w:t>
      </w:r>
      <w:r w:rsidR="00672E72">
        <w:rPr>
          <w:bCs/>
          <w:lang w:val="en-GB"/>
        </w:rPr>
        <w:t xml:space="preserve">This statement was at odds with the practice of </w:t>
      </w:r>
      <w:r w:rsidR="00672E72" w:rsidRPr="00672E72">
        <w:rPr>
          <w:bCs/>
          <w:lang w:val="en-GB"/>
        </w:rPr>
        <w:t>profound discrimination against people of Jewish origins</w:t>
      </w:r>
      <w:r w:rsidR="00672E72">
        <w:rPr>
          <w:bCs/>
          <w:lang w:val="en-GB"/>
        </w:rPr>
        <w:t xml:space="preserve"> happening at the time of </w:t>
      </w:r>
      <w:r w:rsidR="00BE60D9">
        <w:rPr>
          <w:bCs/>
          <w:lang w:val="en-GB"/>
        </w:rPr>
        <w:t xml:space="preserve">the </w:t>
      </w:r>
      <w:r w:rsidR="00672E72">
        <w:rPr>
          <w:bCs/>
          <w:lang w:val="en-GB"/>
        </w:rPr>
        <w:t xml:space="preserve">drafting of the Vichy Constitution. </w:t>
      </w:r>
      <w:proofErr w:type="spellStart"/>
      <w:r w:rsidR="00672E72">
        <w:rPr>
          <w:bCs/>
          <w:lang w:val="en-GB"/>
        </w:rPr>
        <w:t>Moyn</w:t>
      </w:r>
      <w:proofErr w:type="spellEnd"/>
      <w:r w:rsidR="00672E72">
        <w:rPr>
          <w:bCs/>
          <w:lang w:val="en-GB"/>
        </w:rPr>
        <w:t xml:space="preserve"> observes the influence of Christian politics and Christian moral law on this specific formulation</w:t>
      </w:r>
      <w:r w:rsidR="00BE60D9">
        <w:rPr>
          <w:bCs/>
          <w:lang w:val="en-GB"/>
        </w:rPr>
        <w:t xml:space="preserve"> – the purpose of ‘dignity’ </w:t>
      </w:r>
      <w:r w:rsidR="00234C51">
        <w:rPr>
          <w:bCs/>
          <w:lang w:val="en-GB"/>
        </w:rPr>
        <w:t xml:space="preserve">in this context </w:t>
      </w:r>
      <w:r w:rsidR="00BE60D9">
        <w:rPr>
          <w:bCs/>
          <w:lang w:val="en-GB"/>
        </w:rPr>
        <w:t>was to</w:t>
      </w:r>
      <w:r w:rsidR="00672E72">
        <w:rPr>
          <w:bCs/>
          <w:lang w:val="en-GB"/>
        </w:rPr>
        <w:t xml:space="preserve"> impos</w:t>
      </w:r>
      <w:r w:rsidR="00BE60D9">
        <w:rPr>
          <w:bCs/>
          <w:lang w:val="en-GB"/>
        </w:rPr>
        <w:t>e</w:t>
      </w:r>
      <w:r w:rsidR="00672E72">
        <w:rPr>
          <w:bCs/>
          <w:lang w:val="en-GB"/>
        </w:rPr>
        <w:t xml:space="preserve"> order rather than </w:t>
      </w:r>
      <w:r w:rsidR="00BE60D9">
        <w:rPr>
          <w:bCs/>
          <w:lang w:val="en-GB"/>
        </w:rPr>
        <w:t xml:space="preserve">to </w:t>
      </w:r>
      <w:r w:rsidR="00672E72">
        <w:rPr>
          <w:bCs/>
          <w:lang w:val="en-GB"/>
        </w:rPr>
        <w:t>afford liberation.</w:t>
      </w:r>
      <w:r w:rsidR="00672E72">
        <w:rPr>
          <w:rStyle w:val="EndnoteReference"/>
          <w:bCs/>
          <w:lang w:val="en-GB"/>
        </w:rPr>
        <w:endnoteReference w:id="59"/>
      </w:r>
      <w:r w:rsidR="00BE60D9">
        <w:rPr>
          <w:bCs/>
          <w:lang w:val="en-GB"/>
        </w:rPr>
        <w:t xml:space="preserve"> </w:t>
      </w:r>
    </w:p>
    <w:p w14:paraId="35FFFFF1" w14:textId="55A90DB6" w:rsidR="003B6713" w:rsidRDefault="00E50518" w:rsidP="00C83461">
      <w:pPr>
        <w:spacing w:before="240" w:line="360" w:lineRule="auto"/>
        <w:rPr>
          <w:bCs/>
          <w:lang w:val="en-GB"/>
        </w:rPr>
      </w:pPr>
      <w:r>
        <w:rPr>
          <w:bCs/>
          <w:lang w:val="en-GB"/>
        </w:rPr>
        <w:lastRenderedPageBreak/>
        <w:t>Despite some points of</w:t>
      </w:r>
      <w:r w:rsidR="00234C51">
        <w:rPr>
          <w:bCs/>
          <w:lang w:val="en-GB"/>
        </w:rPr>
        <w:t xml:space="preserve"> </w:t>
      </w:r>
      <w:r>
        <w:rPr>
          <w:bCs/>
          <w:lang w:val="en-GB"/>
        </w:rPr>
        <w:t>criticism</w:t>
      </w:r>
      <w:r w:rsidR="00443BC1">
        <w:rPr>
          <w:bCs/>
          <w:lang w:val="en-GB"/>
        </w:rPr>
        <w:t xml:space="preserve"> related to the deployment of the term</w:t>
      </w:r>
      <w:r>
        <w:rPr>
          <w:bCs/>
          <w:lang w:val="en-GB"/>
        </w:rPr>
        <w:t xml:space="preserve">, </w:t>
      </w:r>
      <w:r w:rsidR="00044FA3">
        <w:rPr>
          <w:bCs/>
          <w:lang w:val="en-GB"/>
        </w:rPr>
        <w:t>th</w:t>
      </w:r>
      <w:r w:rsidR="00234C51">
        <w:rPr>
          <w:bCs/>
          <w:lang w:val="en-GB"/>
        </w:rPr>
        <w:t>e</w:t>
      </w:r>
      <w:r w:rsidR="00044FA3">
        <w:rPr>
          <w:bCs/>
          <w:lang w:val="en-GB"/>
        </w:rPr>
        <w:t xml:space="preserve"> notion </w:t>
      </w:r>
      <w:r w:rsidR="00234C51">
        <w:rPr>
          <w:bCs/>
          <w:lang w:val="en-GB"/>
        </w:rPr>
        <w:t xml:space="preserve">of human dignity </w:t>
      </w:r>
      <w:r w:rsidR="00A27A5C">
        <w:rPr>
          <w:bCs/>
          <w:lang w:val="en-GB"/>
        </w:rPr>
        <w:t xml:space="preserve">can be viewed as </w:t>
      </w:r>
      <w:r w:rsidR="00044FA3">
        <w:rPr>
          <w:bCs/>
          <w:lang w:val="en-GB"/>
        </w:rPr>
        <w:t>a status-idea that greatly facilitate</w:t>
      </w:r>
      <w:r w:rsidR="005B1253">
        <w:rPr>
          <w:bCs/>
          <w:lang w:val="en-GB"/>
        </w:rPr>
        <w:t>s</w:t>
      </w:r>
      <w:r w:rsidR="00044FA3">
        <w:rPr>
          <w:bCs/>
          <w:lang w:val="en-GB"/>
        </w:rPr>
        <w:t xml:space="preserve"> the creation of a category of global citizenship. Jeremy Waldron describes ‘dignity’ as a value that underlies the default status of </w:t>
      </w:r>
      <w:r w:rsidR="00BB791B">
        <w:rPr>
          <w:bCs/>
          <w:lang w:val="en-GB"/>
        </w:rPr>
        <w:t xml:space="preserve">a </w:t>
      </w:r>
      <w:r w:rsidR="00044FA3">
        <w:rPr>
          <w:bCs/>
          <w:lang w:val="en-GB"/>
        </w:rPr>
        <w:t xml:space="preserve">human individual by drawing attention to the rights, duties, powers, </w:t>
      </w:r>
      <w:r w:rsidR="00044FA3" w:rsidRPr="00044FA3">
        <w:rPr>
          <w:bCs/>
          <w:lang w:val="en-GB"/>
        </w:rPr>
        <w:t>and immunities that attach to the human person as such.</w:t>
      </w:r>
      <w:r w:rsidR="00044FA3">
        <w:rPr>
          <w:rStyle w:val="EndnoteReference"/>
          <w:bCs/>
          <w:lang w:val="en-GB"/>
        </w:rPr>
        <w:endnoteReference w:id="60"/>
      </w:r>
      <w:r w:rsidR="001178B0">
        <w:rPr>
          <w:bCs/>
          <w:lang w:val="en-GB"/>
        </w:rPr>
        <w:t xml:space="preserve"> </w:t>
      </w:r>
      <w:r w:rsidR="000E0161">
        <w:rPr>
          <w:bCs/>
          <w:lang w:val="en-GB"/>
        </w:rPr>
        <w:t xml:space="preserve">This view of dignity </w:t>
      </w:r>
      <w:r w:rsidR="001178B0">
        <w:rPr>
          <w:bCs/>
          <w:lang w:val="en-GB"/>
        </w:rPr>
        <w:t>emphasises</w:t>
      </w:r>
      <w:r w:rsidR="003B6713">
        <w:rPr>
          <w:bCs/>
          <w:lang w:val="en-GB"/>
        </w:rPr>
        <w:t xml:space="preserve"> not just to the content of specific rights but also to the question of availability of these rights to any individual. Dignity is therefore an alchemizing idea </w:t>
      </w:r>
      <w:r w:rsidR="004C63E4">
        <w:rPr>
          <w:bCs/>
          <w:lang w:val="en-GB"/>
        </w:rPr>
        <w:t>that</w:t>
      </w:r>
      <w:r w:rsidR="003B6713">
        <w:rPr>
          <w:bCs/>
          <w:lang w:val="en-GB"/>
        </w:rPr>
        <w:t xml:space="preserve"> transforms the status of a passive beneficiary of constitutional arrangement to an active and empowered participant.</w:t>
      </w:r>
      <w:r w:rsidR="003B6713">
        <w:rPr>
          <w:rStyle w:val="EndnoteReference"/>
          <w:bCs/>
          <w:lang w:val="en-GB"/>
        </w:rPr>
        <w:endnoteReference w:id="61"/>
      </w:r>
      <w:r w:rsidR="004939F0">
        <w:rPr>
          <w:bCs/>
          <w:lang w:val="en-GB"/>
        </w:rPr>
        <w:t xml:space="preserve"> </w:t>
      </w:r>
      <w:r w:rsidR="00CC250E">
        <w:rPr>
          <w:bCs/>
          <w:lang w:val="en-GB"/>
        </w:rPr>
        <w:t>National citizenship is a traditional</w:t>
      </w:r>
      <w:r w:rsidR="00A22710">
        <w:rPr>
          <w:bCs/>
          <w:lang w:val="en-GB"/>
        </w:rPr>
        <w:t xml:space="preserve"> </w:t>
      </w:r>
      <w:r w:rsidR="00F91DF4">
        <w:rPr>
          <w:bCs/>
          <w:lang w:val="en-GB"/>
        </w:rPr>
        <w:t>vehicle</w:t>
      </w:r>
      <w:r w:rsidR="00A22710">
        <w:rPr>
          <w:bCs/>
          <w:lang w:val="en-GB"/>
        </w:rPr>
        <w:t xml:space="preserve"> </w:t>
      </w:r>
      <w:r w:rsidR="00F91DF4">
        <w:rPr>
          <w:bCs/>
          <w:lang w:val="en-GB"/>
        </w:rPr>
        <w:t>to exercise the right of access to justice as a form of empowerment</w:t>
      </w:r>
      <w:r w:rsidR="008E46FC">
        <w:rPr>
          <w:bCs/>
          <w:lang w:val="en-GB"/>
        </w:rPr>
        <w:t>.</w:t>
      </w:r>
      <w:r w:rsidR="008E46FC">
        <w:rPr>
          <w:rStyle w:val="EndnoteReference"/>
          <w:bCs/>
          <w:lang w:val="en-GB"/>
        </w:rPr>
        <w:endnoteReference w:id="62"/>
      </w:r>
      <w:r w:rsidR="00CC250E">
        <w:rPr>
          <w:bCs/>
          <w:lang w:val="en-GB"/>
        </w:rPr>
        <w:t xml:space="preserve"> </w:t>
      </w:r>
      <w:r w:rsidR="008E46FC">
        <w:rPr>
          <w:bCs/>
          <w:lang w:val="en-GB"/>
        </w:rPr>
        <w:t>T</w:t>
      </w:r>
      <w:r w:rsidR="00CC250E">
        <w:rPr>
          <w:bCs/>
          <w:lang w:val="en-GB"/>
        </w:rPr>
        <w:t xml:space="preserve">he moment is ripe to </w:t>
      </w:r>
      <w:r w:rsidR="008D1FD4">
        <w:rPr>
          <w:bCs/>
          <w:lang w:val="en-GB"/>
        </w:rPr>
        <w:t>project</w:t>
      </w:r>
      <w:r w:rsidR="00CC250E">
        <w:rPr>
          <w:bCs/>
          <w:lang w:val="en-GB"/>
        </w:rPr>
        <w:t xml:space="preserve"> this vision to a </w:t>
      </w:r>
      <w:r w:rsidR="008D1FD4">
        <w:rPr>
          <w:bCs/>
          <w:lang w:val="en-GB"/>
        </w:rPr>
        <w:t>transnational</w:t>
      </w:r>
      <w:r w:rsidR="00CC250E">
        <w:rPr>
          <w:bCs/>
          <w:lang w:val="en-GB"/>
        </w:rPr>
        <w:t xml:space="preserve"> level.</w:t>
      </w:r>
      <w:r w:rsidR="004C63E4">
        <w:rPr>
          <w:bCs/>
          <w:lang w:val="en-GB"/>
        </w:rPr>
        <w:t xml:space="preserve"> </w:t>
      </w:r>
    </w:p>
    <w:p w14:paraId="5E5B3A1A" w14:textId="72D78111" w:rsidR="004343E3" w:rsidRDefault="007A4DF1" w:rsidP="002D3D8B">
      <w:pPr>
        <w:spacing w:before="240" w:line="360" w:lineRule="auto"/>
        <w:rPr>
          <w:bCs/>
          <w:lang w:val="en-GB"/>
        </w:rPr>
      </w:pPr>
      <w:r>
        <w:rPr>
          <w:bCs/>
          <w:lang w:val="en-GB"/>
        </w:rPr>
        <w:t xml:space="preserve">Marshall’s conceptualisation of </w:t>
      </w:r>
      <w:r w:rsidRPr="00094A20">
        <w:rPr>
          <w:bCs/>
          <w:lang w:val="en-GB"/>
        </w:rPr>
        <w:t xml:space="preserve">citizenship is </w:t>
      </w:r>
      <w:r w:rsidR="006E0109" w:rsidRPr="00094A20">
        <w:rPr>
          <w:bCs/>
          <w:lang w:val="en-GB"/>
        </w:rPr>
        <w:t xml:space="preserve">thus </w:t>
      </w:r>
      <w:r w:rsidRPr="00094A20">
        <w:rPr>
          <w:bCs/>
          <w:lang w:val="en-GB"/>
        </w:rPr>
        <w:t>a useful category to</w:t>
      </w:r>
      <w:r>
        <w:rPr>
          <w:bCs/>
          <w:lang w:val="en-GB"/>
        </w:rPr>
        <w:t xml:space="preserve"> </w:t>
      </w:r>
      <w:r w:rsidR="001178B0">
        <w:rPr>
          <w:bCs/>
          <w:lang w:val="en-GB"/>
        </w:rPr>
        <w:t>expand our understanding of citizenship to include the</w:t>
      </w:r>
      <w:r>
        <w:rPr>
          <w:bCs/>
          <w:lang w:val="en-GB"/>
        </w:rPr>
        <w:t xml:space="preserve"> emerging global citizenship and its normative content</w:t>
      </w:r>
      <w:r w:rsidR="001178B0">
        <w:rPr>
          <w:bCs/>
          <w:lang w:val="en-GB"/>
        </w:rPr>
        <w:t xml:space="preserve"> grounded in dignity</w:t>
      </w:r>
      <w:r>
        <w:rPr>
          <w:bCs/>
          <w:lang w:val="en-GB"/>
        </w:rPr>
        <w:t xml:space="preserve">. One may object that there is an enormous effectiveness challenge implicit in such view. For instance, Danilo </w:t>
      </w:r>
      <w:proofErr w:type="spellStart"/>
      <w:r>
        <w:rPr>
          <w:bCs/>
          <w:lang w:val="en-GB"/>
        </w:rPr>
        <w:t>Zolo</w:t>
      </w:r>
      <w:proofErr w:type="spellEnd"/>
      <w:r>
        <w:rPr>
          <w:bCs/>
          <w:lang w:val="en-GB"/>
        </w:rPr>
        <w:t xml:space="preserve"> warns against an overly romantic idea of the ‘planetary rule of law’ and ‘cosmopolitan optimism’.</w:t>
      </w:r>
      <w:r>
        <w:rPr>
          <w:rStyle w:val="EndnoteReference"/>
          <w:bCs/>
          <w:lang w:val="en-GB"/>
        </w:rPr>
        <w:endnoteReference w:id="63"/>
      </w:r>
      <w:r>
        <w:rPr>
          <w:bCs/>
          <w:lang w:val="en-GB"/>
        </w:rPr>
        <w:t xml:space="preserve"> He points out a number of challenges inherent in such </w:t>
      </w:r>
      <w:r w:rsidR="00C23D36">
        <w:rPr>
          <w:bCs/>
          <w:lang w:val="en-GB"/>
        </w:rPr>
        <w:t xml:space="preserve">a </w:t>
      </w:r>
      <w:r>
        <w:rPr>
          <w:bCs/>
          <w:lang w:val="en-GB"/>
        </w:rPr>
        <w:t>position, such</w:t>
      </w:r>
      <w:r w:rsidR="00FB644E">
        <w:rPr>
          <w:bCs/>
          <w:lang w:val="en-GB"/>
        </w:rPr>
        <w:t xml:space="preserve"> as</w:t>
      </w:r>
      <w:r>
        <w:rPr>
          <w:bCs/>
          <w:lang w:val="en-GB"/>
        </w:rPr>
        <w:t xml:space="preserve"> </w:t>
      </w:r>
      <w:r w:rsidRPr="00482CA7">
        <w:rPr>
          <w:bCs/>
          <w:i/>
          <w:iCs/>
          <w:lang w:val="en-GB"/>
        </w:rPr>
        <w:t>de facto</w:t>
      </w:r>
      <w:r>
        <w:rPr>
          <w:bCs/>
          <w:lang w:val="en-GB"/>
        </w:rPr>
        <w:t xml:space="preserve"> inequality of states – some more powerful and wealthy than others, problems of </w:t>
      </w:r>
      <w:r w:rsidR="00501743">
        <w:rPr>
          <w:bCs/>
          <w:lang w:val="en-GB"/>
        </w:rPr>
        <w:t xml:space="preserve">a </w:t>
      </w:r>
      <w:r>
        <w:rPr>
          <w:bCs/>
          <w:lang w:val="en-GB"/>
        </w:rPr>
        <w:t>lack of global enforcement mechanisms, and, finally, the problem of entrusting the maintenance of such an order to illiberal (in his view) institutions, such as the European Union or the United Nations.</w:t>
      </w:r>
      <w:r>
        <w:rPr>
          <w:rStyle w:val="EndnoteReference"/>
          <w:bCs/>
          <w:lang w:val="en-GB"/>
        </w:rPr>
        <w:endnoteReference w:id="64"/>
      </w:r>
      <w:r w:rsidR="00907EBB">
        <w:rPr>
          <w:bCs/>
          <w:lang w:val="en-GB"/>
        </w:rPr>
        <w:t xml:space="preserve"> It appears that Marshall would not have disagreed with </w:t>
      </w:r>
      <w:proofErr w:type="spellStart"/>
      <w:r w:rsidR="00907EBB">
        <w:rPr>
          <w:bCs/>
          <w:lang w:val="en-GB"/>
        </w:rPr>
        <w:t>Zolo</w:t>
      </w:r>
      <w:proofErr w:type="spellEnd"/>
      <w:r w:rsidR="00907EBB">
        <w:rPr>
          <w:bCs/>
          <w:lang w:val="en-GB"/>
        </w:rPr>
        <w:t xml:space="preserve"> </w:t>
      </w:r>
      <w:r w:rsidR="00C13E1C">
        <w:rPr>
          <w:bCs/>
          <w:lang w:val="en-GB"/>
        </w:rPr>
        <w:t xml:space="preserve">on this point </w:t>
      </w:r>
      <w:r w:rsidR="00907EBB">
        <w:rPr>
          <w:bCs/>
          <w:lang w:val="en-GB"/>
        </w:rPr>
        <w:t xml:space="preserve">given </w:t>
      </w:r>
      <w:r w:rsidR="00C13E1C">
        <w:rPr>
          <w:bCs/>
          <w:lang w:val="en-GB"/>
        </w:rPr>
        <w:t>Marshall’s</w:t>
      </w:r>
      <w:r w:rsidR="00907EBB">
        <w:rPr>
          <w:bCs/>
          <w:lang w:val="en-GB"/>
        </w:rPr>
        <w:t xml:space="preserve"> ultimate conclusion on </w:t>
      </w:r>
      <w:r w:rsidR="006903F7">
        <w:rPr>
          <w:bCs/>
          <w:lang w:val="en-GB"/>
        </w:rPr>
        <w:t xml:space="preserve">the </w:t>
      </w:r>
      <w:r w:rsidR="00907EBB">
        <w:rPr>
          <w:bCs/>
          <w:lang w:val="en-GB"/>
        </w:rPr>
        <w:t>incompatibility of his view</w:t>
      </w:r>
      <w:r w:rsidR="00C13E1C">
        <w:rPr>
          <w:bCs/>
          <w:lang w:val="en-GB"/>
        </w:rPr>
        <w:t xml:space="preserve"> of citizenship</w:t>
      </w:r>
      <w:r w:rsidR="00907EBB">
        <w:rPr>
          <w:bCs/>
          <w:lang w:val="en-GB"/>
        </w:rPr>
        <w:t xml:space="preserve"> with the idea of</w:t>
      </w:r>
      <w:r w:rsidR="00C13E1C">
        <w:rPr>
          <w:bCs/>
          <w:lang w:val="en-GB"/>
        </w:rPr>
        <w:t xml:space="preserve"> the</w:t>
      </w:r>
      <w:r w:rsidR="00907EBB">
        <w:rPr>
          <w:bCs/>
          <w:lang w:val="en-GB"/>
        </w:rPr>
        <w:t xml:space="preserve"> universal human rights due to cultural differences</w:t>
      </w:r>
      <w:r w:rsidR="00E30B1C">
        <w:rPr>
          <w:bCs/>
          <w:lang w:val="en-GB"/>
        </w:rPr>
        <w:t xml:space="preserve"> among states.</w:t>
      </w:r>
    </w:p>
    <w:p w14:paraId="3F3C1872" w14:textId="63B0A9DB" w:rsidR="004343E3" w:rsidRPr="001C3BD7" w:rsidRDefault="004343E3" w:rsidP="002D3D8B">
      <w:pPr>
        <w:spacing w:before="240" w:line="360" w:lineRule="auto"/>
        <w:rPr>
          <w:bCs/>
          <w:lang w:val="en-GB"/>
        </w:rPr>
      </w:pPr>
      <w:r>
        <w:rPr>
          <w:bCs/>
          <w:lang w:val="en-GB"/>
        </w:rPr>
        <w:t xml:space="preserve">The first step in overcoming the limitations of inequality of states would be to adopt terminology conducive of developing </w:t>
      </w:r>
      <w:r w:rsidR="005540E9">
        <w:rPr>
          <w:bCs/>
          <w:lang w:val="en-GB"/>
        </w:rPr>
        <w:t>a</w:t>
      </w:r>
      <w:r>
        <w:rPr>
          <w:bCs/>
          <w:lang w:val="en-GB"/>
        </w:rPr>
        <w:t xml:space="preserve"> status of a global citizen. International human rights </w:t>
      </w:r>
      <w:r w:rsidRPr="001C3BD7">
        <w:rPr>
          <w:bCs/>
          <w:lang w:val="en-GB"/>
        </w:rPr>
        <w:t xml:space="preserve">treaties already contain </w:t>
      </w:r>
      <w:r w:rsidR="009E336E" w:rsidRPr="001C3BD7">
        <w:rPr>
          <w:bCs/>
          <w:lang w:val="en-GB"/>
        </w:rPr>
        <w:t xml:space="preserve">an </w:t>
      </w:r>
      <w:r w:rsidRPr="001C3BD7">
        <w:rPr>
          <w:bCs/>
          <w:lang w:val="en-GB"/>
        </w:rPr>
        <w:t>extensive list</w:t>
      </w:r>
      <w:r w:rsidR="009E336E" w:rsidRPr="001C3BD7">
        <w:rPr>
          <w:bCs/>
          <w:lang w:val="en-GB"/>
        </w:rPr>
        <w:t xml:space="preserve"> </w:t>
      </w:r>
      <w:r w:rsidRPr="001C3BD7">
        <w:rPr>
          <w:bCs/>
          <w:lang w:val="en-GB"/>
        </w:rPr>
        <w:t xml:space="preserve">of rights belonging to all individuals around the world. </w:t>
      </w:r>
      <w:r w:rsidR="00E215E8" w:rsidRPr="001C3BD7">
        <w:rPr>
          <w:bCs/>
          <w:lang w:val="en-GB"/>
        </w:rPr>
        <w:t xml:space="preserve">The missing part of the puzzle is the account </w:t>
      </w:r>
      <w:r w:rsidR="009E583E" w:rsidRPr="001C3BD7">
        <w:rPr>
          <w:bCs/>
          <w:lang w:val="en-GB"/>
        </w:rPr>
        <w:t>of</w:t>
      </w:r>
      <w:r w:rsidRPr="001C3BD7">
        <w:rPr>
          <w:bCs/>
          <w:lang w:val="en-GB"/>
        </w:rPr>
        <w:t xml:space="preserve"> </w:t>
      </w:r>
      <w:r w:rsidRPr="001C3BD7">
        <w:rPr>
          <w:bCs/>
          <w:i/>
          <w:iCs/>
          <w:lang w:val="en-GB"/>
        </w:rPr>
        <w:t>how</w:t>
      </w:r>
      <w:r w:rsidRPr="001C3BD7">
        <w:rPr>
          <w:bCs/>
          <w:lang w:val="en-GB"/>
        </w:rPr>
        <w:t xml:space="preserve"> everyone can access and enforce these rights</w:t>
      </w:r>
      <w:r w:rsidR="006E0109" w:rsidRPr="001C3BD7">
        <w:rPr>
          <w:bCs/>
          <w:lang w:val="en-GB"/>
        </w:rPr>
        <w:t xml:space="preserve">. </w:t>
      </w:r>
      <w:r w:rsidR="0044533F" w:rsidRPr="001C3BD7">
        <w:rPr>
          <w:bCs/>
          <w:lang w:val="en-GB"/>
        </w:rPr>
        <w:t>International law discourse can further develop language and terminology to stress</w:t>
      </w:r>
      <w:r w:rsidR="003330FE" w:rsidRPr="001C3BD7">
        <w:rPr>
          <w:bCs/>
          <w:lang w:val="en-GB"/>
        </w:rPr>
        <w:t xml:space="preserve"> the</w:t>
      </w:r>
      <w:r w:rsidR="0044533F" w:rsidRPr="001C3BD7">
        <w:rPr>
          <w:bCs/>
          <w:lang w:val="en-GB"/>
        </w:rPr>
        <w:t xml:space="preserve"> </w:t>
      </w:r>
      <w:r w:rsidR="0044533F" w:rsidRPr="001C3BD7">
        <w:rPr>
          <w:bCs/>
          <w:i/>
          <w:iCs/>
          <w:lang w:val="en-GB"/>
        </w:rPr>
        <w:t>status</w:t>
      </w:r>
      <w:r w:rsidR="0044533F" w:rsidRPr="001C3BD7">
        <w:rPr>
          <w:bCs/>
          <w:lang w:val="en-GB"/>
        </w:rPr>
        <w:t xml:space="preserve">, or </w:t>
      </w:r>
      <w:r w:rsidR="003330FE" w:rsidRPr="001C3BD7">
        <w:rPr>
          <w:bCs/>
          <w:lang w:val="en-GB"/>
        </w:rPr>
        <w:t xml:space="preserve">the </w:t>
      </w:r>
      <w:r w:rsidR="0044533F" w:rsidRPr="001C3BD7">
        <w:rPr>
          <w:bCs/>
          <w:lang w:val="en-GB"/>
        </w:rPr>
        <w:t>legal standing to seek recourse</w:t>
      </w:r>
      <w:r w:rsidR="003330FE" w:rsidRPr="001C3BD7">
        <w:rPr>
          <w:bCs/>
          <w:lang w:val="en-GB"/>
        </w:rPr>
        <w:t xml:space="preserve"> or enforcement</w:t>
      </w:r>
      <w:r w:rsidR="005C408C" w:rsidRPr="001C3BD7">
        <w:rPr>
          <w:bCs/>
          <w:lang w:val="en-GB"/>
        </w:rPr>
        <w:t xml:space="preserve"> based on the shared common core of humanity</w:t>
      </w:r>
      <w:r w:rsidR="0044533F" w:rsidRPr="001C3BD7">
        <w:rPr>
          <w:bCs/>
          <w:lang w:val="en-GB"/>
        </w:rPr>
        <w:t xml:space="preserve">. </w:t>
      </w:r>
      <w:r w:rsidR="008B22BE" w:rsidRPr="001C3BD7">
        <w:rPr>
          <w:bCs/>
          <w:lang w:val="en-GB"/>
        </w:rPr>
        <w:t xml:space="preserve">How does one reflect </w:t>
      </w:r>
      <w:r w:rsidR="005C408C" w:rsidRPr="001C3BD7">
        <w:rPr>
          <w:bCs/>
          <w:lang w:val="en-GB"/>
        </w:rPr>
        <w:t xml:space="preserve">this understanding </w:t>
      </w:r>
      <w:r w:rsidR="008B22BE" w:rsidRPr="001C3BD7">
        <w:rPr>
          <w:bCs/>
          <w:lang w:val="en-GB"/>
        </w:rPr>
        <w:t xml:space="preserve">through effective speech forms? </w:t>
      </w:r>
    </w:p>
    <w:p w14:paraId="419F94F2" w14:textId="5255015E" w:rsidR="001F47EF" w:rsidRPr="001C3BD7" w:rsidRDefault="008B22BE" w:rsidP="00C83461">
      <w:pPr>
        <w:spacing w:before="240" w:line="360" w:lineRule="auto"/>
        <w:rPr>
          <w:bCs/>
          <w:lang w:val="en-GB"/>
        </w:rPr>
      </w:pPr>
      <w:r w:rsidRPr="001C3BD7">
        <w:rPr>
          <w:bCs/>
          <w:lang w:val="en-GB"/>
        </w:rPr>
        <w:lastRenderedPageBreak/>
        <w:t xml:space="preserve">I suggest the notion of global citizenship as an extension of Marshall’s ideas. The performative power of this concept is </w:t>
      </w:r>
      <w:r w:rsidR="00825537" w:rsidRPr="001C3BD7">
        <w:rPr>
          <w:bCs/>
          <w:lang w:val="en-GB"/>
        </w:rPr>
        <w:t xml:space="preserve">a forceful addition to </w:t>
      </w:r>
      <w:r w:rsidRPr="001C3BD7">
        <w:rPr>
          <w:bCs/>
          <w:lang w:val="en-GB"/>
        </w:rPr>
        <w:t>the language of universal human rights</w:t>
      </w:r>
      <w:r w:rsidR="00816C33" w:rsidRPr="001C3BD7">
        <w:rPr>
          <w:bCs/>
          <w:lang w:val="en-GB"/>
        </w:rPr>
        <w:t xml:space="preserve"> because it addresses the underlying structural inequality in the</w:t>
      </w:r>
      <w:r w:rsidR="00825537" w:rsidRPr="001C3BD7">
        <w:rPr>
          <w:bCs/>
          <w:lang w:val="en-GB"/>
        </w:rPr>
        <w:t>ir</w:t>
      </w:r>
      <w:r w:rsidR="00816C33" w:rsidRPr="001C3BD7">
        <w:rPr>
          <w:bCs/>
          <w:lang w:val="en-GB"/>
        </w:rPr>
        <w:t xml:space="preserve"> enforcement</w:t>
      </w:r>
      <w:r w:rsidR="00825537" w:rsidRPr="001C3BD7">
        <w:rPr>
          <w:bCs/>
          <w:lang w:val="en-GB"/>
        </w:rPr>
        <w:t xml:space="preserve">. </w:t>
      </w:r>
      <w:r w:rsidR="00E25211" w:rsidRPr="001C3BD7">
        <w:rPr>
          <w:bCs/>
          <w:lang w:val="en-GB"/>
        </w:rPr>
        <w:t xml:space="preserve">The notion of ‘global citizenship’ tackles </w:t>
      </w:r>
      <w:r w:rsidR="00816C33" w:rsidRPr="001C3BD7">
        <w:rPr>
          <w:bCs/>
          <w:lang w:val="en-GB"/>
        </w:rPr>
        <w:t>the problem of access to justice or the</w:t>
      </w:r>
      <w:r w:rsidRPr="001C3BD7">
        <w:rPr>
          <w:bCs/>
          <w:lang w:val="en-GB"/>
        </w:rPr>
        <w:t xml:space="preserve"> ‘right to have rights’ as eloquently </w:t>
      </w:r>
      <w:r w:rsidR="00F0156A" w:rsidRPr="001C3BD7">
        <w:rPr>
          <w:bCs/>
          <w:lang w:val="en-GB"/>
        </w:rPr>
        <w:t>described</w:t>
      </w:r>
      <w:r w:rsidRPr="001C3BD7">
        <w:rPr>
          <w:bCs/>
          <w:lang w:val="en-GB"/>
        </w:rPr>
        <w:t xml:space="preserve"> by Hannah Arendt</w:t>
      </w:r>
      <w:r w:rsidR="00E25211" w:rsidRPr="001C3BD7">
        <w:rPr>
          <w:bCs/>
          <w:lang w:val="en-GB"/>
        </w:rPr>
        <w:t xml:space="preserve"> </w:t>
      </w:r>
      <w:r w:rsidR="002F512E" w:rsidRPr="001C3BD7">
        <w:rPr>
          <w:bCs/>
          <w:lang w:val="en-GB"/>
        </w:rPr>
        <w:t xml:space="preserve">in </w:t>
      </w:r>
      <w:r w:rsidR="00E25211" w:rsidRPr="001C3BD7">
        <w:rPr>
          <w:bCs/>
          <w:i/>
          <w:iCs/>
          <w:lang w:val="en-GB"/>
        </w:rPr>
        <w:t>The Origins of Totalitarianism</w:t>
      </w:r>
      <w:r w:rsidR="00E25211" w:rsidRPr="001C3BD7">
        <w:rPr>
          <w:bCs/>
          <w:lang w:val="en-GB"/>
        </w:rPr>
        <w:t>.</w:t>
      </w:r>
      <w:r w:rsidR="00F06AC5" w:rsidRPr="001C3BD7">
        <w:rPr>
          <w:rStyle w:val="EndnoteReference"/>
          <w:bCs/>
          <w:lang w:val="en-GB"/>
        </w:rPr>
        <w:endnoteReference w:id="65"/>
      </w:r>
      <w:r w:rsidR="00E25211" w:rsidRPr="001C3BD7">
        <w:rPr>
          <w:bCs/>
          <w:lang w:val="en-GB"/>
        </w:rPr>
        <w:t xml:space="preserve"> </w:t>
      </w:r>
      <w:r w:rsidR="0041307B" w:rsidRPr="001C3BD7">
        <w:rPr>
          <w:bCs/>
          <w:lang w:val="en-GB"/>
        </w:rPr>
        <w:t>Traditionally, only states were able to ensure</w:t>
      </w:r>
      <w:r w:rsidR="00B4108A" w:rsidRPr="001C3BD7">
        <w:rPr>
          <w:bCs/>
          <w:lang w:val="en-GB"/>
        </w:rPr>
        <w:t xml:space="preserve"> the</w:t>
      </w:r>
      <w:r w:rsidR="0041307B" w:rsidRPr="001C3BD7">
        <w:rPr>
          <w:bCs/>
          <w:lang w:val="en-GB"/>
        </w:rPr>
        <w:t xml:space="preserve"> effective enforcement of rights by their citizens</w:t>
      </w:r>
      <w:r w:rsidR="002D3D8B" w:rsidRPr="001C3BD7">
        <w:rPr>
          <w:bCs/>
          <w:lang w:val="en-GB"/>
        </w:rPr>
        <w:t xml:space="preserve">, thus </w:t>
      </w:r>
      <w:r w:rsidR="0041307B" w:rsidRPr="001C3BD7">
        <w:rPr>
          <w:bCs/>
          <w:lang w:val="en-GB"/>
        </w:rPr>
        <w:t>the language of</w:t>
      </w:r>
      <w:r w:rsidR="002D3D8B" w:rsidRPr="001C3BD7">
        <w:rPr>
          <w:bCs/>
          <w:lang w:val="en-GB"/>
        </w:rPr>
        <w:t xml:space="preserve"> the</w:t>
      </w:r>
      <w:r w:rsidR="0041307B" w:rsidRPr="001C3BD7">
        <w:rPr>
          <w:bCs/>
          <w:lang w:val="en-GB"/>
        </w:rPr>
        <w:t xml:space="preserve"> universal human rights was effectively inapplicable to stateless persons. The notion of ‘global citizenship’</w:t>
      </w:r>
      <w:r w:rsidR="002D3D8B" w:rsidRPr="001C3BD7">
        <w:rPr>
          <w:bCs/>
          <w:lang w:val="en-GB"/>
        </w:rPr>
        <w:t xml:space="preserve"> reflects the changing reality in which the states no longer monopolise the domain of the enforcement of rights. The purpose of developing this new normative concept is to ensure legal vocabulary exists to reflect </w:t>
      </w:r>
      <w:r w:rsidR="00832934" w:rsidRPr="001C3BD7">
        <w:rPr>
          <w:bCs/>
          <w:lang w:val="en-GB"/>
        </w:rPr>
        <w:t>such</w:t>
      </w:r>
      <w:r w:rsidR="002D3D8B" w:rsidRPr="001C3BD7">
        <w:rPr>
          <w:bCs/>
          <w:lang w:val="en-GB"/>
        </w:rPr>
        <w:t xml:space="preserve"> changing reality. I suggest</w:t>
      </w:r>
      <w:r w:rsidR="0044533F" w:rsidRPr="001C3BD7">
        <w:rPr>
          <w:bCs/>
          <w:lang w:val="en-GB"/>
        </w:rPr>
        <w:t xml:space="preserve"> adopting the language of ‘global citizenship’ rooted in the common core of </w:t>
      </w:r>
      <w:r w:rsidR="001A6AD2" w:rsidRPr="001C3BD7">
        <w:rPr>
          <w:bCs/>
          <w:lang w:val="en-GB"/>
        </w:rPr>
        <w:t>human</w:t>
      </w:r>
      <w:r w:rsidR="0044533F" w:rsidRPr="001C3BD7">
        <w:rPr>
          <w:bCs/>
          <w:lang w:val="en-GB"/>
        </w:rPr>
        <w:t xml:space="preserve"> dignity and self-empowerment as an incision on the body of dominant discourse forms</w:t>
      </w:r>
      <w:r w:rsidR="002D3D8B" w:rsidRPr="001C3BD7">
        <w:rPr>
          <w:bCs/>
          <w:lang w:val="en-GB"/>
        </w:rPr>
        <w:t>.</w:t>
      </w:r>
      <w:r w:rsidR="002D3D8B" w:rsidRPr="001C3BD7">
        <w:rPr>
          <w:rStyle w:val="EndnoteReference"/>
          <w:bCs/>
          <w:lang w:val="en-GB"/>
        </w:rPr>
        <w:endnoteReference w:id="66"/>
      </w:r>
      <w:r w:rsidR="002D3D8B" w:rsidRPr="001C3BD7">
        <w:rPr>
          <w:bCs/>
          <w:lang w:val="en-GB"/>
        </w:rPr>
        <w:t xml:space="preserve"> </w:t>
      </w:r>
    </w:p>
    <w:p w14:paraId="6836EAE9" w14:textId="07738066" w:rsidR="007A4DF1" w:rsidRDefault="0019216F" w:rsidP="00656EB9">
      <w:pPr>
        <w:spacing w:before="240" w:line="360" w:lineRule="auto"/>
        <w:rPr>
          <w:bCs/>
          <w:lang w:val="en-GB"/>
        </w:rPr>
      </w:pPr>
      <w:r w:rsidRPr="001C3BD7">
        <w:rPr>
          <w:bCs/>
          <w:lang w:val="en-GB"/>
        </w:rPr>
        <w:t>Another reason to lean on the expressive power of language in solidifying the</w:t>
      </w:r>
      <w:r>
        <w:rPr>
          <w:bCs/>
          <w:lang w:val="en-GB"/>
        </w:rPr>
        <w:t xml:space="preserve"> concept of global citizenship is</w:t>
      </w:r>
      <w:r w:rsidR="004B1121">
        <w:rPr>
          <w:bCs/>
          <w:lang w:val="en-GB"/>
        </w:rPr>
        <w:t xml:space="preserve"> </w:t>
      </w:r>
      <w:r>
        <w:rPr>
          <w:bCs/>
          <w:lang w:val="en-GB"/>
        </w:rPr>
        <w:t xml:space="preserve">persuasive authority inherent in international law. </w:t>
      </w:r>
      <w:proofErr w:type="gramStart"/>
      <w:r w:rsidR="00C20C13">
        <w:rPr>
          <w:bCs/>
          <w:lang w:val="en-GB"/>
        </w:rPr>
        <w:t>It</w:t>
      </w:r>
      <w:r w:rsidR="007A4DF1">
        <w:rPr>
          <w:bCs/>
          <w:lang w:val="en-GB"/>
        </w:rPr>
        <w:t xml:space="preserve"> is clear that international</w:t>
      </w:r>
      <w:proofErr w:type="gramEnd"/>
      <w:r w:rsidR="007A4DF1">
        <w:rPr>
          <w:bCs/>
          <w:lang w:val="en-GB"/>
        </w:rPr>
        <w:t xml:space="preserve"> justice suffers from the lack of reliable enforcement mechanisms akin to those of a state. For instance, there is no international police force that would execute the arrest warrants of the International Criminal Court. Lack of consistent enforcement does not automatically lead to a conclusion, however, that international law is </w:t>
      </w:r>
      <w:r w:rsidR="00920833">
        <w:rPr>
          <w:bCs/>
          <w:lang w:val="en-GB"/>
        </w:rPr>
        <w:t xml:space="preserve">practically </w:t>
      </w:r>
      <w:r w:rsidR="007A4DF1">
        <w:rPr>
          <w:bCs/>
          <w:lang w:val="en-GB"/>
        </w:rPr>
        <w:t xml:space="preserve">irrelevant to the status of individuals across the world, all of whom belong to a certain global </w:t>
      </w:r>
      <w:r w:rsidR="007A4DF1" w:rsidRPr="001C3BD7">
        <w:rPr>
          <w:bCs/>
          <w:lang w:val="en-GB"/>
        </w:rPr>
        <w:t>polity. International law exudes significant persuasive authority to the extent that it forms causes of action for state and international officials.</w:t>
      </w:r>
      <w:r w:rsidR="007A4DF1" w:rsidRPr="001C3BD7">
        <w:rPr>
          <w:rStyle w:val="EndnoteReference"/>
          <w:bCs/>
          <w:lang w:val="en-GB"/>
        </w:rPr>
        <w:endnoteReference w:id="67"/>
      </w:r>
      <w:r w:rsidR="007A4DF1" w:rsidRPr="001C3BD7">
        <w:rPr>
          <w:bCs/>
          <w:lang w:val="en-GB"/>
        </w:rPr>
        <w:t xml:space="preserve"> International law provides for an ‘actionable reason’ that national and international actors may utilise </w:t>
      </w:r>
      <w:proofErr w:type="gramStart"/>
      <w:r w:rsidR="007A4DF1" w:rsidRPr="001C3BD7">
        <w:rPr>
          <w:bCs/>
          <w:lang w:val="en-GB"/>
        </w:rPr>
        <w:t>in order to</w:t>
      </w:r>
      <w:proofErr w:type="gramEnd"/>
      <w:r w:rsidR="007A4DF1" w:rsidRPr="001C3BD7">
        <w:rPr>
          <w:bCs/>
          <w:lang w:val="en-GB"/>
        </w:rPr>
        <w:t xml:space="preserve"> inform and execute their decisions. This persuasive (rather than prescriptive) function of international law is inextricably linked with the idea of emerging global citizenship. Persuasive authority stems from consensus: engaging with international l</w:t>
      </w:r>
      <w:r w:rsidR="003951DE" w:rsidRPr="001C3BD7">
        <w:rPr>
          <w:bCs/>
          <w:lang w:val="en-GB"/>
        </w:rPr>
        <w:t>egal</w:t>
      </w:r>
      <w:r w:rsidR="007A4DF1" w:rsidRPr="001C3BD7">
        <w:rPr>
          <w:bCs/>
          <w:lang w:val="en-GB"/>
        </w:rPr>
        <w:t xml:space="preserve"> norms as an actionable cause is correlated with individual stakeholders’ self-realisation as members of international community. Embracing the view that one possesses the right to recourse irrespective of state citizenship is fundamental for such realisation. The following section builds on</w:t>
      </w:r>
      <w:r w:rsidR="0068173E" w:rsidRPr="001C3BD7">
        <w:rPr>
          <w:bCs/>
          <w:lang w:val="en-GB"/>
        </w:rPr>
        <w:t xml:space="preserve"> a</w:t>
      </w:r>
      <w:r w:rsidR="007A4DF1" w:rsidRPr="001C3BD7">
        <w:rPr>
          <w:bCs/>
          <w:lang w:val="en-GB"/>
        </w:rPr>
        <w:t xml:space="preserve"> positivistic account of the right of access to justice by adding two normative components to it, namely an understanding that justice denotes equality and participation. Interestingly, both notions</w:t>
      </w:r>
      <w:r w:rsidR="007A4DF1">
        <w:rPr>
          <w:bCs/>
          <w:lang w:val="en-GB"/>
        </w:rPr>
        <w:t xml:space="preserve"> feature prominently in Marshall’s work.</w:t>
      </w:r>
    </w:p>
    <w:p w14:paraId="70FF6983" w14:textId="411D786A" w:rsidR="007A4DF1" w:rsidRPr="00C87A29" w:rsidRDefault="00471B78" w:rsidP="00C87A29">
      <w:pPr>
        <w:pStyle w:val="NormalWeb"/>
        <w:numPr>
          <w:ilvl w:val="1"/>
          <w:numId w:val="1"/>
        </w:numPr>
        <w:spacing w:before="240" w:beforeAutospacing="0" w:after="0" w:afterAutospacing="0" w:line="360" w:lineRule="auto"/>
        <w:rPr>
          <w:bCs/>
          <w:i/>
          <w:iCs/>
          <w:lang w:val="en-GB"/>
        </w:rPr>
      </w:pPr>
      <w:r w:rsidRPr="00227604">
        <w:rPr>
          <w:bCs/>
          <w:i/>
          <w:iCs/>
          <w:lang w:val="en-GB"/>
        </w:rPr>
        <w:lastRenderedPageBreak/>
        <w:t xml:space="preserve">Global citizenship per Marshall: access to </w:t>
      </w:r>
      <w:r>
        <w:rPr>
          <w:bCs/>
          <w:i/>
          <w:iCs/>
          <w:lang w:val="en-GB"/>
        </w:rPr>
        <w:t>j</w:t>
      </w:r>
      <w:r w:rsidR="007A4DF1" w:rsidRPr="00C87A29">
        <w:rPr>
          <w:bCs/>
          <w:i/>
          <w:iCs/>
          <w:lang w:val="en-GB"/>
        </w:rPr>
        <w:t>ustice as equality</w:t>
      </w:r>
    </w:p>
    <w:p w14:paraId="34E1A2D6" w14:textId="0D31C6B2" w:rsidR="007A4DF1" w:rsidRPr="001C3BD7" w:rsidRDefault="007A4DF1" w:rsidP="00656EB9">
      <w:pPr>
        <w:pStyle w:val="NormalWeb"/>
        <w:spacing w:before="240" w:beforeAutospacing="0" w:after="0" w:afterAutospacing="0" w:line="360" w:lineRule="auto"/>
        <w:rPr>
          <w:bCs/>
          <w:lang w:val="en-GB"/>
        </w:rPr>
      </w:pPr>
      <w:r>
        <w:rPr>
          <w:bCs/>
          <w:lang w:val="en-GB"/>
        </w:rPr>
        <w:t xml:space="preserve">One of the key contributions of Marshall’s essay on citizenship is its express acknowledgment of basic human equality associated with full membership </w:t>
      </w:r>
      <w:r w:rsidR="00E742BD">
        <w:rPr>
          <w:bCs/>
          <w:lang w:val="en-GB"/>
        </w:rPr>
        <w:t xml:space="preserve">of </w:t>
      </w:r>
      <w:r>
        <w:rPr>
          <w:bCs/>
          <w:lang w:val="en-GB"/>
        </w:rPr>
        <w:t xml:space="preserve">a community. In drawing out the </w:t>
      </w:r>
      <w:r w:rsidRPr="001C3BD7">
        <w:rPr>
          <w:bCs/>
          <w:lang w:val="en-GB"/>
        </w:rPr>
        <w:t>historiographic map of the development of rights, Marshall presents an evolutionary trajectory of moving away from the feudal class-dependant access to rights and privileges towards a more comprehensive state-based system that grants every citizen access to a certain list of rights.</w:t>
      </w:r>
      <w:r w:rsidRPr="001C3BD7">
        <w:rPr>
          <w:rStyle w:val="EndnoteReference"/>
          <w:bCs/>
          <w:lang w:val="en-GB"/>
        </w:rPr>
        <w:endnoteReference w:id="68"/>
      </w:r>
      <w:r w:rsidRPr="001C3BD7">
        <w:rPr>
          <w:bCs/>
          <w:lang w:val="en-GB"/>
        </w:rPr>
        <w:t xml:space="preserve"> Class-based availability of rights is then replaced by availability dependent on the status of being a state citizen. The limits of the argument that a measure of equality is granted </w:t>
      </w:r>
      <w:proofErr w:type="gramStart"/>
      <w:r w:rsidRPr="001C3BD7">
        <w:rPr>
          <w:bCs/>
          <w:lang w:val="en-GB"/>
        </w:rPr>
        <w:t>on the basis of</w:t>
      </w:r>
      <w:proofErr w:type="gramEnd"/>
      <w:r w:rsidRPr="001C3BD7">
        <w:rPr>
          <w:bCs/>
          <w:lang w:val="en-GB"/>
        </w:rPr>
        <w:t xml:space="preserve"> state citizenship has been duly criticised.</w:t>
      </w:r>
      <w:r w:rsidR="004B41F9" w:rsidRPr="001C3BD7">
        <w:rPr>
          <w:rStyle w:val="EndnoteReference"/>
          <w:bCs/>
          <w:lang w:val="en-GB"/>
        </w:rPr>
        <w:endnoteReference w:id="69"/>
      </w:r>
    </w:p>
    <w:p w14:paraId="5DCD09B8" w14:textId="6D2EE6D5" w:rsidR="00A15B34" w:rsidRDefault="007A4DF1" w:rsidP="00656EB9">
      <w:pPr>
        <w:pStyle w:val="NormalWeb"/>
        <w:spacing w:before="240" w:beforeAutospacing="0" w:after="0" w:afterAutospacing="0" w:line="360" w:lineRule="auto"/>
        <w:rPr>
          <w:bCs/>
          <w:lang w:val="en-GB"/>
        </w:rPr>
      </w:pPr>
      <w:r w:rsidRPr="001C3BD7">
        <w:rPr>
          <w:bCs/>
          <w:lang w:val="en-GB"/>
        </w:rPr>
        <w:t>The same idea of equality stemming from belonging and membership acquires new significance</w:t>
      </w:r>
      <w:r w:rsidR="00A64DC4" w:rsidRPr="001C3BD7">
        <w:rPr>
          <w:bCs/>
          <w:lang w:val="en-GB"/>
        </w:rPr>
        <w:t xml:space="preserve"> </w:t>
      </w:r>
      <w:r w:rsidRPr="001C3BD7">
        <w:rPr>
          <w:bCs/>
          <w:lang w:val="en-GB"/>
        </w:rPr>
        <w:t>if transposed to an international plane, however. The concept of global citizenship loses the randomness component inherent in state citizenship as it includes all people in the world residing in all states</w:t>
      </w:r>
      <w:r w:rsidR="00AA715B" w:rsidRPr="001C3BD7">
        <w:rPr>
          <w:bCs/>
          <w:lang w:val="en-GB"/>
        </w:rPr>
        <w:t xml:space="preserve">. </w:t>
      </w:r>
      <w:r w:rsidRPr="001C3BD7">
        <w:rPr>
          <w:bCs/>
          <w:lang w:val="en-GB"/>
        </w:rPr>
        <w:t>One obvious potential challenge to this claim is that engaging with a category that includes everyone renders the term ‘citizenship’ meaningless. This challenge can be addressed by noticing a certain degree of equanimity that comes with a status of belonging to global citizenry. The mere fact of belonging gives rise to empowerment as individuals explore</w:t>
      </w:r>
      <w:r>
        <w:rPr>
          <w:bCs/>
          <w:lang w:val="en-GB"/>
        </w:rPr>
        <w:t xml:space="preserve"> the possibilities of recourse</w:t>
      </w:r>
      <w:r w:rsidR="00B53DDB">
        <w:rPr>
          <w:bCs/>
          <w:lang w:val="en-GB"/>
        </w:rPr>
        <w:t>. They</w:t>
      </w:r>
      <w:r>
        <w:rPr>
          <w:bCs/>
          <w:lang w:val="en-GB"/>
        </w:rPr>
        <w:t xml:space="preserve"> </w:t>
      </w:r>
      <w:r w:rsidR="00810C9A">
        <w:rPr>
          <w:bCs/>
          <w:lang w:val="en-GB"/>
        </w:rPr>
        <w:t>can</w:t>
      </w:r>
      <w:r w:rsidR="00A5305A">
        <w:rPr>
          <w:bCs/>
          <w:lang w:val="en-GB"/>
        </w:rPr>
        <w:t xml:space="preserve"> see</w:t>
      </w:r>
      <w:r>
        <w:rPr>
          <w:bCs/>
          <w:lang w:val="en-GB"/>
        </w:rPr>
        <w:t xml:space="preserve"> the possibilities that they had not considered earlier.</w:t>
      </w:r>
      <w:r w:rsidR="00105E8D" w:rsidRPr="001C3BD7">
        <w:rPr>
          <w:rStyle w:val="EndnoteReference"/>
          <w:bCs/>
          <w:lang w:val="en-GB"/>
        </w:rPr>
        <w:endnoteReference w:id="70"/>
      </w:r>
      <w:r>
        <w:rPr>
          <w:bCs/>
          <w:lang w:val="en-GB"/>
        </w:rPr>
        <w:t xml:space="preserve"> </w:t>
      </w:r>
    </w:p>
    <w:p w14:paraId="4B476DB5" w14:textId="1EF00A49" w:rsidR="007A4DF1" w:rsidRPr="001C3BD7" w:rsidRDefault="007A4DF1" w:rsidP="00133117">
      <w:pPr>
        <w:pStyle w:val="NormalWeb"/>
        <w:spacing w:before="240" w:beforeAutospacing="0" w:after="0" w:afterAutospacing="0" w:line="360" w:lineRule="auto"/>
        <w:rPr>
          <w:bCs/>
          <w:lang w:val="en-GB"/>
        </w:rPr>
      </w:pPr>
      <w:r>
        <w:rPr>
          <w:bCs/>
          <w:lang w:val="en-GB"/>
        </w:rPr>
        <w:t>Despite the degree of self-realisation and self-empowerment conferred by the status of a global citizen, it is hardly contested that as a matter of positive law, states remain primary subjects of international law, and, as a consequence,</w:t>
      </w:r>
      <w:r w:rsidR="00EC632C">
        <w:rPr>
          <w:bCs/>
          <w:lang w:val="en-GB"/>
        </w:rPr>
        <w:t xml:space="preserve"> the</w:t>
      </w:r>
      <w:r>
        <w:rPr>
          <w:bCs/>
          <w:lang w:val="en-GB"/>
        </w:rPr>
        <w:t xml:space="preserve"> legal standing of individuals and private entities to seek redress, is still to a large extent, contingent on state consent.</w:t>
      </w:r>
      <w:r>
        <w:rPr>
          <w:rStyle w:val="EndnoteReference"/>
          <w:bCs/>
          <w:lang w:val="en-GB"/>
        </w:rPr>
        <w:endnoteReference w:id="71"/>
      </w:r>
      <w:r>
        <w:rPr>
          <w:bCs/>
          <w:lang w:val="en-GB"/>
        </w:rPr>
        <w:t xml:space="preserve"> Thus, while it would be completely detached from reality to suggest that all of humanity has equal access to rights enshrined in a variety of human rights instruments, it is fair to say that the idea of global citizenship, in which every person on the planet </w:t>
      </w:r>
      <w:r w:rsidRPr="001C3BD7">
        <w:rPr>
          <w:bCs/>
          <w:lang w:val="en-GB"/>
        </w:rPr>
        <w:t xml:space="preserve">partakes, is in and of itself a narrative building instrument that promotes equality as it creates an opening, in terms of standing, for engaging with international </w:t>
      </w:r>
      <w:r w:rsidR="003951DE" w:rsidRPr="001C3BD7">
        <w:rPr>
          <w:bCs/>
          <w:lang w:val="en-GB"/>
        </w:rPr>
        <w:t xml:space="preserve">legal </w:t>
      </w:r>
      <w:r w:rsidRPr="001C3BD7">
        <w:rPr>
          <w:bCs/>
          <w:lang w:val="en-GB"/>
        </w:rPr>
        <w:t>principles.</w:t>
      </w:r>
      <w:r w:rsidRPr="001C3BD7">
        <w:rPr>
          <w:rStyle w:val="EndnoteReference"/>
          <w:bCs/>
          <w:lang w:val="en-GB"/>
        </w:rPr>
        <w:endnoteReference w:id="72"/>
      </w:r>
      <w:r w:rsidRPr="001C3BD7">
        <w:rPr>
          <w:bCs/>
          <w:lang w:val="en-GB"/>
        </w:rPr>
        <w:t xml:space="preserve"> The enforcement of rights is not a given but their existence and their formal availability to everyone is affirmed in an interconnected web of treaties. The language of human rights therefore affirms that justice in its broadest understanding belongs to a global constituency. </w:t>
      </w:r>
      <w:r w:rsidRPr="00F913C2">
        <w:rPr>
          <w:bCs/>
          <w:lang w:val="en-GB"/>
        </w:rPr>
        <w:t xml:space="preserve">Even the preamble of the UN Charter – not a strictly </w:t>
      </w:r>
      <w:r w:rsidRPr="00F913C2">
        <w:rPr>
          <w:bCs/>
          <w:lang w:val="en-GB"/>
        </w:rPr>
        <w:lastRenderedPageBreak/>
        <w:t xml:space="preserve">speaking a human rights instrument – refers to its drafters as ‘we the peoples of the United Nations’, thereby </w:t>
      </w:r>
      <w:r w:rsidR="00105E8D" w:rsidRPr="00F913C2">
        <w:rPr>
          <w:bCs/>
          <w:lang w:val="en-GB"/>
        </w:rPr>
        <w:t xml:space="preserve">inviting </w:t>
      </w:r>
      <w:r w:rsidR="006C56CF" w:rsidRPr="00F913C2">
        <w:rPr>
          <w:bCs/>
          <w:lang w:val="en-GB"/>
        </w:rPr>
        <w:t>the possibility of a more inclusive</w:t>
      </w:r>
      <w:r w:rsidR="0074766E" w:rsidRPr="00F913C2">
        <w:rPr>
          <w:bCs/>
          <w:lang w:val="en-GB"/>
        </w:rPr>
        <w:t xml:space="preserve"> </w:t>
      </w:r>
      <w:r w:rsidRPr="00F913C2">
        <w:rPr>
          <w:bCs/>
          <w:lang w:val="en-GB"/>
        </w:rPr>
        <w:t>people-centric dimension of the Charter.</w:t>
      </w:r>
      <w:r w:rsidRPr="00F913C2">
        <w:rPr>
          <w:rStyle w:val="EndnoteReference"/>
          <w:bCs/>
          <w:lang w:val="en-GB"/>
        </w:rPr>
        <w:endnoteReference w:id="73"/>
      </w:r>
      <w:r w:rsidRPr="001C3BD7">
        <w:rPr>
          <w:bCs/>
          <w:lang w:val="en-GB"/>
        </w:rPr>
        <w:t xml:space="preserve"> </w:t>
      </w:r>
    </w:p>
    <w:p w14:paraId="52F6D678" w14:textId="2840DD34" w:rsidR="007A4DF1" w:rsidRPr="001C3BD7" w:rsidRDefault="007A4DF1" w:rsidP="00133117">
      <w:pPr>
        <w:pStyle w:val="NormalWeb"/>
        <w:spacing w:before="240" w:beforeAutospacing="0" w:after="0" w:afterAutospacing="0" w:line="360" w:lineRule="auto"/>
        <w:rPr>
          <w:bCs/>
          <w:lang w:val="en-GB"/>
        </w:rPr>
      </w:pPr>
      <w:r w:rsidRPr="001C3BD7">
        <w:rPr>
          <w:bCs/>
          <w:lang w:val="en-GB"/>
        </w:rPr>
        <w:t xml:space="preserve">Section </w:t>
      </w:r>
      <w:r w:rsidR="00A12297" w:rsidRPr="001C3BD7">
        <w:rPr>
          <w:bCs/>
          <w:lang w:val="en-GB"/>
        </w:rPr>
        <w:t xml:space="preserve">three </w:t>
      </w:r>
      <w:r w:rsidRPr="001C3BD7">
        <w:rPr>
          <w:bCs/>
          <w:lang w:val="en-GB"/>
        </w:rPr>
        <w:t xml:space="preserve">of this paper engaged with legal positivism in exploring the meaning of the term ‘justice’ within the framework of the right of access to justice. Natural law philosophy may be helpful in expanding the vision of access to justice as an attribute of global citizenship. Such </w:t>
      </w:r>
      <w:r w:rsidR="0074766E" w:rsidRPr="001C3BD7">
        <w:rPr>
          <w:bCs/>
          <w:lang w:val="en-GB"/>
        </w:rPr>
        <w:t xml:space="preserve">a </w:t>
      </w:r>
      <w:r w:rsidRPr="001C3BD7">
        <w:rPr>
          <w:bCs/>
          <w:lang w:val="en-GB"/>
        </w:rPr>
        <w:t>vantage point is especially poignant when explaining the evolutive or dynamic pull of international law – a discipline that keeps transforming relationships between different actors in its field.</w:t>
      </w:r>
      <w:r w:rsidR="00A12297" w:rsidRPr="001C3BD7">
        <w:rPr>
          <w:rStyle w:val="EndnoteReference"/>
          <w:bCs/>
          <w:lang w:val="en-GB"/>
        </w:rPr>
        <w:endnoteReference w:id="74"/>
      </w:r>
      <w:r w:rsidRPr="001C3BD7">
        <w:rPr>
          <w:bCs/>
          <w:lang w:val="en-GB"/>
        </w:rPr>
        <w:t xml:space="preserve"> </w:t>
      </w:r>
    </w:p>
    <w:p w14:paraId="20EBF239" w14:textId="59C1B6D5" w:rsidR="007A4DF1" w:rsidRDefault="007A4DF1" w:rsidP="00133117">
      <w:pPr>
        <w:pStyle w:val="NormalWeb"/>
        <w:spacing w:before="240" w:beforeAutospacing="0" w:after="0" w:afterAutospacing="0" w:line="360" w:lineRule="auto"/>
        <w:rPr>
          <w:bCs/>
          <w:lang w:val="en-GB"/>
        </w:rPr>
      </w:pPr>
      <w:r w:rsidRPr="001C3BD7">
        <w:rPr>
          <w:bCs/>
          <w:lang w:val="en-GB"/>
        </w:rPr>
        <w:t xml:space="preserve">Natural law proponents do not separate the questions of law’s validity and justice. An early advocate of this approach, Thomas Aquinas, argued that justice directs man in his relations to others according to </w:t>
      </w:r>
      <w:proofErr w:type="gramStart"/>
      <w:r w:rsidRPr="001C3BD7">
        <w:rPr>
          <w:bCs/>
          <w:lang w:val="en-GB"/>
        </w:rPr>
        <w:t>some kind of equality</w:t>
      </w:r>
      <w:proofErr w:type="gramEnd"/>
      <w:r w:rsidRPr="001C3BD7">
        <w:rPr>
          <w:bCs/>
          <w:lang w:val="en-GB"/>
        </w:rPr>
        <w:t xml:space="preserve"> or rightness.</w:t>
      </w:r>
      <w:r w:rsidRPr="001C3BD7">
        <w:rPr>
          <w:rStyle w:val="EndnoteReference"/>
          <w:bCs/>
          <w:lang w:val="en-GB"/>
        </w:rPr>
        <w:endnoteReference w:id="75"/>
      </w:r>
      <w:r w:rsidRPr="001C3BD7">
        <w:rPr>
          <w:bCs/>
          <w:lang w:val="en-GB"/>
        </w:rPr>
        <w:t xml:space="preserve"> Aquinas likens the terms ‘just’ and ‘right’ by explaining that justice is what directs a person in their relationship to others based on a kind of equality.</w:t>
      </w:r>
      <w:r w:rsidRPr="001C3BD7">
        <w:rPr>
          <w:rStyle w:val="EndnoteReference"/>
          <w:bCs/>
          <w:lang w:val="en-GB"/>
        </w:rPr>
        <w:endnoteReference w:id="76"/>
      </w:r>
      <w:r w:rsidRPr="001C3BD7">
        <w:rPr>
          <w:bCs/>
          <w:lang w:val="en-GB"/>
        </w:rPr>
        <w:t xml:space="preserve"> Aquinas admits that ‘equality’ is a meaningful term only with reference to something else. Accordingly, that which is ‘just’ is that which provides for a certain form equality or consideration in relational terms – a man’s work is ‘just’ if payment for his service is offered</w:t>
      </w:r>
      <w:r>
        <w:rPr>
          <w:bCs/>
          <w:lang w:val="en-GB"/>
        </w:rPr>
        <w:t>.</w:t>
      </w:r>
      <w:r>
        <w:rPr>
          <w:rStyle w:val="EndnoteReference"/>
          <w:bCs/>
          <w:lang w:val="en-GB"/>
        </w:rPr>
        <w:endnoteReference w:id="77"/>
      </w:r>
      <w:r w:rsidR="00451111">
        <w:rPr>
          <w:bCs/>
          <w:lang w:val="en-GB"/>
        </w:rPr>
        <w:t xml:space="preserve"> </w:t>
      </w:r>
      <w:r w:rsidRPr="001C3BD7">
        <w:rPr>
          <w:bCs/>
          <w:lang w:val="en-GB"/>
        </w:rPr>
        <w:t>The starting point of natural law as deriving from a higher order of principles inherent in human nature</w:t>
      </w:r>
      <w:r>
        <w:rPr>
          <w:bCs/>
          <w:lang w:val="en-GB"/>
        </w:rPr>
        <w:t xml:space="preserve"> does not mean, however, that Aquinas rejects the idea of law as a social fact altogether. He posits that </w:t>
      </w:r>
      <w:r w:rsidRPr="00E2147E">
        <w:rPr>
          <w:bCs/>
          <w:lang w:val="en-GB"/>
        </w:rPr>
        <w:t>law consists in part of rules which are</w:t>
      </w:r>
      <w:r>
        <w:rPr>
          <w:bCs/>
          <w:lang w:val="en-GB"/>
        </w:rPr>
        <w:t xml:space="preserve"> derived as conclusions from the general principles of natural law, and in part of ‘determinations’, or implementations, of the general directives.</w:t>
      </w:r>
      <w:r>
        <w:rPr>
          <w:rStyle w:val="EndnoteReference"/>
          <w:bCs/>
          <w:lang w:val="en-GB"/>
        </w:rPr>
        <w:endnoteReference w:id="78"/>
      </w:r>
      <w:r w:rsidRPr="00E2147E">
        <w:rPr>
          <w:bCs/>
          <w:lang w:val="en-GB"/>
        </w:rPr>
        <w:t xml:space="preserve"> </w:t>
      </w:r>
      <w:r>
        <w:rPr>
          <w:bCs/>
          <w:lang w:val="en-GB"/>
        </w:rPr>
        <w:t>For instance, ‘one shall not kill’ is a conclusion derived from the general principle of doing no harm, while punishing the evil doer is rather a determination of the law of nature.</w:t>
      </w:r>
      <w:r>
        <w:rPr>
          <w:rStyle w:val="EndnoteReference"/>
          <w:bCs/>
          <w:lang w:val="en-GB"/>
        </w:rPr>
        <w:endnoteReference w:id="79"/>
      </w:r>
      <w:r>
        <w:rPr>
          <w:bCs/>
          <w:lang w:val="en-GB"/>
        </w:rPr>
        <w:t xml:space="preserve"> The second rule is fully man-made and thus has no other force than that of human law.</w:t>
      </w:r>
      <w:r>
        <w:rPr>
          <w:rStyle w:val="EndnoteReference"/>
          <w:bCs/>
          <w:lang w:val="en-GB"/>
        </w:rPr>
        <w:endnoteReference w:id="80"/>
      </w:r>
    </w:p>
    <w:p w14:paraId="17AFC9B7" w14:textId="3E1D04F1" w:rsidR="00873A7A" w:rsidRPr="00873A7A" w:rsidRDefault="00D863C8" w:rsidP="00133117">
      <w:pPr>
        <w:pStyle w:val="NormalWeb"/>
        <w:spacing w:before="240" w:beforeAutospacing="0" w:after="0" w:afterAutospacing="0" w:line="360" w:lineRule="auto"/>
        <w:rPr>
          <w:bCs/>
          <w:lang w:val="en-GB"/>
        </w:rPr>
      </w:pPr>
      <w:r>
        <w:rPr>
          <w:bCs/>
          <w:lang w:val="en-GB"/>
        </w:rPr>
        <w:t xml:space="preserve">The idea of </w:t>
      </w:r>
      <w:r w:rsidR="002579CF">
        <w:rPr>
          <w:bCs/>
          <w:lang w:val="en-GB"/>
        </w:rPr>
        <w:t>justice</w:t>
      </w:r>
      <w:r w:rsidR="0003418A">
        <w:rPr>
          <w:bCs/>
          <w:lang w:val="en-GB"/>
        </w:rPr>
        <w:t xml:space="preserve"> as</w:t>
      </w:r>
      <w:r>
        <w:rPr>
          <w:bCs/>
          <w:lang w:val="en-GB"/>
        </w:rPr>
        <w:t xml:space="preserve"> consideration</w:t>
      </w:r>
      <w:r w:rsidR="0003418A">
        <w:rPr>
          <w:bCs/>
          <w:lang w:val="en-GB"/>
        </w:rPr>
        <w:t xml:space="preserve"> finds its corresponding reflection in Marshall’s </w:t>
      </w:r>
      <w:r w:rsidR="00806C3C">
        <w:rPr>
          <w:bCs/>
          <w:lang w:val="en-GB"/>
        </w:rPr>
        <w:t>writings</w:t>
      </w:r>
      <w:r w:rsidR="00567AEC">
        <w:rPr>
          <w:bCs/>
          <w:lang w:val="en-GB"/>
        </w:rPr>
        <w:t xml:space="preserve"> pertaining to equality</w:t>
      </w:r>
      <w:r w:rsidR="00113DFE">
        <w:rPr>
          <w:bCs/>
          <w:lang w:val="en-GB"/>
        </w:rPr>
        <w:t xml:space="preserve">. </w:t>
      </w:r>
      <w:r>
        <w:rPr>
          <w:bCs/>
          <w:lang w:val="en-GB"/>
        </w:rPr>
        <w:t>In his essay ‘Work and Wealth’, Marshall explores conditions necessary to achieve social harmony.</w:t>
      </w:r>
      <w:r>
        <w:rPr>
          <w:rStyle w:val="EndnoteReference"/>
          <w:bCs/>
          <w:lang w:val="en-GB"/>
        </w:rPr>
        <w:endnoteReference w:id="81"/>
      </w:r>
      <w:r>
        <w:rPr>
          <w:bCs/>
          <w:lang w:val="en-GB"/>
        </w:rPr>
        <w:t xml:space="preserve"> The core </w:t>
      </w:r>
      <w:r w:rsidR="00944B27">
        <w:rPr>
          <w:bCs/>
          <w:lang w:val="en-GB"/>
        </w:rPr>
        <w:t>concern</w:t>
      </w:r>
      <w:r>
        <w:rPr>
          <w:bCs/>
          <w:lang w:val="en-GB"/>
        </w:rPr>
        <w:t xml:space="preserve"> is that</w:t>
      </w:r>
      <w:r w:rsidR="00CE1E13">
        <w:rPr>
          <w:bCs/>
          <w:lang w:val="en-GB"/>
        </w:rPr>
        <w:t xml:space="preserve"> for working individuals</w:t>
      </w:r>
      <w:r>
        <w:rPr>
          <w:bCs/>
          <w:lang w:val="en-GB"/>
        </w:rPr>
        <w:t xml:space="preserve"> ‘the game must be worth a candle’ - work involves sacrifice and thus must be justly remunerated. Moreover, the right to enjoy health, leisure, happiness, and even life belongs to all classes (and not just the privileged ones); therefore, it is not acceptable that wealth is produced at the expense of the availability of these </w:t>
      </w:r>
      <w:r w:rsidR="00F46817">
        <w:rPr>
          <w:bCs/>
          <w:lang w:val="en-GB"/>
        </w:rPr>
        <w:t xml:space="preserve">rights </w:t>
      </w:r>
      <w:r>
        <w:rPr>
          <w:bCs/>
          <w:lang w:val="en-GB"/>
        </w:rPr>
        <w:t xml:space="preserve">only </w:t>
      </w:r>
      <w:r>
        <w:rPr>
          <w:bCs/>
          <w:lang w:val="en-GB"/>
        </w:rPr>
        <w:lastRenderedPageBreak/>
        <w:t>to some people.</w:t>
      </w:r>
      <w:r>
        <w:rPr>
          <w:rStyle w:val="EndnoteReference"/>
          <w:bCs/>
          <w:lang w:val="en-GB"/>
        </w:rPr>
        <w:endnoteReference w:id="82"/>
      </w:r>
      <w:r>
        <w:rPr>
          <w:bCs/>
          <w:lang w:val="en-GB"/>
        </w:rPr>
        <w:t xml:space="preserve"> This way of thinking about equality brings Marshall’s ideas somewhat close to those originating from natural law theory. According to Marshall, </w:t>
      </w:r>
      <w:r w:rsidRPr="00D863C8">
        <w:rPr>
          <w:bCs/>
          <w:lang w:val="en-GB"/>
        </w:rPr>
        <w:t>citizenship endows members of a community with equality of social status that c</w:t>
      </w:r>
      <w:r w:rsidR="00234556">
        <w:rPr>
          <w:bCs/>
          <w:lang w:val="en-GB"/>
        </w:rPr>
        <w:t>an</w:t>
      </w:r>
      <w:r w:rsidRPr="00D863C8">
        <w:rPr>
          <w:bCs/>
          <w:lang w:val="en-GB"/>
        </w:rPr>
        <w:t xml:space="preserve"> coexist with inequality of material status</w:t>
      </w:r>
      <w:r>
        <w:rPr>
          <w:bCs/>
          <w:lang w:val="en-GB"/>
        </w:rPr>
        <w:t>.</w:t>
      </w:r>
      <w:r>
        <w:rPr>
          <w:rStyle w:val="EndnoteReference"/>
          <w:bCs/>
          <w:lang w:val="en-GB"/>
        </w:rPr>
        <w:endnoteReference w:id="83"/>
      </w:r>
      <w:r>
        <w:rPr>
          <w:bCs/>
          <w:lang w:val="en-GB"/>
        </w:rPr>
        <w:t xml:space="preserve"> </w:t>
      </w:r>
      <w:r w:rsidR="00113DFE">
        <w:rPr>
          <w:bCs/>
          <w:lang w:val="en-GB"/>
        </w:rPr>
        <w:t>Social status offers access to education and welfare</w:t>
      </w:r>
      <w:r w:rsidR="002D69FD">
        <w:rPr>
          <w:bCs/>
          <w:lang w:val="en-GB"/>
        </w:rPr>
        <w:t>, providing a</w:t>
      </w:r>
      <w:r w:rsidR="00113DFE">
        <w:rPr>
          <w:bCs/>
          <w:lang w:val="en-GB"/>
        </w:rPr>
        <w:t xml:space="preserve"> modicum of </w:t>
      </w:r>
      <w:r w:rsidR="00A61446">
        <w:rPr>
          <w:bCs/>
          <w:lang w:val="en-GB"/>
        </w:rPr>
        <w:t>compensation</w:t>
      </w:r>
      <w:r w:rsidR="00113DFE">
        <w:rPr>
          <w:bCs/>
          <w:lang w:val="en-GB"/>
        </w:rPr>
        <w:t xml:space="preserve"> when it comes to material inequality</w:t>
      </w:r>
      <w:r w:rsidR="00D830C3">
        <w:rPr>
          <w:bCs/>
          <w:lang w:val="en-GB"/>
        </w:rPr>
        <w:t xml:space="preserve"> within </w:t>
      </w:r>
      <w:r w:rsidR="00CC6CE6">
        <w:rPr>
          <w:bCs/>
          <w:lang w:val="en-GB"/>
        </w:rPr>
        <w:t>state boundaries</w:t>
      </w:r>
      <w:r w:rsidR="00113DFE">
        <w:rPr>
          <w:bCs/>
          <w:lang w:val="en-GB"/>
        </w:rPr>
        <w:t>.</w:t>
      </w:r>
      <w:r w:rsidR="00873A7A">
        <w:rPr>
          <w:rStyle w:val="EndnoteReference"/>
          <w:bCs/>
          <w:lang w:val="en-GB"/>
        </w:rPr>
        <w:endnoteReference w:id="84"/>
      </w:r>
    </w:p>
    <w:p w14:paraId="232032FA" w14:textId="2F25E30C" w:rsidR="007A4DF1" w:rsidRPr="001C3BD7" w:rsidRDefault="007A4DF1" w:rsidP="00133117">
      <w:pPr>
        <w:pStyle w:val="NormalWeb"/>
        <w:spacing w:before="240" w:beforeAutospacing="0" w:after="0" w:afterAutospacing="0" w:line="360" w:lineRule="auto"/>
        <w:rPr>
          <w:bCs/>
          <w:lang w:val="en-US"/>
        </w:rPr>
      </w:pPr>
      <w:r w:rsidRPr="001C3BD7">
        <w:rPr>
          <w:bCs/>
          <w:lang w:val="en-GB"/>
        </w:rPr>
        <w:t xml:space="preserve">Equality in the form of </w:t>
      </w:r>
      <w:r w:rsidRPr="00234556">
        <w:rPr>
          <w:bCs/>
          <w:lang w:val="en-GB"/>
        </w:rPr>
        <w:t>global</w:t>
      </w:r>
      <w:r w:rsidRPr="001C3BD7">
        <w:rPr>
          <w:bCs/>
          <w:lang w:val="en-GB"/>
        </w:rPr>
        <w:t xml:space="preserve"> access to justice via multiple routes </w:t>
      </w:r>
      <w:r w:rsidR="00F25822">
        <w:rPr>
          <w:bCs/>
          <w:lang w:val="en-GB"/>
        </w:rPr>
        <w:t xml:space="preserve">then </w:t>
      </w:r>
      <w:r w:rsidRPr="001C3BD7">
        <w:rPr>
          <w:bCs/>
          <w:lang w:val="en-GB"/>
        </w:rPr>
        <w:t xml:space="preserve">manifests itself in </w:t>
      </w:r>
      <w:r w:rsidR="00274A5E" w:rsidRPr="001C3BD7">
        <w:rPr>
          <w:bCs/>
          <w:lang w:val="en-GB"/>
        </w:rPr>
        <w:t xml:space="preserve">the </w:t>
      </w:r>
      <w:r w:rsidRPr="001C3BD7">
        <w:rPr>
          <w:bCs/>
          <w:lang w:val="en-GB"/>
        </w:rPr>
        <w:t>gradual realisation and internalisation of an individual right to recourse</w:t>
      </w:r>
      <w:r w:rsidR="00873A7A">
        <w:rPr>
          <w:bCs/>
          <w:lang w:val="en-GB"/>
        </w:rPr>
        <w:t xml:space="preserve"> independent of one’s national origins</w:t>
      </w:r>
      <w:r w:rsidRPr="001C3BD7">
        <w:rPr>
          <w:bCs/>
          <w:lang w:val="en-GB"/>
        </w:rPr>
        <w:t xml:space="preserve">. The mere sense of belonging to a global community generates an internal posture opening an individual or an organisation to the possibilities of seeking redress. The idea of consideration underlying the principle of equality inherent in what is just is one </w:t>
      </w:r>
      <w:r w:rsidR="00982F84" w:rsidRPr="001C3BD7">
        <w:rPr>
          <w:bCs/>
          <w:lang w:val="en-GB"/>
        </w:rPr>
        <w:t xml:space="preserve">of </w:t>
      </w:r>
      <w:r w:rsidRPr="001C3BD7">
        <w:rPr>
          <w:bCs/>
          <w:lang w:val="en-GB"/>
        </w:rPr>
        <w:t xml:space="preserve">the ‘drivers’ of the expansion of the right of access to justice.  For instance, there is globally increased recognition of the right of victims of serious crimes to see their </w:t>
      </w:r>
      <w:r w:rsidRPr="001C3BD7">
        <w:rPr>
          <w:bCs/>
          <w:lang w:val="en-US"/>
        </w:rPr>
        <w:t>perpetrators held accountable.</w:t>
      </w:r>
      <w:r w:rsidRPr="001C3BD7">
        <w:rPr>
          <w:rStyle w:val="EndnoteReference"/>
          <w:bCs/>
          <w:lang w:val="en-US"/>
        </w:rPr>
        <w:endnoteReference w:id="85"/>
      </w:r>
      <w:r w:rsidRPr="001C3BD7">
        <w:rPr>
          <w:bCs/>
          <w:lang w:val="en-US"/>
        </w:rPr>
        <w:t xml:space="preserve"> Such right cannot be derived from the architecture of criminal law alone as this discipline deals with punishment of offenders on behalf of society </w:t>
      </w:r>
      <w:r w:rsidRPr="001C3BD7">
        <w:rPr>
          <w:bCs/>
          <w:i/>
          <w:iCs/>
          <w:lang w:val="en-US"/>
        </w:rPr>
        <w:t>as whole</w:t>
      </w:r>
      <w:r w:rsidRPr="001C3BD7">
        <w:rPr>
          <w:bCs/>
          <w:lang w:val="en-US"/>
        </w:rPr>
        <w:t>, thereby maintaining social order.</w:t>
      </w:r>
      <w:r w:rsidRPr="001C3BD7">
        <w:rPr>
          <w:rStyle w:val="EndnoteReference"/>
          <w:bCs/>
          <w:lang w:val="en-US"/>
        </w:rPr>
        <w:endnoteReference w:id="86"/>
      </w:r>
      <w:r w:rsidRPr="001C3BD7">
        <w:rPr>
          <w:bCs/>
          <w:lang w:val="en-US"/>
        </w:rPr>
        <w:t xml:space="preserve"> </w:t>
      </w:r>
    </w:p>
    <w:p w14:paraId="6AF13E64" w14:textId="6479E794" w:rsidR="007A4DF1" w:rsidRDefault="007A4DF1" w:rsidP="00133117">
      <w:pPr>
        <w:pStyle w:val="NormalWeb"/>
        <w:spacing w:before="240" w:beforeAutospacing="0" w:after="0" w:afterAutospacing="0" w:line="360" w:lineRule="auto"/>
        <w:rPr>
          <w:bCs/>
          <w:lang w:val="en-GB"/>
        </w:rPr>
      </w:pPr>
      <w:r w:rsidRPr="001C3BD7">
        <w:rPr>
          <w:bCs/>
          <w:lang w:val="en-US"/>
        </w:rPr>
        <w:t>However, if one accepts the principle of consideration and equality as a feature of justice, it is possible to see how being subjected to a gross violation of one’s human rights generates an entitlement to seek justice. This entitlement stems from international human rights guarantees but has direct implications on</w:t>
      </w:r>
      <w:r w:rsidR="00D02CFC" w:rsidRPr="001C3BD7">
        <w:rPr>
          <w:bCs/>
          <w:lang w:val="en-US"/>
        </w:rPr>
        <w:t xml:space="preserve"> the</w:t>
      </w:r>
      <w:r w:rsidRPr="001C3BD7">
        <w:rPr>
          <w:bCs/>
          <w:lang w:val="en-US"/>
        </w:rPr>
        <w:t xml:space="preserve"> criminal justice process, leading to cross-fertilization between the two fields of law. Indeed, if one looks at the intersection between criminal law and international human rights law, the trend of blending their functions becomes apparent, especially in the jurisprudence of the </w:t>
      </w:r>
      <w:proofErr w:type="spellStart"/>
      <w:r w:rsidRPr="001C3BD7">
        <w:rPr>
          <w:bCs/>
          <w:lang w:val="en-US"/>
        </w:rPr>
        <w:t>IACtHR</w:t>
      </w:r>
      <w:proofErr w:type="spellEnd"/>
      <w:r w:rsidRPr="001C3BD7">
        <w:rPr>
          <w:bCs/>
          <w:lang w:val="en-US"/>
        </w:rPr>
        <w:t>.</w:t>
      </w:r>
      <w:r w:rsidRPr="001C3BD7">
        <w:rPr>
          <w:rStyle w:val="EndnoteReference"/>
          <w:bCs/>
          <w:lang w:val="en-US"/>
        </w:rPr>
        <w:endnoteReference w:id="87"/>
      </w:r>
      <w:r w:rsidRPr="001C3BD7">
        <w:rPr>
          <w:bCs/>
          <w:lang w:val="en-US"/>
        </w:rPr>
        <w:t xml:space="preserve"> The Court consistently upholds the notion that</w:t>
      </w:r>
      <w:r w:rsidR="00D84F6C" w:rsidRPr="001C3BD7">
        <w:rPr>
          <w:bCs/>
          <w:lang w:val="en-US"/>
        </w:rPr>
        <w:t xml:space="preserve"> the</w:t>
      </w:r>
      <w:r w:rsidRPr="001C3BD7">
        <w:rPr>
          <w:bCs/>
          <w:lang w:val="en-US"/>
        </w:rPr>
        <w:t xml:space="preserve"> state’s obligation to respect and protect human rights also entails an obligation to investigate, prosecute, and</w:t>
      </w:r>
      <w:r w:rsidRPr="003E0DEB">
        <w:rPr>
          <w:bCs/>
          <w:lang w:val="en-US"/>
        </w:rPr>
        <w:t xml:space="preserve"> punish their violations.</w:t>
      </w:r>
      <w:r w:rsidRPr="003E0DEB">
        <w:rPr>
          <w:rStyle w:val="EndnoteReference"/>
          <w:bCs/>
          <w:lang w:val="en-US"/>
        </w:rPr>
        <w:endnoteReference w:id="88"/>
      </w:r>
    </w:p>
    <w:p w14:paraId="4AC6B400" w14:textId="5B72D66D" w:rsidR="007A4DF1" w:rsidRPr="00C83461" w:rsidRDefault="00471B78" w:rsidP="00C83461">
      <w:pPr>
        <w:pStyle w:val="NormalWeb"/>
        <w:numPr>
          <w:ilvl w:val="1"/>
          <w:numId w:val="1"/>
        </w:numPr>
        <w:spacing w:before="240" w:beforeAutospacing="0" w:after="0" w:afterAutospacing="0" w:line="360" w:lineRule="auto"/>
        <w:rPr>
          <w:bCs/>
          <w:i/>
          <w:iCs/>
          <w:lang w:val="en-GB"/>
        </w:rPr>
      </w:pPr>
      <w:r w:rsidRPr="001C77FC">
        <w:rPr>
          <w:bCs/>
          <w:i/>
          <w:iCs/>
          <w:lang w:val="en-GB"/>
        </w:rPr>
        <w:t xml:space="preserve">Global citizenship per Marshall: access to </w:t>
      </w:r>
      <w:r>
        <w:rPr>
          <w:bCs/>
          <w:i/>
          <w:iCs/>
          <w:lang w:val="en-GB"/>
        </w:rPr>
        <w:t>j</w:t>
      </w:r>
      <w:r w:rsidR="007A4DF1" w:rsidRPr="00C83461">
        <w:rPr>
          <w:bCs/>
          <w:i/>
          <w:iCs/>
          <w:lang w:val="en-GB"/>
        </w:rPr>
        <w:t>ustice as participation</w:t>
      </w:r>
    </w:p>
    <w:p w14:paraId="213F976C" w14:textId="69FFE302" w:rsidR="007A4DF1" w:rsidRPr="001C3BD7" w:rsidRDefault="007A4DF1" w:rsidP="00B255CE">
      <w:pPr>
        <w:pStyle w:val="NormalWeb"/>
        <w:spacing w:before="240" w:beforeAutospacing="0" w:after="0" w:afterAutospacing="0" w:line="360" w:lineRule="auto"/>
        <w:rPr>
          <w:bCs/>
          <w:lang w:val="en-GB"/>
        </w:rPr>
      </w:pPr>
      <w:r w:rsidRPr="001C3BD7">
        <w:rPr>
          <w:bCs/>
          <w:lang w:val="en-GB"/>
        </w:rPr>
        <w:t xml:space="preserve">One of the broader meanings of the term ‘access to justice’ refers to the notion of participation. This term is not limited to the formal means of involvement and extends to all forms of engagement currently available. Here, international law should not be </w:t>
      </w:r>
      <w:r w:rsidRPr="001C3BD7">
        <w:rPr>
          <w:bCs/>
          <w:lang w:val="en-GB"/>
        </w:rPr>
        <w:lastRenderedPageBreak/>
        <w:t>seen as divorced from modern structures supporting its evolution. The work of technological platforms reinforces the idea of global interconnectedness. While polarisation and identity politics is a shadow-side of this development, the positive aspect is precisely the availability of the routes to make one’s voice heard. The status of belonging to a global community thus confers on its members the possibility of shaping the dominant discourse by virtue of each member’s contribution.</w:t>
      </w:r>
      <w:r w:rsidRPr="001C3BD7">
        <w:rPr>
          <w:rStyle w:val="EndnoteReference"/>
          <w:bCs/>
          <w:lang w:val="en-GB"/>
        </w:rPr>
        <w:endnoteReference w:id="89"/>
      </w:r>
    </w:p>
    <w:p w14:paraId="2B64ECDF" w14:textId="5313BBC9" w:rsidR="007A4DF1" w:rsidRDefault="007A4DF1" w:rsidP="00B255CE">
      <w:pPr>
        <w:pStyle w:val="NormalWeb"/>
        <w:spacing w:before="240" w:beforeAutospacing="0" w:after="0" w:afterAutospacing="0" w:line="360" w:lineRule="auto"/>
        <w:rPr>
          <w:lang w:val="en-US"/>
        </w:rPr>
      </w:pPr>
      <w:r w:rsidRPr="001C3BD7">
        <w:rPr>
          <w:bCs/>
          <w:lang w:val="en-GB"/>
        </w:rPr>
        <w:t xml:space="preserve">The communal aspect of justice is also well-described in natural law, which sees justice as an equitable distributor of basic human goods in society. Modern natural law philosopher John Finnis builds on Thomas Aquinas’s account by </w:t>
      </w:r>
      <w:r w:rsidRPr="001C3BD7">
        <w:rPr>
          <w:lang w:val="en-US"/>
        </w:rPr>
        <w:t>enumerating a list of goods towards which every human strives.</w:t>
      </w:r>
      <w:r w:rsidRPr="001C3BD7">
        <w:rPr>
          <w:rStyle w:val="EndnoteReference"/>
          <w:lang w:val="en-US"/>
        </w:rPr>
        <w:endnoteReference w:id="90"/>
      </w:r>
      <w:r w:rsidRPr="001C3BD7">
        <w:rPr>
          <w:lang w:val="en-US"/>
        </w:rPr>
        <w:t xml:space="preserve"> Crucial to Finnis’s account of justice is the idea of ‘common good’ or a set of conditions which enable community members to attain for themselves reasonable objectives</w:t>
      </w:r>
      <w:r w:rsidR="00E67306" w:rsidRPr="001C3BD7">
        <w:rPr>
          <w:lang w:val="en-US"/>
        </w:rPr>
        <w:t>,</w:t>
      </w:r>
      <w:r w:rsidRPr="001C3BD7">
        <w:rPr>
          <w:lang w:val="en-US"/>
        </w:rPr>
        <w:t xml:space="preserve"> while cooperating with others.</w:t>
      </w:r>
      <w:r w:rsidRPr="001C3BD7">
        <w:rPr>
          <w:rStyle w:val="EndnoteReference"/>
          <w:lang w:val="en-US"/>
        </w:rPr>
        <w:endnoteReference w:id="91"/>
      </w:r>
      <w:r w:rsidRPr="001C3BD7">
        <w:rPr>
          <w:lang w:val="en-US"/>
        </w:rPr>
        <w:t xml:space="preserve"> These goods according to Finnis are: life, knowledge, play, aesthetic experience, sociability (friendship), practical reasonableness, and religion.</w:t>
      </w:r>
      <w:r w:rsidRPr="00AB4144">
        <w:rPr>
          <w:rStyle w:val="EndnoteReference"/>
          <w:lang w:val="en-US"/>
        </w:rPr>
        <w:endnoteReference w:id="92"/>
      </w:r>
      <w:r w:rsidRPr="00AB4144">
        <w:rPr>
          <w:lang w:val="en-US"/>
        </w:rPr>
        <w:t xml:space="preserve"> </w:t>
      </w:r>
      <w:r w:rsidR="0057770E">
        <w:rPr>
          <w:lang w:val="en-US"/>
        </w:rPr>
        <w:t>Interestingly, Marshall</w:t>
      </w:r>
      <w:r w:rsidR="0053040F">
        <w:rPr>
          <w:lang w:val="en-US"/>
        </w:rPr>
        <w:t xml:space="preserve"> in his work</w:t>
      </w:r>
      <w:r w:rsidR="0057770E">
        <w:rPr>
          <w:lang w:val="en-US"/>
        </w:rPr>
        <w:t xml:space="preserve"> also places a lot of emphasis on </w:t>
      </w:r>
      <w:r w:rsidR="0053040F">
        <w:rPr>
          <w:lang w:val="en-US"/>
        </w:rPr>
        <w:t xml:space="preserve">the </w:t>
      </w:r>
      <w:r w:rsidR="0057770E">
        <w:rPr>
          <w:lang w:val="en-US"/>
        </w:rPr>
        <w:t xml:space="preserve">relationship between an individual and a community in the process of accessing a set of basic values such as enjoyment, health and </w:t>
      </w:r>
      <w:r w:rsidR="0053040F">
        <w:rPr>
          <w:lang w:val="en-US"/>
        </w:rPr>
        <w:t>life</w:t>
      </w:r>
      <w:r w:rsidR="0057770E">
        <w:rPr>
          <w:lang w:val="en-US"/>
        </w:rPr>
        <w:t>.</w:t>
      </w:r>
      <w:r w:rsidR="0057770E" w:rsidRPr="00AB4144">
        <w:rPr>
          <w:rStyle w:val="EndnoteReference"/>
          <w:lang w:val="en-US"/>
        </w:rPr>
        <w:endnoteReference w:id="93"/>
      </w:r>
      <w:r w:rsidR="0057770E" w:rsidRPr="00AB4144">
        <w:rPr>
          <w:lang w:val="en-US"/>
        </w:rPr>
        <w:t xml:space="preserve"> </w:t>
      </w:r>
      <w:r w:rsidR="0057770E">
        <w:rPr>
          <w:lang w:val="en-US"/>
        </w:rPr>
        <w:t xml:space="preserve"> Marshall observes two types of motives for work: self-interest (income) and service to community, both </w:t>
      </w:r>
      <w:r w:rsidR="0053040F">
        <w:rPr>
          <w:lang w:val="en-US"/>
        </w:rPr>
        <w:t>of which need recognition in a</w:t>
      </w:r>
      <w:r w:rsidR="0057770E">
        <w:rPr>
          <w:lang w:val="en-US"/>
        </w:rPr>
        <w:t xml:space="preserve"> harmonious society.</w:t>
      </w:r>
      <w:r w:rsidR="0057770E" w:rsidRPr="0057770E">
        <w:rPr>
          <w:rStyle w:val="EndnoteReference"/>
          <w:lang w:val="en-US"/>
        </w:rPr>
        <w:t xml:space="preserve"> </w:t>
      </w:r>
      <w:r w:rsidR="0057770E" w:rsidRPr="00AB4144">
        <w:rPr>
          <w:rStyle w:val="EndnoteReference"/>
          <w:lang w:val="en-US"/>
        </w:rPr>
        <w:endnoteReference w:id="94"/>
      </w:r>
      <w:r w:rsidR="0057770E" w:rsidRPr="00AB4144">
        <w:rPr>
          <w:lang w:val="en-US"/>
        </w:rPr>
        <w:t xml:space="preserve"> </w:t>
      </w:r>
      <w:r w:rsidR="0057770E">
        <w:rPr>
          <w:lang w:val="en-US"/>
        </w:rPr>
        <w:t xml:space="preserve"> </w:t>
      </w:r>
    </w:p>
    <w:p w14:paraId="4124FE98" w14:textId="65C57DA8" w:rsidR="007A4DF1" w:rsidRDefault="007A4DF1" w:rsidP="00B255CE">
      <w:pPr>
        <w:pStyle w:val="NormalWeb"/>
        <w:spacing w:before="240" w:beforeAutospacing="0" w:after="0" w:afterAutospacing="0" w:line="360" w:lineRule="auto"/>
        <w:rPr>
          <w:lang w:val="en-US"/>
        </w:rPr>
      </w:pPr>
      <w:r>
        <w:rPr>
          <w:lang w:val="en-US"/>
        </w:rPr>
        <w:t xml:space="preserve">Justice ensures that </w:t>
      </w:r>
      <w:r w:rsidRPr="001C3BD7">
        <w:rPr>
          <w:lang w:val="en-US"/>
        </w:rPr>
        <w:t>the basic goods are available to all members of society. Most importantly, it is always inter-subjective, or points to the direction of another person (‘</w:t>
      </w:r>
      <w:r w:rsidRPr="001C3BD7">
        <w:rPr>
          <w:i/>
          <w:lang w:val="en-US"/>
        </w:rPr>
        <w:t>other-directedness’</w:t>
      </w:r>
      <w:r w:rsidRPr="001C3BD7">
        <w:rPr>
          <w:lang w:val="en-US"/>
        </w:rPr>
        <w:t>) as it regulates duties owed to others and the corresponding rights, thereby ensuring a measure of proportionality in the process of distribution.</w:t>
      </w:r>
      <w:r w:rsidRPr="001C3BD7">
        <w:rPr>
          <w:rStyle w:val="EndnoteReference"/>
          <w:lang w:val="en-US"/>
        </w:rPr>
        <w:endnoteReference w:id="95"/>
      </w:r>
      <w:r w:rsidRPr="001C3BD7">
        <w:rPr>
          <w:lang w:val="en-US"/>
        </w:rPr>
        <w:t xml:space="preserve"> </w:t>
      </w:r>
      <w:r w:rsidRPr="001C3BD7">
        <w:rPr>
          <w:iCs/>
          <w:lang w:val="en-US"/>
        </w:rPr>
        <w:t>Other-directedness is a principle of justice that</w:t>
      </w:r>
      <w:r w:rsidRPr="001C3BD7">
        <w:rPr>
          <w:lang w:val="en-US"/>
        </w:rPr>
        <w:t xml:space="preserve"> excludes arbitrary self-preference in pursuit of good.</w:t>
      </w:r>
      <w:r w:rsidRPr="001C3BD7">
        <w:rPr>
          <w:rStyle w:val="EndnoteReference"/>
          <w:lang w:val="en-US"/>
        </w:rPr>
        <w:endnoteReference w:id="96"/>
      </w:r>
      <w:r w:rsidRPr="001C3BD7">
        <w:rPr>
          <w:lang w:val="en-US"/>
        </w:rPr>
        <w:t xml:space="preserve"> Thus, justice is grounded in practical reasonableness, which is a principle guiding one’s commitments, one’s selection of projects, and what one does in carrying them out.</w:t>
      </w:r>
      <w:r w:rsidRPr="001C3BD7">
        <w:rPr>
          <w:rStyle w:val="EndnoteReference"/>
          <w:lang w:val="en-US"/>
        </w:rPr>
        <w:endnoteReference w:id="97"/>
      </w:r>
      <w:r w:rsidRPr="001C3BD7">
        <w:rPr>
          <w:lang w:val="en-US"/>
        </w:rPr>
        <w:t xml:space="preserve"> The core idea is that practical reasonableness goes beyond individual preferences and beyond temporal and spatial limitations as it rather denotes willingness to participate fully in life.</w:t>
      </w:r>
      <w:r w:rsidRPr="001C3BD7">
        <w:rPr>
          <w:rStyle w:val="EndnoteReference"/>
          <w:lang w:val="en-US"/>
        </w:rPr>
        <w:endnoteReference w:id="98"/>
      </w:r>
      <w:r w:rsidRPr="001C3BD7">
        <w:rPr>
          <w:lang w:val="en-US"/>
        </w:rPr>
        <w:t xml:space="preserve"> Law, then, is a tangible manifestation</w:t>
      </w:r>
      <w:r>
        <w:rPr>
          <w:lang w:val="en-US"/>
        </w:rPr>
        <w:t xml:space="preserve"> of the principles of justice – </w:t>
      </w:r>
      <w:r w:rsidRPr="00AB4144">
        <w:rPr>
          <w:lang w:val="en-US"/>
        </w:rPr>
        <w:t xml:space="preserve">it is a force keeping the equilibrium in </w:t>
      </w:r>
      <w:r>
        <w:rPr>
          <w:lang w:val="en-US"/>
        </w:rPr>
        <w:t xml:space="preserve">any given </w:t>
      </w:r>
      <w:r w:rsidRPr="00AB4144">
        <w:rPr>
          <w:lang w:val="en-US"/>
        </w:rPr>
        <w:t xml:space="preserve">society by regulating the pursuit of human goods and thus contributing to </w:t>
      </w:r>
      <w:r w:rsidR="008E40D3">
        <w:rPr>
          <w:lang w:val="en-US"/>
        </w:rPr>
        <w:t>the</w:t>
      </w:r>
      <w:r w:rsidRPr="00AB4144">
        <w:rPr>
          <w:lang w:val="en-US"/>
        </w:rPr>
        <w:t xml:space="preserve"> common good of the relevant community.</w:t>
      </w:r>
      <w:r>
        <w:rPr>
          <w:rStyle w:val="EndnoteReference"/>
          <w:lang w:val="en-US"/>
        </w:rPr>
        <w:endnoteReference w:id="99"/>
      </w:r>
      <w:r>
        <w:rPr>
          <w:lang w:val="en-US"/>
        </w:rPr>
        <w:t xml:space="preserve"> </w:t>
      </w:r>
    </w:p>
    <w:p w14:paraId="497DAF9B" w14:textId="44FFA8AF" w:rsidR="007A4DF1" w:rsidRDefault="007A4DF1" w:rsidP="00656EB9">
      <w:pPr>
        <w:spacing w:before="240" w:line="360" w:lineRule="auto"/>
        <w:rPr>
          <w:bCs/>
          <w:lang w:val="en-GB"/>
        </w:rPr>
      </w:pPr>
      <w:r w:rsidRPr="001C3BD7">
        <w:rPr>
          <w:lang w:val="en-US"/>
        </w:rPr>
        <w:lastRenderedPageBreak/>
        <w:t>To sum up</w:t>
      </w:r>
      <w:r w:rsidR="008E40D3" w:rsidRPr="001C3BD7">
        <w:rPr>
          <w:lang w:val="en-US"/>
        </w:rPr>
        <w:t xml:space="preserve"> the</w:t>
      </w:r>
      <w:r w:rsidRPr="001C3BD7">
        <w:rPr>
          <w:lang w:val="en-US"/>
        </w:rPr>
        <w:t xml:space="preserve"> natural law position, justice cannot be detached from the idea of community as it is transindividual. The same idea is developed by Finnis’s contemporary John Rawls in his seminal work </w:t>
      </w:r>
      <w:r w:rsidRPr="001C3BD7">
        <w:rPr>
          <w:i/>
          <w:iCs/>
          <w:lang w:val="en-US"/>
        </w:rPr>
        <w:t>Theory of Justice</w:t>
      </w:r>
      <w:r w:rsidRPr="001C3BD7">
        <w:rPr>
          <w:lang w:val="en-US"/>
        </w:rPr>
        <w:t>.</w:t>
      </w:r>
      <w:r w:rsidRPr="001C3BD7">
        <w:rPr>
          <w:rStyle w:val="EndnoteReference"/>
          <w:lang w:val="en-US"/>
        </w:rPr>
        <w:endnoteReference w:id="100"/>
      </w:r>
      <w:r w:rsidRPr="001C3BD7">
        <w:rPr>
          <w:lang w:val="en-US"/>
        </w:rPr>
        <w:t xml:space="preserve"> Rawls’s position is somewhat minimalistic as he focuses solely on the distributive aspect of justice as opposed to studying its substantive content. He </w:t>
      </w:r>
      <w:r w:rsidRPr="001C3BD7">
        <w:rPr>
          <w:bCs/>
          <w:lang w:val="en-GB"/>
        </w:rPr>
        <w:t>argues that institutions are just when no arbitrary distinctions are made between individuals in assigning basic rights and duties. The rules must therefore determine a proper balance</w:t>
      </w:r>
      <w:r>
        <w:rPr>
          <w:bCs/>
          <w:lang w:val="en-GB"/>
        </w:rPr>
        <w:t xml:space="preserve"> in the competing claims to the advantage of a social life as </w:t>
      </w:r>
      <w:proofErr w:type="gramStart"/>
      <w:r>
        <w:rPr>
          <w:bCs/>
          <w:lang w:val="en-GB"/>
        </w:rPr>
        <w:t>each individual</w:t>
      </w:r>
      <w:proofErr w:type="gramEnd"/>
      <w:r>
        <w:rPr>
          <w:bCs/>
          <w:lang w:val="en-GB"/>
        </w:rPr>
        <w:t xml:space="preserve"> possesses an inviolability founded on justice.</w:t>
      </w:r>
      <w:r>
        <w:rPr>
          <w:rStyle w:val="EndnoteReference"/>
          <w:bCs/>
          <w:lang w:val="en-GB"/>
        </w:rPr>
        <w:endnoteReference w:id="101"/>
      </w:r>
      <w:r>
        <w:rPr>
          <w:bCs/>
          <w:lang w:val="en-GB"/>
        </w:rPr>
        <w:t xml:space="preserve"> Rawls’s conception of justice has as its centrepiece the notion of the ‘veil of ignorance’ – a hypothetical starting place where a person’s position in society does not play any role in the distribution of natural assets and abilities.</w:t>
      </w:r>
      <w:r>
        <w:rPr>
          <w:rStyle w:val="EndnoteReference"/>
          <w:bCs/>
          <w:lang w:val="en-GB"/>
        </w:rPr>
        <w:endnoteReference w:id="102"/>
      </w:r>
      <w:r>
        <w:rPr>
          <w:bCs/>
          <w:lang w:val="en-GB"/>
        </w:rPr>
        <w:t xml:space="preserve"> This is the way in which impartiality is guaranteed. </w:t>
      </w:r>
    </w:p>
    <w:p w14:paraId="1EF70FF4" w14:textId="1EE5FE0B" w:rsidR="00987679" w:rsidRPr="00987679" w:rsidRDefault="00987679" w:rsidP="00987679">
      <w:pPr>
        <w:pStyle w:val="NormalWeb"/>
        <w:spacing w:before="240" w:beforeAutospacing="0" w:after="0" w:afterAutospacing="0" w:line="360" w:lineRule="auto"/>
        <w:rPr>
          <w:lang w:val="en-US"/>
        </w:rPr>
      </w:pPr>
      <w:r>
        <w:rPr>
          <w:lang w:val="en-US"/>
        </w:rPr>
        <w:t>Marshall’s take on social justice and redistribution can be assessed in the context of his work on welfare state, austerity, and affluence in post-war societies.</w:t>
      </w:r>
      <w:r>
        <w:rPr>
          <w:rStyle w:val="EndnoteReference"/>
          <w:lang w:val="en-US"/>
        </w:rPr>
        <w:endnoteReference w:id="103"/>
      </w:r>
      <w:r>
        <w:rPr>
          <w:lang w:val="en-US"/>
        </w:rPr>
        <w:t xml:space="preserve"> In his essay ‘The Affluent Society in Perspective’, Marshall explores transition from society faced with scarcity to the one that is affluent. He observes that a regime of self-denial in the common interest naturally exits in a properly and democratically governed community faced with scarcity.</w:t>
      </w:r>
      <w:r>
        <w:rPr>
          <w:rStyle w:val="EndnoteReference"/>
          <w:lang w:val="en-US"/>
        </w:rPr>
        <w:endnoteReference w:id="104"/>
      </w:r>
      <w:r>
        <w:rPr>
          <w:lang w:val="en-US"/>
        </w:rPr>
        <w:t xml:space="preserve"> The principles of mutual aid and fair shares then ensure legitimacy of economic rewards in times of austerity. The same principle of limited redistribution through welfare also supports the legitimacy of affluent societies.</w:t>
      </w:r>
      <w:r>
        <w:rPr>
          <w:rStyle w:val="EndnoteReference"/>
          <w:lang w:val="en-US"/>
        </w:rPr>
        <w:endnoteReference w:id="105"/>
      </w:r>
      <w:r>
        <w:rPr>
          <w:lang w:val="en-US"/>
        </w:rPr>
        <w:t xml:space="preserve"> Marshall observes that individual overconsumption of material resources at the expense of broader societal interests defies logical analysis and does not conform to a defensible pattern.</w:t>
      </w:r>
      <w:r>
        <w:rPr>
          <w:rStyle w:val="EndnoteReference"/>
          <w:lang w:val="en-US"/>
        </w:rPr>
        <w:endnoteReference w:id="106"/>
      </w:r>
      <w:r>
        <w:rPr>
          <w:lang w:val="en-US"/>
        </w:rPr>
        <w:t xml:space="preserve"> This approach exposes Marshall’s inclination towards developing a sustainable communal existence.</w:t>
      </w:r>
    </w:p>
    <w:p w14:paraId="2FB12E89" w14:textId="50C0BAB4" w:rsidR="007A4DF1" w:rsidRDefault="007A4DF1" w:rsidP="00656EB9">
      <w:pPr>
        <w:spacing w:before="240" w:line="360" w:lineRule="auto"/>
        <w:rPr>
          <w:bCs/>
          <w:lang w:val="en-GB"/>
        </w:rPr>
      </w:pPr>
      <w:r w:rsidRPr="001C3BD7">
        <w:rPr>
          <w:bCs/>
          <w:lang w:val="en-GB"/>
        </w:rPr>
        <w:t xml:space="preserve">Finnis embraces the same sentiment </w:t>
      </w:r>
      <w:r w:rsidR="00077364">
        <w:rPr>
          <w:bCs/>
          <w:lang w:val="en-GB"/>
        </w:rPr>
        <w:t xml:space="preserve">as Rawls </w:t>
      </w:r>
      <w:r w:rsidRPr="001C3BD7">
        <w:rPr>
          <w:bCs/>
          <w:lang w:val="en-GB"/>
        </w:rPr>
        <w:t>regarding the distributive and communal aspect of justice but</w:t>
      </w:r>
      <w:r w:rsidR="00C63DC2">
        <w:rPr>
          <w:bCs/>
          <w:lang w:val="en-GB"/>
        </w:rPr>
        <w:t xml:space="preserve"> </w:t>
      </w:r>
      <w:r w:rsidRPr="001C3BD7">
        <w:rPr>
          <w:bCs/>
          <w:lang w:val="en-GB"/>
        </w:rPr>
        <w:t>admits to not being limited to an ideal set of conditions in society, in which everyone complies fully with the principles and institutions of justice.</w:t>
      </w:r>
      <w:r w:rsidRPr="001C3BD7">
        <w:rPr>
          <w:rStyle w:val="EndnoteReference"/>
          <w:bCs/>
          <w:lang w:val="en-GB"/>
        </w:rPr>
        <w:endnoteReference w:id="107"/>
      </w:r>
      <w:r w:rsidRPr="001C3BD7">
        <w:rPr>
          <w:bCs/>
          <w:lang w:val="en-GB"/>
        </w:rPr>
        <w:t xml:space="preserve"> Natural law account does not shun away from complexities of wars and totalitarian regimes as it embraces less than ideal circumstances of existence. This is done b</w:t>
      </w:r>
      <w:r w:rsidR="00180C0B" w:rsidRPr="001C3BD7">
        <w:rPr>
          <w:bCs/>
          <w:lang w:val="en-GB"/>
        </w:rPr>
        <w:t>y</w:t>
      </w:r>
      <w:r w:rsidRPr="001C3BD7">
        <w:rPr>
          <w:bCs/>
          <w:lang w:val="en-GB"/>
        </w:rPr>
        <w:t xml:space="preserve"> shifting focus to the nature of justice, which can be viewed as a quality of character translated into the practical willingness to foster common good in society.</w:t>
      </w:r>
      <w:r w:rsidRPr="001C3BD7">
        <w:rPr>
          <w:rStyle w:val="EndnoteReference"/>
          <w:bCs/>
          <w:lang w:val="en-GB"/>
        </w:rPr>
        <w:endnoteReference w:id="108"/>
      </w:r>
      <w:r w:rsidR="00D16921">
        <w:rPr>
          <w:bCs/>
          <w:lang w:val="en-GB"/>
        </w:rPr>
        <w:t xml:space="preserve"> </w:t>
      </w:r>
    </w:p>
    <w:p w14:paraId="6D49AF0B" w14:textId="22BB57CE" w:rsidR="005A72C7" w:rsidRDefault="007A4DF1" w:rsidP="000F098B">
      <w:pPr>
        <w:spacing w:before="240" w:line="360" w:lineRule="auto"/>
        <w:rPr>
          <w:bCs/>
          <w:lang w:val="en-GB"/>
        </w:rPr>
      </w:pPr>
      <w:r w:rsidRPr="001C3BD7">
        <w:rPr>
          <w:bCs/>
          <w:lang w:val="en-GB"/>
        </w:rPr>
        <w:lastRenderedPageBreak/>
        <w:t xml:space="preserve">Justice then takes </w:t>
      </w:r>
      <w:r w:rsidR="00CB4FD0" w:rsidRPr="001C3BD7">
        <w:rPr>
          <w:bCs/>
          <w:lang w:val="en-GB"/>
        </w:rPr>
        <w:t>the</w:t>
      </w:r>
      <w:r w:rsidRPr="001C3BD7">
        <w:rPr>
          <w:bCs/>
          <w:lang w:val="en-GB"/>
        </w:rPr>
        <w:t xml:space="preserve"> form of an operational principle according to which processes are organised in modern society. There is a certain degree of empowerment that comes with self-realisation pertaining to one’s ability to influence the dominant discourse.</w:t>
      </w:r>
      <w:r w:rsidRPr="001C3BD7">
        <w:rPr>
          <w:rStyle w:val="EndnoteReference"/>
          <w:bCs/>
          <w:lang w:val="en-GB"/>
        </w:rPr>
        <w:endnoteReference w:id="109"/>
      </w:r>
      <w:r w:rsidRPr="001C3BD7">
        <w:rPr>
          <w:bCs/>
          <w:lang w:val="en-GB"/>
        </w:rPr>
        <w:t xml:space="preserve"> </w:t>
      </w:r>
      <w:r w:rsidR="00B54921" w:rsidRPr="001C3BD7">
        <w:rPr>
          <w:bCs/>
          <w:lang w:val="en-GB"/>
        </w:rPr>
        <w:t xml:space="preserve">A global citizen is thus not necessarily the one having access to </w:t>
      </w:r>
      <w:r w:rsidR="00044498" w:rsidRPr="001C3BD7">
        <w:rPr>
          <w:bCs/>
          <w:lang w:val="en-GB"/>
        </w:rPr>
        <w:t>all</w:t>
      </w:r>
      <w:r w:rsidR="00B54921" w:rsidRPr="001C3BD7">
        <w:rPr>
          <w:bCs/>
          <w:lang w:val="en-GB"/>
        </w:rPr>
        <w:t xml:space="preserve"> the fruits of</w:t>
      </w:r>
      <w:r w:rsidR="001F7CF4" w:rsidRPr="001C3BD7">
        <w:rPr>
          <w:bCs/>
          <w:lang w:val="en-GB"/>
        </w:rPr>
        <w:t xml:space="preserve"> the</w:t>
      </w:r>
      <w:r w:rsidR="00B54921" w:rsidRPr="001C3BD7">
        <w:rPr>
          <w:bCs/>
          <w:lang w:val="en-GB"/>
        </w:rPr>
        <w:t xml:space="preserve"> human rights movement but rather</w:t>
      </w:r>
      <w:r w:rsidR="001F7CF4" w:rsidRPr="001C3BD7">
        <w:rPr>
          <w:bCs/>
          <w:lang w:val="en-GB"/>
        </w:rPr>
        <w:t xml:space="preserve"> it is</w:t>
      </w:r>
      <w:r w:rsidR="00B54921" w:rsidRPr="001C3BD7">
        <w:rPr>
          <w:bCs/>
          <w:lang w:val="en-GB"/>
        </w:rPr>
        <w:t xml:space="preserve"> the one who</w:t>
      </w:r>
      <w:r w:rsidR="00B54921">
        <w:rPr>
          <w:bCs/>
          <w:lang w:val="en-GB"/>
        </w:rPr>
        <w:t xml:space="preserve"> embraces</w:t>
      </w:r>
      <w:r w:rsidR="006E2F3C">
        <w:rPr>
          <w:bCs/>
          <w:lang w:val="en-GB"/>
        </w:rPr>
        <w:t xml:space="preserve"> fully</w:t>
      </w:r>
      <w:r w:rsidR="00B54921">
        <w:rPr>
          <w:bCs/>
          <w:lang w:val="en-GB"/>
        </w:rPr>
        <w:t xml:space="preserve"> </w:t>
      </w:r>
      <w:r w:rsidR="001F7CF4">
        <w:rPr>
          <w:bCs/>
          <w:lang w:val="en-GB"/>
        </w:rPr>
        <w:t>their</w:t>
      </w:r>
      <w:r w:rsidR="006E2F3C">
        <w:rPr>
          <w:bCs/>
          <w:lang w:val="en-GB"/>
        </w:rPr>
        <w:t xml:space="preserve"> active</w:t>
      </w:r>
      <w:r w:rsidR="001F7CF4">
        <w:rPr>
          <w:bCs/>
          <w:lang w:val="en-GB"/>
        </w:rPr>
        <w:t xml:space="preserve"> </w:t>
      </w:r>
      <w:r w:rsidR="00213200">
        <w:rPr>
          <w:bCs/>
          <w:lang w:val="en-GB"/>
        </w:rPr>
        <w:t>participatory role</w:t>
      </w:r>
      <w:r w:rsidR="006E2F3C">
        <w:rPr>
          <w:bCs/>
          <w:lang w:val="en-GB"/>
        </w:rPr>
        <w:t xml:space="preserve"> in the distribution of common goods</w:t>
      </w:r>
      <w:r w:rsidR="00B54921">
        <w:rPr>
          <w:bCs/>
          <w:lang w:val="en-GB"/>
        </w:rPr>
        <w:t>.</w:t>
      </w:r>
      <w:r w:rsidR="009F4A36" w:rsidRPr="001C3BD7">
        <w:rPr>
          <w:rStyle w:val="EndnoteReference"/>
          <w:bCs/>
          <w:lang w:val="en-GB"/>
        </w:rPr>
        <w:endnoteReference w:id="110"/>
      </w:r>
      <w:r w:rsidR="00DA7CCD">
        <w:rPr>
          <w:bCs/>
          <w:lang w:val="en-GB"/>
        </w:rPr>
        <w:t xml:space="preserve"> </w:t>
      </w:r>
      <w:r w:rsidR="00DA7CCD" w:rsidRPr="009F4A36">
        <w:rPr>
          <w:bCs/>
          <w:lang w:val="en-GB"/>
        </w:rPr>
        <w:t xml:space="preserve">The driving force behind </w:t>
      </w:r>
      <w:r w:rsidR="00CF110D" w:rsidRPr="009F4A36">
        <w:rPr>
          <w:bCs/>
          <w:lang w:val="en-GB"/>
        </w:rPr>
        <w:t>this</w:t>
      </w:r>
      <w:r w:rsidR="00DA7CCD" w:rsidRPr="009F4A36">
        <w:rPr>
          <w:bCs/>
          <w:lang w:val="en-GB"/>
        </w:rPr>
        <w:t xml:space="preserve"> realisation is the idea of dignity inherent to all persons irrespective of their national citizenship and any other attributes.</w:t>
      </w:r>
      <w:r w:rsidR="00B54921">
        <w:rPr>
          <w:bCs/>
          <w:lang w:val="en-GB"/>
        </w:rPr>
        <w:t xml:space="preserve"> </w:t>
      </w:r>
      <w:r w:rsidR="007F5F1B">
        <w:rPr>
          <w:bCs/>
          <w:lang w:val="en-GB"/>
        </w:rPr>
        <w:t>Such individual transformation is reflected externally as t</w:t>
      </w:r>
      <w:r w:rsidR="00FF6695">
        <w:rPr>
          <w:bCs/>
          <w:lang w:val="en-GB"/>
        </w:rPr>
        <w:t xml:space="preserve">raditional structures of enforcement supported by state machinery (such as courts and extra-judicial public bodies) </w:t>
      </w:r>
      <w:r w:rsidR="007F5F1B">
        <w:rPr>
          <w:bCs/>
          <w:lang w:val="en-GB"/>
        </w:rPr>
        <w:t xml:space="preserve">are currently complemented by the recourse mechanisms spearheaded by </w:t>
      </w:r>
      <w:r w:rsidR="00FF6695">
        <w:rPr>
          <w:bCs/>
          <w:lang w:val="en-GB"/>
        </w:rPr>
        <w:t>corporations and municipal organisations</w:t>
      </w:r>
      <w:r w:rsidR="007F5F1B">
        <w:rPr>
          <w:bCs/>
          <w:lang w:val="en-GB"/>
        </w:rPr>
        <w:t xml:space="preserve">. </w:t>
      </w:r>
    </w:p>
    <w:p w14:paraId="6235D555" w14:textId="28A9E914" w:rsidR="000F098B" w:rsidRDefault="007F5F1B" w:rsidP="000F098B">
      <w:pPr>
        <w:spacing w:before="240" w:line="360" w:lineRule="auto"/>
        <w:rPr>
          <w:bCs/>
          <w:lang w:val="en-GB"/>
        </w:rPr>
      </w:pPr>
      <w:r>
        <w:rPr>
          <w:bCs/>
          <w:lang w:val="en-GB"/>
        </w:rPr>
        <w:t xml:space="preserve">The discussion on equitable distribution of basic goods is thus simultaneously occurring </w:t>
      </w:r>
      <w:r w:rsidR="008E2875">
        <w:rPr>
          <w:bCs/>
          <w:lang w:val="en-GB"/>
        </w:rPr>
        <w:t xml:space="preserve">within a </w:t>
      </w:r>
      <w:r>
        <w:rPr>
          <w:bCs/>
          <w:lang w:val="en-GB"/>
        </w:rPr>
        <w:t xml:space="preserve">more traditional </w:t>
      </w:r>
      <w:r w:rsidR="00F27F15">
        <w:rPr>
          <w:bCs/>
          <w:lang w:val="en-GB"/>
        </w:rPr>
        <w:t>top-down</w:t>
      </w:r>
      <w:r>
        <w:rPr>
          <w:bCs/>
          <w:lang w:val="en-GB"/>
        </w:rPr>
        <w:t xml:space="preserve"> </w:t>
      </w:r>
      <w:r w:rsidR="008E2875">
        <w:rPr>
          <w:bCs/>
          <w:lang w:val="en-GB"/>
        </w:rPr>
        <w:t>framework</w:t>
      </w:r>
      <w:r>
        <w:rPr>
          <w:bCs/>
          <w:lang w:val="en-GB"/>
        </w:rPr>
        <w:t xml:space="preserve"> </w:t>
      </w:r>
      <w:r w:rsidR="00583F86">
        <w:rPr>
          <w:bCs/>
          <w:lang w:val="en-GB"/>
        </w:rPr>
        <w:t xml:space="preserve">(state vs citizen) </w:t>
      </w:r>
      <w:r>
        <w:rPr>
          <w:bCs/>
          <w:lang w:val="en-GB"/>
        </w:rPr>
        <w:t xml:space="preserve">and in a new </w:t>
      </w:r>
      <w:r w:rsidR="00583F86">
        <w:rPr>
          <w:bCs/>
          <w:lang w:val="en-GB"/>
        </w:rPr>
        <w:t xml:space="preserve">horizonal </w:t>
      </w:r>
      <w:r w:rsidR="006029F3">
        <w:rPr>
          <w:bCs/>
          <w:lang w:val="en-GB"/>
        </w:rPr>
        <w:t>context</w:t>
      </w:r>
      <w:r w:rsidR="00583F86">
        <w:rPr>
          <w:bCs/>
          <w:lang w:val="en-GB"/>
        </w:rPr>
        <w:t xml:space="preserve"> engaging networks of individuals at different levels of governance and across borders (municipal entities, transnational corporations, </w:t>
      </w:r>
      <w:r w:rsidR="00583F86" w:rsidRPr="001C3BD7">
        <w:rPr>
          <w:bCs/>
          <w:lang w:val="en-GB"/>
        </w:rPr>
        <w:t>social media platforms)</w:t>
      </w:r>
      <w:r w:rsidRPr="001C3BD7">
        <w:rPr>
          <w:bCs/>
          <w:lang w:val="en-GB"/>
        </w:rPr>
        <w:t>.</w:t>
      </w:r>
      <w:r w:rsidR="00FF6695" w:rsidRPr="001C3BD7">
        <w:rPr>
          <w:bCs/>
          <w:lang w:val="en-GB"/>
        </w:rPr>
        <w:t xml:space="preserve"> </w:t>
      </w:r>
      <w:r w:rsidRPr="001C3BD7">
        <w:rPr>
          <w:bCs/>
          <w:lang w:val="en-GB"/>
        </w:rPr>
        <w:t>The latter alternative</w:t>
      </w:r>
      <w:r w:rsidR="001E11E0" w:rsidRPr="001C3BD7">
        <w:rPr>
          <w:bCs/>
          <w:lang w:val="en-GB"/>
        </w:rPr>
        <w:t xml:space="preserve"> </w:t>
      </w:r>
      <w:r w:rsidR="00F27F15" w:rsidRPr="001C3BD7">
        <w:rPr>
          <w:bCs/>
          <w:lang w:val="en-GB"/>
        </w:rPr>
        <w:t>method</w:t>
      </w:r>
      <w:r w:rsidR="00DE4F44" w:rsidRPr="001C3BD7">
        <w:rPr>
          <w:bCs/>
          <w:lang w:val="en-GB"/>
        </w:rPr>
        <w:t xml:space="preserve"> of shaping public discourse</w:t>
      </w:r>
      <w:r w:rsidR="001E11E0" w:rsidRPr="001C3BD7">
        <w:rPr>
          <w:bCs/>
          <w:lang w:val="en-GB"/>
        </w:rPr>
        <w:t xml:space="preserve"> </w:t>
      </w:r>
      <w:r w:rsidR="00DE4F44" w:rsidRPr="001C3BD7">
        <w:rPr>
          <w:bCs/>
          <w:lang w:val="en-GB"/>
        </w:rPr>
        <w:t xml:space="preserve">does not </w:t>
      </w:r>
      <w:r w:rsidR="001E11E0" w:rsidRPr="001C3BD7">
        <w:rPr>
          <w:bCs/>
          <w:lang w:val="en-GB"/>
        </w:rPr>
        <w:t>cancel out the need for state-sanctioned action but rather expedite</w:t>
      </w:r>
      <w:r w:rsidR="00317877" w:rsidRPr="001C3BD7">
        <w:rPr>
          <w:bCs/>
          <w:lang w:val="en-GB"/>
        </w:rPr>
        <w:t>s</w:t>
      </w:r>
      <w:r w:rsidR="001E11E0" w:rsidRPr="001C3BD7">
        <w:rPr>
          <w:bCs/>
          <w:lang w:val="en-GB"/>
        </w:rPr>
        <w:t xml:space="preserve"> </w:t>
      </w:r>
      <w:r w:rsidR="00094547" w:rsidRPr="001C3BD7">
        <w:rPr>
          <w:bCs/>
          <w:lang w:val="en-GB"/>
        </w:rPr>
        <w:t>the restructuring processes along the new axis of power, not necessarily centred around states.</w:t>
      </w:r>
      <w:r w:rsidR="00371059" w:rsidRPr="001C3BD7">
        <w:rPr>
          <w:bCs/>
          <w:lang w:val="en-GB"/>
        </w:rPr>
        <w:t xml:space="preserve"> </w:t>
      </w:r>
      <w:r w:rsidR="00A8676B" w:rsidRPr="001C3BD7">
        <w:rPr>
          <w:bCs/>
          <w:lang w:val="en-GB"/>
        </w:rPr>
        <w:t xml:space="preserve">It is no longer possible to avoid the influences of globalisation, thus </w:t>
      </w:r>
      <w:r w:rsidR="00C562F1" w:rsidRPr="001C3BD7">
        <w:rPr>
          <w:bCs/>
          <w:lang w:val="en-GB"/>
        </w:rPr>
        <w:t>legal discourse is gradually</w:t>
      </w:r>
      <w:r w:rsidR="00A8676B" w:rsidRPr="001C3BD7">
        <w:rPr>
          <w:bCs/>
          <w:lang w:val="en-GB"/>
        </w:rPr>
        <w:t xml:space="preserve"> embrac</w:t>
      </w:r>
      <w:r w:rsidR="00C562F1" w:rsidRPr="001C3BD7">
        <w:rPr>
          <w:bCs/>
          <w:lang w:val="en-GB"/>
        </w:rPr>
        <w:t>ing</w:t>
      </w:r>
      <w:r w:rsidR="00A8676B">
        <w:rPr>
          <w:bCs/>
          <w:lang w:val="en-GB"/>
        </w:rPr>
        <w:t xml:space="preserve"> multiple identities</w:t>
      </w:r>
      <w:r w:rsidR="00371059">
        <w:rPr>
          <w:bCs/>
          <w:lang w:val="en-GB"/>
        </w:rPr>
        <w:t xml:space="preserve"> </w:t>
      </w:r>
      <w:r w:rsidR="00C562F1">
        <w:rPr>
          <w:bCs/>
          <w:lang w:val="en-GB"/>
        </w:rPr>
        <w:t>of its individual stakeholders as</w:t>
      </w:r>
      <w:r w:rsidR="00A8676B">
        <w:rPr>
          <w:bCs/>
          <w:lang w:val="en-GB"/>
        </w:rPr>
        <w:t xml:space="preserve"> family member</w:t>
      </w:r>
      <w:r w:rsidR="00C562F1">
        <w:rPr>
          <w:bCs/>
          <w:lang w:val="en-GB"/>
        </w:rPr>
        <w:t>s</w:t>
      </w:r>
      <w:r w:rsidR="00A8676B">
        <w:rPr>
          <w:bCs/>
          <w:lang w:val="en-GB"/>
        </w:rPr>
        <w:t xml:space="preserve">, </w:t>
      </w:r>
      <w:r w:rsidR="00371059">
        <w:rPr>
          <w:bCs/>
          <w:lang w:val="en-GB"/>
        </w:rPr>
        <w:t>member</w:t>
      </w:r>
      <w:r w:rsidR="00C562F1">
        <w:rPr>
          <w:bCs/>
          <w:lang w:val="en-GB"/>
        </w:rPr>
        <w:t>s</w:t>
      </w:r>
      <w:r w:rsidR="00371059">
        <w:rPr>
          <w:bCs/>
          <w:lang w:val="en-GB"/>
        </w:rPr>
        <w:t xml:space="preserve"> of </w:t>
      </w:r>
      <w:r w:rsidR="00F27F15">
        <w:rPr>
          <w:bCs/>
          <w:lang w:val="en-GB"/>
        </w:rPr>
        <w:t xml:space="preserve">their </w:t>
      </w:r>
      <w:r w:rsidR="00371059">
        <w:rPr>
          <w:bCs/>
          <w:lang w:val="en-GB"/>
        </w:rPr>
        <w:t xml:space="preserve">profession, </w:t>
      </w:r>
      <w:r w:rsidR="00F27F15">
        <w:rPr>
          <w:bCs/>
          <w:lang w:val="en-GB"/>
        </w:rPr>
        <w:t xml:space="preserve">residents in their </w:t>
      </w:r>
      <w:r w:rsidR="00C562F1">
        <w:rPr>
          <w:bCs/>
          <w:lang w:val="en-GB"/>
        </w:rPr>
        <w:t>local</w:t>
      </w:r>
      <w:r w:rsidR="00F27F15">
        <w:rPr>
          <w:bCs/>
          <w:lang w:val="en-GB"/>
        </w:rPr>
        <w:t xml:space="preserve"> community</w:t>
      </w:r>
      <w:r w:rsidR="00C562F1">
        <w:rPr>
          <w:bCs/>
          <w:lang w:val="en-GB"/>
        </w:rPr>
        <w:t xml:space="preserve">, state </w:t>
      </w:r>
      <w:r w:rsidR="00F27F15">
        <w:rPr>
          <w:bCs/>
          <w:lang w:val="en-GB"/>
        </w:rPr>
        <w:t xml:space="preserve">citizens, </w:t>
      </w:r>
      <w:r w:rsidR="00C562F1">
        <w:rPr>
          <w:bCs/>
          <w:lang w:val="en-GB"/>
        </w:rPr>
        <w:t>and</w:t>
      </w:r>
      <w:r w:rsidR="00F27F15">
        <w:rPr>
          <w:bCs/>
          <w:lang w:val="en-GB"/>
        </w:rPr>
        <w:t>, finally,</w:t>
      </w:r>
      <w:r w:rsidR="00C562F1">
        <w:rPr>
          <w:bCs/>
          <w:lang w:val="en-GB"/>
        </w:rPr>
        <w:t xml:space="preserve"> global citizens. </w:t>
      </w:r>
      <w:r w:rsidR="002A0CC2">
        <w:rPr>
          <w:bCs/>
          <w:lang w:val="en-GB"/>
        </w:rPr>
        <w:t>The principle of communal justice ensures that concerns inherent to one level of discourse effectively percolate to all other levels, thereby ensuring</w:t>
      </w:r>
      <w:r w:rsidR="00AC707A">
        <w:rPr>
          <w:bCs/>
          <w:lang w:val="en-GB"/>
        </w:rPr>
        <w:t xml:space="preserve"> the</w:t>
      </w:r>
      <w:r w:rsidR="002A0CC2">
        <w:rPr>
          <w:bCs/>
          <w:lang w:val="en-GB"/>
        </w:rPr>
        <w:t xml:space="preserve"> lack of arbitrary self-preference in the pursuit of a common good.</w:t>
      </w:r>
    </w:p>
    <w:p w14:paraId="0BBC63C4" w14:textId="3AEF6CE2" w:rsidR="000F098B" w:rsidRPr="00DB5D57" w:rsidRDefault="00DB5D57" w:rsidP="00DB5D57">
      <w:pPr>
        <w:pStyle w:val="ListParagraph"/>
        <w:numPr>
          <w:ilvl w:val="0"/>
          <w:numId w:val="1"/>
        </w:numPr>
        <w:spacing w:before="240" w:line="360" w:lineRule="auto"/>
        <w:rPr>
          <w:b/>
          <w:lang w:val="en-GB"/>
        </w:rPr>
      </w:pPr>
      <w:r w:rsidRPr="00DB5D57">
        <w:rPr>
          <w:b/>
          <w:lang w:val="en-GB"/>
        </w:rPr>
        <w:t>Conclusion</w:t>
      </w:r>
    </w:p>
    <w:p w14:paraId="56FFF1E4" w14:textId="3B78B85B" w:rsidR="00EA0108" w:rsidRDefault="00D71D65" w:rsidP="00D71D65">
      <w:pPr>
        <w:spacing w:before="240" w:line="360" w:lineRule="auto"/>
        <w:rPr>
          <w:bCs/>
          <w:lang w:val="en-GB"/>
        </w:rPr>
      </w:pPr>
      <w:r w:rsidRPr="00D71D65">
        <w:rPr>
          <w:bCs/>
          <w:lang w:val="en-GB"/>
        </w:rPr>
        <w:t xml:space="preserve">This paper argued that the right of access to justice, commonly understood as </w:t>
      </w:r>
      <w:r>
        <w:rPr>
          <w:bCs/>
          <w:lang w:val="en-GB"/>
        </w:rPr>
        <w:t xml:space="preserve">the </w:t>
      </w:r>
      <w:r w:rsidRPr="00D71D65">
        <w:rPr>
          <w:bCs/>
          <w:lang w:val="en-GB"/>
        </w:rPr>
        <w:t xml:space="preserve">availability of an effective recourse mechanism, can be viewed as an attribute of emerging global citizenship. </w:t>
      </w:r>
      <w:r>
        <w:rPr>
          <w:bCs/>
          <w:lang w:val="en-GB"/>
        </w:rPr>
        <w:t xml:space="preserve">By building on the idea of state citizenship developed by Thomas Marshall in 1950, this essay purported to show how the status of belonging to </w:t>
      </w:r>
      <w:r w:rsidR="006C7FE0">
        <w:rPr>
          <w:bCs/>
          <w:lang w:val="en-GB"/>
        </w:rPr>
        <w:t xml:space="preserve">a </w:t>
      </w:r>
      <w:r>
        <w:rPr>
          <w:bCs/>
          <w:lang w:val="en-GB"/>
        </w:rPr>
        <w:t xml:space="preserve">world community reinforces the right of access to justice in </w:t>
      </w:r>
      <w:r w:rsidR="00EA22DC">
        <w:rPr>
          <w:bCs/>
          <w:lang w:val="en-GB"/>
        </w:rPr>
        <w:t>a novel way.</w:t>
      </w:r>
      <w:r>
        <w:rPr>
          <w:bCs/>
          <w:lang w:val="en-GB"/>
        </w:rPr>
        <w:t xml:space="preserve"> Th</w:t>
      </w:r>
      <w:r w:rsidR="00EA22DC">
        <w:rPr>
          <w:bCs/>
          <w:lang w:val="en-GB"/>
        </w:rPr>
        <w:t>e</w:t>
      </w:r>
      <w:r>
        <w:rPr>
          <w:bCs/>
          <w:lang w:val="en-GB"/>
        </w:rPr>
        <w:t xml:space="preserve"> status </w:t>
      </w:r>
      <w:r w:rsidR="00EA22DC">
        <w:rPr>
          <w:bCs/>
          <w:lang w:val="en-GB"/>
        </w:rPr>
        <w:t xml:space="preserve">of global citizenship </w:t>
      </w:r>
      <w:r>
        <w:rPr>
          <w:bCs/>
          <w:lang w:val="en-GB"/>
        </w:rPr>
        <w:t>comes with a degree of self-empowerment</w:t>
      </w:r>
      <w:r w:rsidR="00EA22DC">
        <w:rPr>
          <w:bCs/>
          <w:lang w:val="en-GB"/>
        </w:rPr>
        <w:t>, which translates into</w:t>
      </w:r>
      <w:r>
        <w:rPr>
          <w:bCs/>
          <w:lang w:val="en-GB"/>
        </w:rPr>
        <w:t xml:space="preserve"> one’s ability to influence global </w:t>
      </w:r>
      <w:r w:rsidR="00EA22DC">
        <w:rPr>
          <w:bCs/>
          <w:lang w:val="en-GB"/>
        </w:rPr>
        <w:t>discourse on the</w:t>
      </w:r>
      <w:r>
        <w:rPr>
          <w:bCs/>
          <w:lang w:val="en-GB"/>
        </w:rPr>
        <w:t xml:space="preserve"> distribution of public goods. While the </w:t>
      </w:r>
      <w:r>
        <w:rPr>
          <w:bCs/>
          <w:lang w:val="en-GB"/>
        </w:rPr>
        <w:lastRenderedPageBreak/>
        <w:t>implementation challenge continues</w:t>
      </w:r>
      <w:r w:rsidR="00CF6BDA">
        <w:rPr>
          <w:bCs/>
          <w:lang w:val="en-GB"/>
        </w:rPr>
        <w:t xml:space="preserve"> as a matter of positive law</w:t>
      </w:r>
      <w:r>
        <w:rPr>
          <w:bCs/>
          <w:lang w:val="en-GB"/>
        </w:rPr>
        <w:t xml:space="preserve"> to </w:t>
      </w:r>
      <w:r w:rsidR="00EA22DC">
        <w:rPr>
          <w:bCs/>
          <w:lang w:val="en-GB"/>
        </w:rPr>
        <w:t>bar</w:t>
      </w:r>
      <w:r>
        <w:rPr>
          <w:bCs/>
          <w:lang w:val="en-GB"/>
        </w:rPr>
        <w:t xml:space="preserve"> effective realisation of the ideals set out in </w:t>
      </w:r>
      <w:proofErr w:type="gramStart"/>
      <w:r>
        <w:rPr>
          <w:bCs/>
          <w:lang w:val="en-GB"/>
        </w:rPr>
        <w:t>a number of</w:t>
      </w:r>
      <w:proofErr w:type="gramEnd"/>
      <w:r>
        <w:rPr>
          <w:bCs/>
          <w:lang w:val="en-GB"/>
        </w:rPr>
        <w:t xml:space="preserve"> human rights treaties, </w:t>
      </w:r>
      <w:r w:rsidR="00EA22DC">
        <w:rPr>
          <w:bCs/>
          <w:lang w:val="en-GB"/>
        </w:rPr>
        <w:t>gradual shifts in global architecture ensure inclusivity and participation</w:t>
      </w:r>
      <w:r w:rsidR="00CF6BDA">
        <w:rPr>
          <w:bCs/>
          <w:lang w:val="en-GB"/>
        </w:rPr>
        <w:t xml:space="preserve"> by </w:t>
      </w:r>
      <w:r w:rsidR="004D3BB1">
        <w:rPr>
          <w:bCs/>
          <w:lang w:val="en-GB"/>
        </w:rPr>
        <w:t>engaging</w:t>
      </w:r>
      <w:r w:rsidR="00CF6BDA">
        <w:rPr>
          <w:bCs/>
          <w:lang w:val="en-GB"/>
        </w:rPr>
        <w:t xml:space="preserve"> individuals and grassroots organisation</w:t>
      </w:r>
      <w:r w:rsidR="00C17B24">
        <w:rPr>
          <w:bCs/>
          <w:lang w:val="en-GB"/>
        </w:rPr>
        <w:t>s</w:t>
      </w:r>
      <w:r w:rsidR="004D3BB1">
        <w:rPr>
          <w:bCs/>
          <w:lang w:val="en-GB"/>
        </w:rPr>
        <w:t xml:space="preserve"> in a conversation on outcomes desirable for community as a whole. The scope and breadth of the community </w:t>
      </w:r>
      <w:r w:rsidR="002423CB">
        <w:rPr>
          <w:bCs/>
          <w:lang w:val="en-GB"/>
        </w:rPr>
        <w:t xml:space="preserve">in question </w:t>
      </w:r>
      <w:r w:rsidR="004D3BB1">
        <w:rPr>
          <w:bCs/>
          <w:lang w:val="en-GB"/>
        </w:rPr>
        <w:t xml:space="preserve">is </w:t>
      </w:r>
      <w:r w:rsidR="002423CB">
        <w:rPr>
          <w:bCs/>
          <w:lang w:val="en-GB"/>
        </w:rPr>
        <w:t xml:space="preserve">therefore </w:t>
      </w:r>
      <w:r w:rsidR="004D3BB1">
        <w:rPr>
          <w:bCs/>
          <w:lang w:val="en-GB"/>
        </w:rPr>
        <w:t xml:space="preserve">less instrumental than the degree of </w:t>
      </w:r>
      <w:r w:rsidR="002423CB">
        <w:rPr>
          <w:bCs/>
          <w:lang w:val="en-GB"/>
        </w:rPr>
        <w:t xml:space="preserve">individual </w:t>
      </w:r>
      <w:r w:rsidR="004D3BB1">
        <w:rPr>
          <w:bCs/>
          <w:lang w:val="en-GB"/>
        </w:rPr>
        <w:t>self-realisation as an active participant</w:t>
      </w:r>
      <w:r w:rsidR="002423CB">
        <w:rPr>
          <w:bCs/>
          <w:lang w:val="en-GB"/>
        </w:rPr>
        <w:t xml:space="preserve"> seeking access to justice.</w:t>
      </w:r>
    </w:p>
    <w:p w14:paraId="2459CF6F" w14:textId="786CF48A" w:rsidR="006E0109" w:rsidRDefault="006E0109" w:rsidP="006E0109">
      <w:pPr>
        <w:spacing w:before="240" w:line="360" w:lineRule="auto"/>
        <w:rPr>
          <w:bCs/>
          <w:lang w:val="en-GB"/>
        </w:rPr>
      </w:pPr>
      <w:r>
        <w:rPr>
          <w:bCs/>
          <w:lang w:val="en-GB"/>
        </w:rPr>
        <w:t>Th</w:t>
      </w:r>
      <w:r w:rsidR="00D073FE">
        <w:rPr>
          <w:bCs/>
          <w:lang w:val="en-GB"/>
        </w:rPr>
        <w:t>e</w:t>
      </w:r>
      <w:r>
        <w:rPr>
          <w:bCs/>
          <w:lang w:val="en-GB"/>
        </w:rPr>
        <w:t xml:space="preserve"> essay d</w:t>
      </w:r>
      <w:r w:rsidR="00CF110D">
        <w:rPr>
          <w:bCs/>
          <w:lang w:val="en-GB"/>
        </w:rPr>
        <w:t>id</w:t>
      </w:r>
      <w:r>
        <w:rPr>
          <w:bCs/>
          <w:lang w:val="en-GB"/>
        </w:rPr>
        <w:t xml:space="preserve"> not purport to address the problem of the inequality of states, but it offer</w:t>
      </w:r>
      <w:r w:rsidR="00CF110D">
        <w:rPr>
          <w:bCs/>
          <w:lang w:val="en-GB"/>
        </w:rPr>
        <w:t>ed</w:t>
      </w:r>
      <w:r>
        <w:rPr>
          <w:bCs/>
          <w:lang w:val="en-GB"/>
        </w:rPr>
        <w:t xml:space="preserve"> a perspective on how to construct </w:t>
      </w:r>
      <w:r w:rsidR="00464512">
        <w:rPr>
          <w:bCs/>
          <w:lang w:val="en-GB"/>
        </w:rPr>
        <w:t xml:space="preserve">the </w:t>
      </w:r>
      <w:r>
        <w:rPr>
          <w:bCs/>
          <w:lang w:val="en-GB"/>
        </w:rPr>
        <w:t>narratives of inclusivity at an individual level</w:t>
      </w:r>
      <w:r w:rsidR="00D073FE">
        <w:rPr>
          <w:bCs/>
          <w:lang w:val="en-GB"/>
        </w:rPr>
        <w:t xml:space="preserve"> using the language of </w:t>
      </w:r>
      <w:r w:rsidR="00464512">
        <w:rPr>
          <w:bCs/>
          <w:lang w:val="en-GB"/>
        </w:rPr>
        <w:t xml:space="preserve">universal </w:t>
      </w:r>
      <w:r w:rsidR="00D073FE">
        <w:rPr>
          <w:bCs/>
          <w:lang w:val="en-GB"/>
        </w:rPr>
        <w:t xml:space="preserve">human rights. </w:t>
      </w:r>
      <w:r>
        <w:rPr>
          <w:bCs/>
          <w:lang w:val="en-GB"/>
        </w:rPr>
        <w:t xml:space="preserve">Increasing globalisation reduces cultural differences by enabling the flow of </w:t>
      </w:r>
      <w:r w:rsidR="00285188">
        <w:rPr>
          <w:bCs/>
          <w:lang w:val="en-GB"/>
        </w:rPr>
        <w:t xml:space="preserve">persons, </w:t>
      </w:r>
      <w:r>
        <w:rPr>
          <w:bCs/>
          <w:lang w:val="en-GB"/>
        </w:rPr>
        <w:t>information, goods, and services across borders. Modern technology allows people to exchange information in an instant</w:t>
      </w:r>
      <w:r w:rsidR="002636A5">
        <w:rPr>
          <w:bCs/>
          <w:lang w:val="en-GB"/>
        </w:rPr>
        <w:t>. These new factors drive</w:t>
      </w:r>
      <w:r w:rsidR="00CF110D">
        <w:rPr>
          <w:bCs/>
          <w:lang w:val="en-GB"/>
        </w:rPr>
        <w:t xml:space="preserve"> innovation</w:t>
      </w:r>
      <w:r w:rsidR="00E27228">
        <w:rPr>
          <w:bCs/>
          <w:lang w:val="en-GB"/>
        </w:rPr>
        <w:t xml:space="preserve"> in all walks of life, including</w:t>
      </w:r>
      <w:r w:rsidR="00CF110D">
        <w:rPr>
          <w:bCs/>
          <w:lang w:val="en-GB"/>
        </w:rPr>
        <w:t xml:space="preserve"> the field of international justice</w:t>
      </w:r>
      <w:r>
        <w:rPr>
          <w:bCs/>
          <w:lang w:val="en-GB"/>
        </w:rPr>
        <w:t xml:space="preserve">. </w:t>
      </w:r>
      <w:r w:rsidR="00564118">
        <w:rPr>
          <w:bCs/>
          <w:lang w:val="en-GB"/>
        </w:rPr>
        <w:t>For instance, one can notice</w:t>
      </w:r>
      <w:r w:rsidR="009A6710">
        <w:rPr>
          <w:bCs/>
          <w:lang w:val="en-GB"/>
        </w:rPr>
        <w:t xml:space="preserve"> the</w:t>
      </w:r>
      <w:r>
        <w:rPr>
          <w:bCs/>
          <w:lang w:val="en-GB"/>
        </w:rPr>
        <w:t xml:space="preserve"> growing availability of recourse mechanisms through which individuals can assert rights –</w:t>
      </w:r>
      <w:r w:rsidR="00D54F20">
        <w:rPr>
          <w:bCs/>
          <w:lang w:val="en-GB"/>
        </w:rPr>
        <w:t xml:space="preserve"> </w:t>
      </w:r>
      <w:r>
        <w:rPr>
          <w:bCs/>
          <w:lang w:val="en-GB"/>
        </w:rPr>
        <w:t xml:space="preserve">states no longer monopolise the role of enforcers as corporations and international institutions interact with private individuals on an increasingly frequent basis. </w:t>
      </w:r>
    </w:p>
    <w:p w14:paraId="2477AC2B" w14:textId="2DF2EF42" w:rsidR="006E0109" w:rsidRDefault="006E0109" w:rsidP="006E0109">
      <w:pPr>
        <w:spacing w:before="240" w:line="360" w:lineRule="auto"/>
        <w:rPr>
          <w:bCs/>
          <w:lang w:val="en-GB"/>
        </w:rPr>
      </w:pPr>
      <w:r w:rsidRPr="001C3BD7">
        <w:rPr>
          <w:bCs/>
          <w:lang w:val="en-GB"/>
        </w:rPr>
        <w:t>Adopting a unifying language of global citizenship is the first step in the process of acknowledging these changes in the structure of our increasingly connected world. The tool of global citizenship is an effective antidote to the dividing narratives of ‘us vs them’ as it stresses the common core</w:t>
      </w:r>
      <w:r>
        <w:rPr>
          <w:bCs/>
          <w:lang w:val="en-GB"/>
        </w:rPr>
        <w:t xml:space="preserve"> of human dignity uniting all people. The pull towards increased connectivity is</w:t>
      </w:r>
      <w:r w:rsidR="000B751B">
        <w:rPr>
          <w:bCs/>
          <w:lang w:val="en-GB"/>
        </w:rPr>
        <w:t xml:space="preserve"> </w:t>
      </w:r>
      <w:r>
        <w:rPr>
          <w:bCs/>
          <w:lang w:val="en-GB"/>
        </w:rPr>
        <w:t xml:space="preserve">distorted by multiple </w:t>
      </w:r>
      <w:r w:rsidR="000B751B">
        <w:rPr>
          <w:bCs/>
          <w:lang w:val="en-GB"/>
        </w:rPr>
        <w:t>exclusionary</w:t>
      </w:r>
      <w:r>
        <w:rPr>
          <w:bCs/>
          <w:lang w:val="en-GB"/>
        </w:rPr>
        <w:t xml:space="preserve"> narratives aiming at stressing superficial differences among people based on identity. It is easy to get distracted by views conceptualising religious, cultural, or political groups as ‘the other’. At the same time, focusing on such superficial distinctions does not account for the complexity of human experience in the globalised world</w:t>
      </w:r>
      <w:r w:rsidR="0067613D">
        <w:rPr>
          <w:bCs/>
          <w:lang w:val="en-GB"/>
        </w:rPr>
        <w:t xml:space="preserve">. </w:t>
      </w:r>
      <w:r w:rsidR="00D87B3E">
        <w:rPr>
          <w:bCs/>
          <w:lang w:val="en-GB"/>
        </w:rPr>
        <w:t>International law has room to encompass unifying notions such as global citizenship</w:t>
      </w:r>
      <w:r w:rsidR="007E0EFA">
        <w:rPr>
          <w:bCs/>
          <w:lang w:val="en-GB"/>
        </w:rPr>
        <w:t>. The key is to view</w:t>
      </w:r>
      <w:r w:rsidR="00D87B3E">
        <w:rPr>
          <w:bCs/>
          <w:lang w:val="en-GB"/>
        </w:rPr>
        <w:t xml:space="preserve"> </w:t>
      </w:r>
      <w:r w:rsidR="007E0EFA">
        <w:rPr>
          <w:bCs/>
          <w:lang w:val="en-GB"/>
        </w:rPr>
        <w:t>the</w:t>
      </w:r>
      <w:r w:rsidR="00D87B3E">
        <w:rPr>
          <w:bCs/>
          <w:lang w:val="en-GB"/>
        </w:rPr>
        <w:t xml:space="preserve"> discipline as a dynamic field, which is constantly being enriched and transmuted.</w:t>
      </w:r>
    </w:p>
    <w:p w14:paraId="7F5A2A4B" w14:textId="77777777" w:rsidR="00C266D0" w:rsidRPr="00CF6BDA" w:rsidRDefault="00C266D0" w:rsidP="00D54F20">
      <w:pPr>
        <w:spacing w:before="240" w:line="360" w:lineRule="auto"/>
        <w:rPr>
          <w:bCs/>
          <w:lang w:val="en-GB"/>
        </w:rPr>
      </w:pPr>
    </w:p>
    <w:sectPr w:rsidR="00C266D0" w:rsidRPr="00CF6BDA" w:rsidSect="009E6C1A">
      <w:headerReference w:type="even" r:id="rId7"/>
      <w:headerReference w:type="default" r:id="rId8"/>
      <w:footerReference w:type="even" r:id="rId9"/>
      <w:footerReference w:type="default" r:id="rId10"/>
      <w:headerReference w:type="first" r:id="rId11"/>
      <w:footerReference w:type="first" r:id="rId12"/>
      <w:endnotePr>
        <w:numFmt w:val="decimal"/>
      </w:endnotePr>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970AAB" w14:textId="77777777" w:rsidR="00B51EB4" w:rsidRDefault="00B51EB4" w:rsidP="00824704">
      <w:r>
        <w:separator/>
      </w:r>
    </w:p>
  </w:endnote>
  <w:endnote w:type="continuationSeparator" w:id="0">
    <w:p w14:paraId="7F009F33" w14:textId="77777777" w:rsidR="00B51EB4" w:rsidRDefault="00B51EB4" w:rsidP="00824704">
      <w:r>
        <w:continuationSeparator/>
      </w:r>
    </w:p>
  </w:endnote>
  <w:endnote w:id="1">
    <w:p w14:paraId="0DB4FAF1" w14:textId="699DAF7A" w:rsidR="007A4DF1" w:rsidRPr="0043169B" w:rsidRDefault="007A4DF1" w:rsidP="00F650D2">
      <w:pPr>
        <w:pStyle w:val="EndnoteText"/>
        <w:rPr>
          <w:color w:val="000000" w:themeColor="text1"/>
          <w:lang w:val="en-US"/>
        </w:rPr>
      </w:pPr>
      <w:r w:rsidRPr="00F650D2">
        <w:rPr>
          <w:color w:val="000000" w:themeColor="text1"/>
          <w:shd w:val="clear" w:color="auto" w:fill="FFFFFF"/>
          <w:lang w:val="en-GB"/>
        </w:rPr>
        <w:sym w:font="Symbol" w:char="F02A"/>
      </w:r>
      <w:r w:rsidRPr="00F650D2">
        <w:rPr>
          <w:color w:val="000000" w:themeColor="text1"/>
          <w:shd w:val="clear" w:color="auto" w:fill="FFFFFF"/>
          <w:lang w:val="en-GB"/>
        </w:rPr>
        <w:t xml:space="preserve"> </w:t>
      </w:r>
      <w:r w:rsidR="00EF5F40">
        <w:rPr>
          <w:color w:val="000000" w:themeColor="text1"/>
          <w:shd w:val="clear" w:color="auto" w:fill="FFFFFF"/>
          <w:lang w:val="en-GB"/>
        </w:rPr>
        <w:t xml:space="preserve">Assistant </w:t>
      </w:r>
      <w:r w:rsidR="00BD330B">
        <w:rPr>
          <w:color w:val="000000" w:themeColor="text1"/>
          <w:shd w:val="clear" w:color="auto" w:fill="FFFFFF"/>
          <w:lang w:val="en-GB"/>
        </w:rPr>
        <w:t>P</w:t>
      </w:r>
      <w:r w:rsidRPr="00F650D2">
        <w:rPr>
          <w:color w:val="000000" w:themeColor="text1"/>
          <w:shd w:val="clear" w:color="auto" w:fill="FFFFFF"/>
          <w:lang w:val="en-GB"/>
        </w:rPr>
        <w:t>rofessor of International and Comparative Criminal Law at IE University, Madrid. Marina.aksenova@ie.edu</w:t>
      </w:r>
    </w:p>
  </w:endnote>
  <w:endnote w:id="2">
    <w:p w14:paraId="730BAF2A" w14:textId="7D2D20B6" w:rsidR="007A4DF1" w:rsidRPr="0043169B" w:rsidRDefault="007A4DF1" w:rsidP="00F650D2">
      <w:pPr>
        <w:pStyle w:val="EndnoteText"/>
        <w:rPr>
          <w:lang w:val="en-US"/>
        </w:rPr>
      </w:pPr>
      <w:r w:rsidRPr="00F650D2">
        <w:rPr>
          <w:rStyle w:val="EndnoteReference"/>
        </w:rPr>
        <w:endnoteRef/>
      </w:r>
      <w:r w:rsidRPr="0043169B">
        <w:rPr>
          <w:lang w:val="en-US"/>
        </w:rPr>
        <w:t xml:space="preserve"> T. H. Marshall, </w:t>
      </w:r>
      <w:r w:rsidRPr="0043169B">
        <w:rPr>
          <w:i/>
          <w:iCs/>
          <w:lang w:val="en-US"/>
        </w:rPr>
        <w:t>Citizenship and Social Class and Other Essays</w:t>
      </w:r>
      <w:r w:rsidRPr="0043169B">
        <w:rPr>
          <w:lang w:val="en-US"/>
        </w:rPr>
        <w:t xml:space="preserve"> (Cambridge University Press, 1950).</w:t>
      </w:r>
    </w:p>
  </w:endnote>
  <w:endnote w:id="3">
    <w:p w14:paraId="2DF1D21D" w14:textId="00B8E457" w:rsidR="007A4DF1" w:rsidRPr="0043169B" w:rsidRDefault="007A4DF1" w:rsidP="00F650D2">
      <w:pPr>
        <w:pStyle w:val="EndnoteText"/>
        <w:rPr>
          <w:lang w:val="en-US"/>
        </w:rPr>
      </w:pPr>
      <w:r w:rsidRPr="00F650D2">
        <w:rPr>
          <w:rStyle w:val="EndnoteReference"/>
        </w:rPr>
        <w:endnoteRef/>
      </w:r>
      <w:r w:rsidRPr="0043169B">
        <w:rPr>
          <w:lang w:val="en-US"/>
        </w:rPr>
        <w:t xml:space="preserve"> These points are further elaborated upon in section </w:t>
      </w:r>
      <w:r w:rsidR="00395ECF">
        <w:rPr>
          <w:lang w:val="en-US"/>
        </w:rPr>
        <w:t>IV</w:t>
      </w:r>
      <w:r w:rsidRPr="0043169B">
        <w:rPr>
          <w:lang w:val="en-US"/>
        </w:rPr>
        <w:t>(</w:t>
      </w:r>
      <w:r w:rsidR="00395ECF">
        <w:rPr>
          <w:lang w:val="en-US"/>
        </w:rPr>
        <w:t>a</w:t>
      </w:r>
      <w:r w:rsidRPr="0043169B">
        <w:rPr>
          <w:lang w:val="en-US"/>
        </w:rPr>
        <w:t xml:space="preserve">) </w:t>
      </w:r>
      <w:r w:rsidRPr="0043169B">
        <w:rPr>
          <w:i/>
          <w:iCs/>
          <w:lang w:val="en-US"/>
        </w:rPr>
        <w:t>infra</w:t>
      </w:r>
      <w:r w:rsidRPr="0043169B">
        <w:rPr>
          <w:lang w:val="en-US"/>
        </w:rPr>
        <w:t>.</w:t>
      </w:r>
    </w:p>
  </w:endnote>
  <w:endnote w:id="4">
    <w:p w14:paraId="69BC885A" w14:textId="51A66D9F" w:rsidR="005701BA" w:rsidRPr="0043169B" w:rsidRDefault="005701BA" w:rsidP="005701BA">
      <w:pPr>
        <w:pStyle w:val="NormalWeb"/>
        <w:spacing w:before="0" w:beforeAutospacing="0" w:after="0" w:afterAutospacing="0"/>
        <w:contextualSpacing/>
        <w:rPr>
          <w:lang w:val="en-US"/>
        </w:rPr>
      </w:pPr>
      <w:r w:rsidRPr="00F650D2">
        <w:rPr>
          <w:rStyle w:val="EndnoteReference"/>
        </w:rPr>
        <w:endnoteRef/>
      </w:r>
      <w:r w:rsidRPr="0043169B">
        <w:rPr>
          <w:lang w:val="en-US"/>
        </w:rPr>
        <w:t xml:space="preserve"> </w:t>
      </w:r>
      <w:r w:rsidRPr="00A73E29">
        <w:rPr>
          <w:color w:val="000000" w:themeColor="text1"/>
          <w:kern w:val="32"/>
          <w:sz w:val="20"/>
          <w:szCs w:val="20"/>
          <w:lang w:val="en-US"/>
        </w:rPr>
        <w:t xml:space="preserve">J. Waldron, </w:t>
      </w:r>
      <w:r>
        <w:rPr>
          <w:color w:val="000000" w:themeColor="text1"/>
          <w:kern w:val="32"/>
          <w:sz w:val="20"/>
          <w:szCs w:val="20"/>
          <w:lang w:val="en-US"/>
        </w:rPr>
        <w:t xml:space="preserve">‘Human Dignity: A Pervasive Value’, </w:t>
      </w:r>
      <w:r w:rsidRPr="00A73E29">
        <w:rPr>
          <w:color w:val="000000" w:themeColor="text1"/>
          <w:kern w:val="32"/>
          <w:sz w:val="20"/>
          <w:szCs w:val="20"/>
          <w:lang w:val="en-US"/>
        </w:rPr>
        <w:t>NYU School of Law, Public Law Research Paper No. 20-46</w:t>
      </w:r>
      <w:r>
        <w:rPr>
          <w:color w:val="000000" w:themeColor="text1"/>
          <w:kern w:val="32"/>
          <w:sz w:val="20"/>
          <w:szCs w:val="20"/>
          <w:lang w:val="en-US"/>
        </w:rPr>
        <w:t xml:space="preserve">, 2015, 16, available at </w:t>
      </w:r>
      <w:hyperlink r:id="rId1" w:history="1">
        <w:r w:rsidRPr="005227CF">
          <w:rPr>
            <w:rStyle w:val="Hyperlink"/>
            <w:kern w:val="32"/>
            <w:sz w:val="20"/>
            <w:szCs w:val="20"/>
            <w:lang w:val="en-US"/>
          </w:rPr>
          <w:t>https://papers.ssrn.com/sol3/papers.cfm?abstract_id=3463973</w:t>
        </w:r>
      </w:hyperlink>
    </w:p>
  </w:endnote>
  <w:endnote w:id="5">
    <w:p w14:paraId="6C1B3BAF" w14:textId="198D8073" w:rsidR="00A857F5" w:rsidRPr="0043169B" w:rsidRDefault="00A857F5" w:rsidP="00A857F5">
      <w:pPr>
        <w:pStyle w:val="NormalWeb"/>
        <w:spacing w:before="0" w:beforeAutospacing="0" w:after="0" w:afterAutospacing="0"/>
        <w:contextualSpacing/>
        <w:rPr>
          <w:lang w:val="en-US"/>
        </w:rPr>
      </w:pPr>
      <w:r w:rsidRPr="00F650D2">
        <w:rPr>
          <w:rStyle w:val="EndnoteReference"/>
        </w:rPr>
        <w:endnoteRef/>
      </w:r>
      <w:r w:rsidRPr="0043169B">
        <w:rPr>
          <w:lang w:val="en-US"/>
        </w:rPr>
        <w:t xml:space="preserve"> </w:t>
      </w:r>
      <w:r w:rsidRPr="00227604">
        <w:rPr>
          <w:color w:val="000000" w:themeColor="text1"/>
          <w:kern w:val="32"/>
          <w:sz w:val="20"/>
          <w:szCs w:val="20"/>
          <w:lang w:val="en-GB"/>
        </w:rPr>
        <w:t xml:space="preserve">E. Durkheim, ‘Individualism and Intellectuals’ (trans S Lukes and J Lukes), reprinted in W Pickering (ed), </w:t>
      </w:r>
      <w:r w:rsidRPr="00227604">
        <w:rPr>
          <w:i/>
          <w:iCs/>
          <w:color w:val="000000" w:themeColor="text1"/>
          <w:kern w:val="32"/>
          <w:sz w:val="20"/>
          <w:szCs w:val="20"/>
          <w:lang w:val="en-GB"/>
        </w:rPr>
        <w:t>Durkheim on Religion</w:t>
      </w:r>
      <w:r w:rsidRPr="00227604">
        <w:rPr>
          <w:color w:val="000000" w:themeColor="text1"/>
          <w:kern w:val="32"/>
          <w:sz w:val="20"/>
          <w:szCs w:val="20"/>
          <w:lang w:val="en-GB"/>
        </w:rPr>
        <w:t xml:space="preserve"> (London, Routledge &amp; Kegan Paul, 1975)</w:t>
      </w:r>
      <w:r>
        <w:rPr>
          <w:color w:val="000000" w:themeColor="text1"/>
          <w:kern w:val="32"/>
          <w:sz w:val="20"/>
          <w:szCs w:val="20"/>
          <w:lang w:val="en-GB"/>
        </w:rPr>
        <w:t xml:space="preserve">; </w:t>
      </w:r>
      <w:r w:rsidRPr="00227604">
        <w:rPr>
          <w:color w:val="000000" w:themeColor="text1"/>
          <w:kern w:val="32"/>
          <w:sz w:val="20"/>
          <w:szCs w:val="20"/>
          <w:lang w:val="en-GB"/>
        </w:rPr>
        <w:t>E. Durkheim</w:t>
      </w:r>
      <w:r>
        <w:rPr>
          <w:color w:val="000000" w:themeColor="text1"/>
          <w:kern w:val="32"/>
          <w:sz w:val="20"/>
          <w:szCs w:val="20"/>
          <w:lang w:val="en-GB"/>
        </w:rPr>
        <w:t xml:space="preserve">, </w:t>
      </w:r>
      <w:r w:rsidRPr="00A857F5">
        <w:rPr>
          <w:i/>
          <w:iCs/>
          <w:color w:val="000000" w:themeColor="text1"/>
          <w:kern w:val="32"/>
          <w:sz w:val="20"/>
          <w:szCs w:val="20"/>
          <w:lang w:val="en-GB"/>
        </w:rPr>
        <w:t>The Elementary Forms of Religious Life</w:t>
      </w:r>
      <w:r>
        <w:rPr>
          <w:color w:val="000000" w:themeColor="text1"/>
          <w:kern w:val="32"/>
          <w:sz w:val="20"/>
          <w:szCs w:val="20"/>
          <w:lang w:val="en-GB"/>
        </w:rPr>
        <w:t xml:space="preserve">, </w:t>
      </w:r>
      <w:r w:rsidRPr="00A857F5">
        <w:rPr>
          <w:color w:val="000000" w:themeColor="text1"/>
          <w:kern w:val="32"/>
          <w:sz w:val="20"/>
          <w:szCs w:val="20"/>
          <w:lang w:val="en-GB"/>
        </w:rPr>
        <w:t xml:space="preserve">originally published 1912, </w:t>
      </w:r>
      <w:r>
        <w:rPr>
          <w:color w:val="000000" w:themeColor="text1"/>
          <w:kern w:val="32"/>
          <w:sz w:val="20"/>
          <w:szCs w:val="20"/>
          <w:lang w:val="en-GB"/>
        </w:rPr>
        <w:t>edited and with an introduction by M. S. Cladis, translated by C. Cosman (Oxford University Press, 2001), xxvii.</w:t>
      </w:r>
    </w:p>
  </w:endnote>
  <w:endnote w:id="6">
    <w:p w14:paraId="702BF509" w14:textId="28C91667" w:rsidR="00FF0023" w:rsidRPr="00FF0023" w:rsidRDefault="00FF0023" w:rsidP="00FF0023">
      <w:pPr>
        <w:rPr>
          <w:color w:val="000000" w:themeColor="text1"/>
          <w:kern w:val="32"/>
          <w:sz w:val="20"/>
          <w:szCs w:val="20"/>
          <w:lang w:val="en-GB"/>
        </w:rPr>
      </w:pPr>
      <w:r w:rsidRPr="00FF0023">
        <w:rPr>
          <w:rStyle w:val="EndnoteReference"/>
          <w:lang w:val="en-PT"/>
        </w:rPr>
        <w:endnoteRef/>
      </w:r>
      <w:r w:rsidRPr="00FF0023">
        <w:rPr>
          <w:rStyle w:val="EndnoteReference"/>
          <w:lang w:val="en-PT"/>
        </w:rPr>
        <w:t xml:space="preserve"> </w:t>
      </w:r>
      <w:r w:rsidRPr="00FF0023">
        <w:rPr>
          <w:color w:val="000000" w:themeColor="text1"/>
          <w:kern w:val="32"/>
          <w:sz w:val="20"/>
          <w:szCs w:val="20"/>
          <w:lang w:val="en-GB"/>
        </w:rPr>
        <w:t xml:space="preserve">T. Aquinas, </w:t>
      </w:r>
      <w:r w:rsidRPr="00C272EB">
        <w:rPr>
          <w:i/>
          <w:iCs/>
          <w:color w:val="000000" w:themeColor="text1"/>
          <w:kern w:val="32"/>
          <w:sz w:val="20"/>
          <w:szCs w:val="20"/>
          <w:lang w:val="en-GB"/>
        </w:rPr>
        <w:t>Summa Theologiae</w:t>
      </w:r>
      <w:r w:rsidRPr="00FF0023">
        <w:rPr>
          <w:color w:val="000000" w:themeColor="text1"/>
          <w:kern w:val="32"/>
          <w:sz w:val="20"/>
          <w:szCs w:val="20"/>
          <w:lang w:val="en-GB"/>
        </w:rPr>
        <w:t xml:space="preserve"> I-II, q. 9</w:t>
      </w:r>
      <w:r>
        <w:rPr>
          <w:color w:val="000000" w:themeColor="text1"/>
          <w:kern w:val="32"/>
          <w:sz w:val="20"/>
          <w:szCs w:val="20"/>
          <w:lang w:val="en-GB"/>
        </w:rPr>
        <w:t>5</w:t>
      </w:r>
      <w:r w:rsidRPr="00FF0023">
        <w:rPr>
          <w:color w:val="000000" w:themeColor="text1"/>
          <w:kern w:val="32"/>
          <w:sz w:val="20"/>
          <w:szCs w:val="20"/>
          <w:lang w:val="en-GB"/>
        </w:rPr>
        <w:t>, available at</w:t>
      </w:r>
      <w:r>
        <w:rPr>
          <w:color w:val="000000" w:themeColor="text1"/>
          <w:kern w:val="32"/>
          <w:sz w:val="20"/>
          <w:szCs w:val="20"/>
          <w:lang w:val="en-GB"/>
        </w:rPr>
        <w:t xml:space="preserve"> </w:t>
      </w:r>
      <w:r w:rsidR="00B51EB4">
        <w:fldChar w:fldCharType="begin"/>
      </w:r>
      <w:r w:rsidR="00B51EB4" w:rsidRPr="0034191E">
        <w:rPr>
          <w:lang w:val="en-US"/>
        </w:rPr>
        <w:instrText xml:space="preserve"> HYPERLINK "https://www.newadvent.org/summa/2094.htm" \l "article1" </w:instrText>
      </w:r>
      <w:r w:rsidR="00B51EB4">
        <w:fldChar w:fldCharType="separate"/>
      </w:r>
      <w:r w:rsidRPr="005227CF">
        <w:rPr>
          <w:rStyle w:val="Hyperlink"/>
          <w:kern w:val="32"/>
          <w:sz w:val="20"/>
          <w:szCs w:val="20"/>
          <w:lang w:val="en-GB"/>
        </w:rPr>
        <w:t>https://www.newadvent.org/summa/2094.htm#article1</w:t>
      </w:r>
      <w:r w:rsidR="00B51EB4">
        <w:rPr>
          <w:rStyle w:val="Hyperlink"/>
          <w:kern w:val="32"/>
          <w:sz w:val="20"/>
          <w:szCs w:val="20"/>
          <w:lang w:val="en-GB"/>
        </w:rPr>
        <w:fldChar w:fldCharType="end"/>
      </w:r>
      <w:r>
        <w:rPr>
          <w:color w:val="000000" w:themeColor="text1"/>
          <w:kern w:val="32"/>
          <w:sz w:val="20"/>
          <w:szCs w:val="20"/>
          <w:lang w:val="en-GB"/>
        </w:rPr>
        <w:t>, last accessed 6 June 2022.</w:t>
      </w:r>
    </w:p>
  </w:endnote>
  <w:endnote w:id="7">
    <w:p w14:paraId="79D25AE7" w14:textId="06EE44B4" w:rsidR="007A61DC" w:rsidRPr="0043169B" w:rsidRDefault="007A61DC" w:rsidP="007A61DC">
      <w:pPr>
        <w:pStyle w:val="EndnoteText"/>
        <w:rPr>
          <w:lang w:val="en-US"/>
        </w:rPr>
      </w:pPr>
      <w:r w:rsidRPr="00F650D2">
        <w:rPr>
          <w:rStyle w:val="EndnoteReference"/>
        </w:rPr>
        <w:endnoteRef/>
      </w:r>
      <w:r w:rsidRPr="0043169B">
        <w:rPr>
          <w:lang w:val="en-US"/>
        </w:rPr>
        <w:t xml:space="preserve"> F. Francioni, </w:t>
      </w:r>
      <w:r w:rsidRPr="0043169B">
        <w:rPr>
          <w:i/>
          <w:iCs/>
          <w:lang w:val="en-US"/>
        </w:rPr>
        <w:t>Access to Justice as a Human Right</w:t>
      </w:r>
      <w:r w:rsidRPr="0043169B">
        <w:rPr>
          <w:lang w:val="en-US"/>
        </w:rPr>
        <w:t xml:space="preserve"> (Oxford University Press, 2007), 68.</w:t>
      </w:r>
    </w:p>
  </w:endnote>
  <w:endnote w:id="8">
    <w:p w14:paraId="5EF5AE8D" w14:textId="152EADBF" w:rsidR="006E0488" w:rsidRPr="00E54915" w:rsidRDefault="006E0488">
      <w:pPr>
        <w:pStyle w:val="EndnoteText"/>
        <w:rPr>
          <w:color w:val="000000" w:themeColor="text1"/>
          <w:lang w:val="en-US"/>
        </w:rPr>
      </w:pPr>
      <w:r w:rsidRPr="00E54915">
        <w:rPr>
          <w:rStyle w:val="EndnoteReference"/>
          <w:color w:val="000000" w:themeColor="text1"/>
        </w:rPr>
        <w:endnoteRef/>
      </w:r>
      <w:r w:rsidRPr="00E54915">
        <w:rPr>
          <w:color w:val="000000" w:themeColor="text1"/>
          <w:lang w:val="en-US"/>
        </w:rPr>
        <w:t xml:space="preserve"> H. Arendt, </w:t>
      </w:r>
      <w:r w:rsidRPr="00E54915">
        <w:rPr>
          <w:i/>
          <w:iCs/>
          <w:color w:val="000000" w:themeColor="text1"/>
          <w:lang w:val="en-US"/>
        </w:rPr>
        <w:t>The Origins of Totalitarianism</w:t>
      </w:r>
      <w:r w:rsidRPr="00E54915">
        <w:rPr>
          <w:color w:val="000000" w:themeColor="text1"/>
          <w:lang w:val="en-US"/>
        </w:rPr>
        <w:t xml:space="preserve"> (Harcourt Brace &amp; Co., 1979 [1951]).</w:t>
      </w:r>
    </w:p>
  </w:endnote>
  <w:endnote w:id="9">
    <w:p w14:paraId="095343F2" w14:textId="411172D5" w:rsidR="007A4DF1" w:rsidRPr="00F650D2" w:rsidRDefault="007A4DF1" w:rsidP="00F650D2">
      <w:pPr>
        <w:rPr>
          <w:sz w:val="20"/>
          <w:szCs w:val="20"/>
          <w:lang w:val="en-US"/>
        </w:rPr>
      </w:pPr>
      <w:r w:rsidRPr="00E54915">
        <w:rPr>
          <w:rStyle w:val="EndnoteReference"/>
          <w:color w:val="000000" w:themeColor="text1"/>
          <w:sz w:val="20"/>
          <w:szCs w:val="20"/>
        </w:rPr>
        <w:endnoteRef/>
      </w:r>
      <w:r w:rsidRPr="00E54915">
        <w:rPr>
          <w:color w:val="000000" w:themeColor="text1"/>
          <w:sz w:val="20"/>
          <w:szCs w:val="20"/>
          <w:lang w:val="en-US"/>
        </w:rPr>
        <w:t xml:space="preserve"> </w:t>
      </w:r>
      <w:r w:rsidRPr="00E54915">
        <w:rPr>
          <w:color w:val="000000" w:themeColor="text1"/>
          <w:sz w:val="20"/>
          <w:szCs w:val="20"/>
          <w:lang w:val="en-PT"/>
        </w:rPr>
        <w:t>N</w:t>
      </w:r>
      <w:r w:rsidRPr="00E54915">
        <w:rPr>
          <w:color w:val="000000" w:themeColor="text1"/>
          <w:sz w:val="20"/>
          <w:szCs w:val="20"/>
          <w:lang w:val="en-US"/>
        </w:rPr>
        <w:t>.</w:t>
      </w:r>
      <w:r w:rsidRPr="00E54915">
        <w:rPr>
          <w:color w:val="000000" w:themeColor="text1"/>
          <w:sz w:val="20"/>
          <w:szCs w:val="20"/>
          <w:lang w:val="en-PT"/>
        </w:rPr>
        <w:t xml:space="preserve"> Helberger, J</w:t>
      </w:r>
      <w:r w:rsidRPr="00E54915">
        <w:rPr>
          <w:color w:val="000000" w:themeColor="text1"/>
          <w:sz w:val="20"/>
          <w:szCs w:val="20"/>
          <w:lang w:val="en-US"/>
        </w:rPr>
        <w:t>.</w:t>
      </w:r>
      <w:r w:rsidRPr="00E54915">
        <w:rPr>
          <w:color w:val="000000" w:themeColor="text1"/>
          <w:sz w:val="20"/>
          <w:szCs w:val="20"/>
          <w:lang w:val="en-PT"/>
        </w:rPr>
        <w:t xml:space="preserve"> Pierson</w:t>
      </w:r>
      <w:r w:rsidRPr="00E54915">
        <w:rPr>
          <w:color w:val="000000" w:themeColor="text1"/>
          <w:sz w:val="20"/>
          <w:szCs w:val="20"/>
          <w:lang w:val="en-US"/>
        </w:rPr>
        <w:t xml:space="preserve"> and</w:t>
      </w:r>
      <w:r w:rsidRPr="00E54915">
        <w:rPr>
          <w:color w:val="000000" w:themeColor="text1"/>
          <w:sz w:val="20"/>
          <w:szCs w:val="20"/>
          <w:lang w:val="en-PT"/>
        </w:rPr>
        <w:t xml:space="preserve"> </w:t>
      </w:r>
      <w:r w:rsidRPr="00E54915">
        <w:rPr>
          <w:color w:val="000000" w:themeColor="text1"/>
          <w:sz w:val="20"/>
          <w:szCs w:val="20"/>
          <w:lang w:val="en-US"/>
        </w:rPr>
        <w:t>T.</w:t>
      </w:r>
      <w:r w:rsidRPr="00E54915">
        <w:rPr>
          <w:color w:val="000000" w:themeColor="text1"/>
          <w:sz w:val="20"/>
          <w:szCs w:val="20"/>
          <w:lang w:val="en-PT"/>
        </w:rPr>
        <w:t xml:space="preserve"> Poell</w:t>
      </w:r>
      <w:r w:rsidRPr="00E54915">
        <w:rPr>
          <w:color w:val="000000" w:themeColor="text1"/>
          <w:sz w:val="20"/>
          <w:szCs w:val="20"/>
          <w:shd w:val="clear" w:color="auto" w:fill="FFFFFF"/>
          <w:lang w:val="en-US"/>
        </w:rPr>
        <w:t>, ‘</w:t>
      </w:r>
      <w:r w:rsidRPr="00E54915">
        <w:rPr>
          <w:color w:val="000000" w:themeColor="text1"/>
          <w:sz w:val="20"/>
          <w:szCs w:val="20"/>
          <w:lang w:val="en-PT"/>
        </w:rPr>
        <w:t>Governing online platforms: From contested to cooperative responsibility</w:t>
      </w:r>
      <w:r w:rsidRPr="00E54915">
        <w:rPr>
          <w:color w:val="000000" w:themeColor="text1"/>
          <w:sz w:val="20"/>
          <w:szCs w:val="20"/>
          <w:lang w:val="en-US"/>
        </w:rPr>
        <w:t>’</w:t>
      </w:r>
      <w:r w:rsidRPr="00E54915">
        <w:rPr>
          <w:color w:val="000000" w:themeColor="text1"/>
          <w:sz w:val="20"/>
          <w:szCs w:val="20"/>
          <w:lang w:val="en-PT"/>
        </w:rPr>
        <w:t>,</w:t>
      </w:r>
      <w:r w:rsidRPr="00E54915">
        <w:rPr>
          <w:color w:val="000000" w:themeColor="text1"/>
          <w:sz w:val="20"/>
          <w:szCs w:val="20"/>
          <w:shd w:val="clear" w:color="auto" w:fill="FFFFFF"/>
          <w:lang w:val="en-PT"/>
        </w:rPr>
        <w:t> </w:t>
      </w:r>
      <w:r w:rsidRPr="00E54915">
        <w:rPr>
          <w:color w:val="000000" w:themeColor="text1"/>
          <w:sz w:val="20"/>
          <w:szCs w:val="20"/>
          <w:lang w:val="en-PT"/>
        </w:rPr>
        <w:t>The Information Society</w:t>
      </w:r>
      <w:r w:rsidRPr="00E54915">
        <w:rPr>
          <w:color w:val="000000" w:themeColor="text1"/>
          <w:sz w:val="20"/>
          <w:szCs w:val="20"/>
          <w:lang w:val="en-US"/>
        </w:rPr>
        <w:t xml:space="preserve"> </w:t>
      </w:r>
      <w:r w:rsidRPr="00E54915">
        <w:rPr>
          <w:color w:val="000000" w:themeColor="text1"/>
          <w:sz w:val="20"/>
          <w:szCs w:val="20"/>
          <w:lang w:val="en-PT"/>
        </w:rPr>
        <w:t>(2018)</w:t>
      </w:r>
      <w:r w:rsidRPr="00E54915">
        <w:rPr>
          <w:color w:val="000000" w:themeColor="text1"/>
          <w:sz w:val="20"/>
          <w:szCs w:val="20"/>
          <w:shd w:val="clear" w:color="auto" w:fill="FFFFFF"/>
          <w:lang w:val="en-PT"/>
        </w:rPr>
        <w:t>  </w:t>
      </w:r>
      <w:r w:rsidRPr="00E54915">
        <w:rPr>
          <w:color w:val="000000" w:themeColor="text1"/>
          <w:sz w:val="20"/>
          <w:szCs w:val="20"/>
          <w:lang w:val="en-PT"/>
        </w:rPr>
        <w:t>34:1,</w:t>
      </w:r>
      <w:r w:rsidRPr="00E54915">
        <w:rPr>
          <w:color w:val="000000" w:themeColor="text1"/>
          <w:sz w:val="20"/>
          <w:szCs w:val="20"/>
          <w:shd w:val="clear" w:color="auto" w:fill="FFFFFF"/>
          <w:lang w:val="en-PT"/>
        </w:rPr>
        <w:t> </w:t>
      </w:r>
      <w:r w:rsidRPr="00E54915">
        <w:rPr>
          <w:color w:val="000000" w:themeColor="text1"/>
          <w:sz w:val="20"/>
          <w:szCs w:val="20"/>
          <w:lang w:val="en-PT"/>
        </w:rPr>
        <w:t>1-14</w:t>
      </w:r>
      <w:r w:rsidRPr="00E54915">
        <w:rPr>
          <w:color w:val="000000" w:themeColor="text1"/>
          <w:sz w:val="20"/>
          <w:szCs w:val="20"/>
          <w:lang w:val="en-US"/>
        </w:rPr>
        <w:t>.</w:t>
      </w:r>
    </w:p>
  </w:endnote>
  <w:endnote w:id="10">
    <w:p w14:paraId="095E7C60" w14:textId="240F6C45" w:rsidR="007A4DF1" w:rsidRPr="0043169B" w:rsidRDefault="007A4DF1" w:rsidP="00F650D2">
      <w:pPr>
        <w:pStyle w:val="EndnoteText"/>
        <w:rPr>
          <w:lang w:val="en-US"/>
        </w:rPr>
      </w:pPr>
      <w:r w:rsidRPr="00F650D2">
        <w:rPr>
          <w:rStyle w:val="EndnoteReference"/>
        </w:rPr>
        <w:endnoteRef/>
      </w:r>
      <w:r w:rsidRPr="0043169B">
        <w:rPr>
          <w:lang w:val="en-US"/>
        </w:rPr>
        <w:t xml:space="preserve"> Marshall, </w:t>
      </w:r>
      <w:r w:rsidR="0016146E" w:rsidRPr="002F0AD1">
        <w:rPr>
          <w:i/>
          <w:iCs/>
          <w:lang w:val="en-US"/>
        </w:rPr>
        <w:t>Citizenship</w:t>
      </w:r>
      <w:r w:rsidR="0016146E">
        <w:rPr>
          <w:i/>
          <w:iCs/>
          <w:lang w:val="en-US"/>
        </w:rPr>
        <w:t xml:space="preserve"> and Social Class</w:t>
      </w:r>
      <w:r w:rsidRPr="0043169B">
        <w:rPr>
          <w:lang w:val="en-US"/>
        </w:rPr>
        <w:t>, 33.</w:t>
      </w:r>
    </w:p>
  </w:endnote>
  <w:endnote w:id="11">
    <w:p w14:paraId="02854097" w14:textId="0BA419DD" w:rsidR="00A05C41" w:rsidRPr="0011217B" w:rsidRDefault="00A05C41" w:rsidP="00A05C41">
      <w:pPr>
        <w:pStyle w:val="EndnoteText"/>
        <w:rPr>
          <w:lang w:val="en-US"/>
        </w:rPr>
      </w:pPr>
      <w:r w:rsidRPr="0011217B">
        <w:rPr>
          <w:rStyle w:val="EndnoteReference"/>
        </w:rPr>
        <w:endnoteRef/>
      </w:r>
      <w:r w:rsidRPr="0011217B">
        <w:rPr>
          <w:lang w:val="en-US"/>
        </w:rPr>
        <w:t xml:space="preserve"> </w:t>
      </w:r>
      <w:r w:rsidR="00540446">
        <w:rPr>
          <w:lang w:val="en-US"/>
        </w:rPr>
        <w:t xml:space="preserve">D. </w:t>
      </w:r>
      <w:r w:rsidRPr="00227604">
        <w:rPr>
          <w:lang w:val="en-US"/>
        </w:rPr>
        <w:t xml:space="preserve">Kochenov, </w:t>
      </w:r>
      <w:r w:rsidR="00540446" w:rsidRPr="00227604">
        <w:rPr>
          <w:i/>
          <w:iCs/>
          <w:lang w:val="en-US"/>
        </w:rPr>
        <w:t xml:space="preserve">Citizenship </w:t>
      </w:r>
      <w:r w:rsidR="00540446">
        <w:rPr>
          <w:lang w:val="en-US"/>
        </w:rPr>
        <w:t xml:space="preserve">(MIT Press, 2019), </w:t>
      </w:r>
      <w:r w:rsidRPr="00227604">
        <w:rPr>
          <w:lang w:val="en-US"/>
        </w:rPr>
        <w:t>11-12.</w:t>
      </w:r>
    </w:p>
  </w:endnote>
  <w:endnote w:id="12">
    <w:p w14:paraId="4D0B8977" w14:textId="77777777" w:rsidR="00A05C41" w:rsidRPr="002F0AD1" w:rsidRDefault="00A05C41" w:rsidP="00A05C41">
      <w:pPr>
        <w:pStyle w:val="EndnoteText"/>
        <w:rPr>
          <w:color w:val="000000" w:themeColor="text1"/>
          <w:lang w:val="en-US"/>
        </w:rPr>
      </w:pPr>
      <w:r w:rsidRPr="002F0AD1">
        <w:rPr>
          <w:rStyle w:val="EndnoteReference"/>
          <w:color w:val="000000" w:themeColor="text1"/>
        </w:rPr>
        <w:endnoteRef/>
      </w:r>
      <w:r w:rsidRPr="002F0AD1">
        <w:rPr>
          <w:color w:val="000000" w:themeColor="text1"/>
          <w:lang w:val="en-US"/>
        </w:rPr>
        <w:t xml:space="preserve"> H. Arendt, </w:t>
      </w:r>
      <w:r w:rsidRPr="002F0AD1">
        <w:rPr>
          <w:i/>
          <w:iCs/>
          <w:color w:val="000000" w:themeColor="text1"/>
          <w:lang w:val="en-US"/>
        </w:rPr>
        <w:t>The Origins of Totalitarianism</w:t>
      </w:r>
      <w:r w:rsidRPr="002F0AD1">
        <w:rPr>
          <w:color w:val="000000" w:themeColor="text1"/>
          <w:lang w:val="en-US"/>
        </w:rPr>
        <w:t xml:space="preserve"> (Harcourt Brace &amp; Co., 1979 [1951]).</w:t>
      </w:r>
    </w:p>
  </w:endnote>
  <w:endnote w:id="13">
    <w:p w14:paraId="4EA5854E" w14:textId="457D1561" w:rsidR="00A05C41" w:rsidRPr="002F0AD1" w:rsidRDefault="00A05C41" w:rsidP="00A05C41">
      <w:pPr>
        <w:pStyle w:val="EndnoteText"/>
        <w:rPr>
          <w:color w:val="000000" w:themeColor="text1"/>
          <w:lang w:val="en-US"/>
        </w:rPr>
      </w:pPr>
      <w:r w:rsidRPr="002F0AD1">
        <w:rPr>
          <w:rStyle w:val="EndnoteReference"/>
          <w:color w:val="000000" w:themeColor="text1"/>
        </w:rPr>
        <w:endnoteRef/>
      </w:r>
      <w:r w:rsidRPr="002F0AD1">
        <w:rPr>
          <w:color w:val="000000" w:themeColor="text1"/>
          <w:lang w:val="en-US"/>
        </w:rPr>
        <w:t xml:space="preserve"> Arendt, </w:t>
      </w:r>
      <w:r w:rsidR="000A7E65" w:rsidRPr="008B0D09">
        <w:rPr>
          <w:i/>
          <w:iCs/>
          <w:color w:val="000000" w:themeColor="text1"/>
          <w:lang w:val="en-US"/>
        </w:rPr>
        <w:t>The Origins</w:t>
      </w:r>
      <w:r w:rsidR="00924D4D">
        <w:rPr>
          <w:i/>
          <w:iCs/>
          <w:color w:val="000000" w:themeColor="text1"/>
          <w:lang w:val="en-US"/>
        </w:rPr>
        <w:t xml:space="preserve"> </w:t>
      </w:r>
      <w:r w:rsidR="00924D4D" w:rsidRPr="008B0D09">
        <w:rPr>
          <w:i/>
          <w:iCs/>
          <w:color w:val="000000" w:themeColor="text1"/>
          <w:lang w:val="en-US"/>
        </w:rPr>
        <w:t>of Totalitarianism</w:t>
      </w:r>
      <w:r w:rsidR="00540446" w:rsidRPr="002F0AD1">
        <w:rPr>
          <w:color w:val="000000" w:themeColor="text1"/>
          <w:lang w:val="en-US"/>
        </w:rPr>
        <w:t>,</w:t>
      </w:r>
      <w:r w:rsidR="002876FD" w:rsidRPr="002F0AD1">
        <w:rPr>
          <w:color w:val="000000" w:themeColor="text1"/>
          <w:lang w:val="en-US"/>
        </w:rPr>
        <w:t xml:space="preserve"> </w:t>
      </w:r>
      <w:r w:rsidRPr="002F0AD1">
        <w:rPr>
          <w:color w:val="000000" w:themeColor="text1"/>
          <w:lang w:val="en-US"/>
        </w:rPr>
        <w:t>279-280.</w:t>
      </w:r>
    </w:p>
  </w:endnote>
  <w:endnote w:id="14">
    <w:p w14:paraId="3EF7E178" w14:textId="78276901" w:rsidR="00A05C41" w:rsidRPr="002F0AD1" w:rsidRDefault="00A05C41" w:rsidP="00A05C41">
      <w:pPr>
        <w:pStyle w:val="EndnoteText"/>
        <w:rPr>
          <w:color w:val="000000" w:themeColor="text1"/>
          <w:lang w:val="en-US"/>
        </w:rPr>
      </w:pPr>
      <w:r w:rsidRPr="002F0AD1">
        <w:rPr>
          <w:rStyle w:val="EndnoteReference"/>
          <w:color w:val="000000" w:themeColor="text1"/>
        </w:rPr>
        <w:endnoteRef/>
      </w:r>
      <w:r w:rsidRPr="002F0AD1">
        <w:rPr>
          <w:color w:val="000000" w:themeColor="text1"/>
          <w:lang w:val="en-US"/>
        </w:rPr>
        <w:t xml:space="preserve"> Kochenov, </w:t>
      </w:r>
      <w:r w:rsidR="001C6472" w:rsidRPr="00227604">
        <w:rPr>
          <w:i/>
          <w:iCs/>
          <w:lang w:val="en-US"/>
        </w:rPr>
        <w:t>Citizenship</w:t>
      </w:r>
      <w:r w:rsidR="00540446" w:rsidRPr="002F0AD1">
        <w:rPr>
          <w:color w:val="000000" w:themeColor="text1"/>
          <w:lang w:val="en-US"/>
        </w:rPr>
        <w:t xml:space="preserve">, </w:t>
      </w:r>
      <w:r w:rsidRPr="002F0AD1">
        <w:rPr>
          <w:color w:val="000000" w:themeColor="text1"/>
          <w:lang w:val="en-US"/>
        </w:rPr>
        <w:t>28-29.</w:t>
      </w:r>
    </w:p>
  </w:endnote>
  <w:endnote w:id="15">
    <w:p w14:paraId="46919428" w14:textId="77777777" w:rsidR="00A05C41" w:rsidRPr="002876FD" w:rsidRDefault="00A05C41" w:rsidP="00A05C41">
      <w:pPr>
        <w:rPr>
          <w:color w:val="000000" w:themeColor="text1"/>
          <w:lang w:val="en-US"/>
        </w:rPr>
      </w:pPr>
      <w:r w:rsidRPr="002876FD">
        <w:rPr>
          <w:rStyle w:val="EndnoteReference"/>
          <w:color w:val="000000" w:themeColor="text1"/>
        </w:rPr>
        <w:endnoteRef/>
      </w:r>
      <w:r w:rsidRPr="002876FD">
        <w:rPr>
          <w:color w:val="000000" w:themeColor="text1"/>
          <w:lang w:val="en-US"/>
        </w:rPr>
        <w:t xml:space="preserve"> </w:t>
      </w:r>
      <w:r w:rsidRPr="002876FD">
        <w:rPr>
          <w:color w:val="000000" w:themeColor="text1"/>
          <w:sz w:val="20"/>
          <w:szCs w:val="20"/>
          <w:lang w:val="en-PT"/>
        </w:rPr>
        <w:t>S</w:t>
      </w:r>
      <w:r w:rsidRPr="002876FD">
        <w:rPr>
          <w:color w:val="000000" w:themeColor="text1"/>
          <w:sz w:val="20"/>
          <w:szCs w:val="20"/>
          <w:lang w:val="en-US"/>
        </w:rPr>
        <w:t>.</w:t>
      </w:r>
      <w:r w:rsidRPr="002876FD">
        <w:rPr>
          <w:color w:val="000000" w:themeColor="text1"/>
          <w:sz w:val="20"/>
          <w:szCs w:val="20"/>
          <w:lang w:val="en-PT"/>
        </w:rPr>
        <w:t xml:space="preserve"> Morano-Foadi, S</w:t>
      </w:r>
      <w:r w:rsidRPr="002876FD">
        <w:rPr>
          <w:color w:val="000000" w:themeColor="text1"/>
          <w:sz w:val="20"/>
          <w:szCs w:val="20"/>
          <w:lang w:val="en-US"/>
        </w:rPr>
        <w:t>.</w:t>
      </w:r>
      <w:r w:rsidRPr="002876FD">
        <w:rPr>
          <w:color w:val="000000" w:themeColor="text1"/>
          <w:sz w:val="20"/>
          <w:szCs w:val="20"/>
          <w:lang w:val="en-PT"/>
        </w:rPr>
        <w:t xml:space="preserve"> Andreadakis, The Convergence of the European Legal System in the Treatment of Third Country Nationals in Europe: The ECJ and ECtHR Jurisprudence, </w:t>
      </w:r>
      <w:r w:rsidRPr="002876FD">
        <w:rPr>
          <w:i/>
          <w:iCs/>
          <w:color w:val="000000" w:themeColor="text1"/>
          <w:sz w:val="20"/>
          <w:szCs w:val="20"/>
          <w:lang w:val="en-PT"/>
        </w:rPr>
        <w:t>European Journal of International Law</w:t>
      </w:r>
      <w:r w:rsidRPr="002876FD">
        <w:rPr>
          <w:color w:val="000000" w:themeColor="text1"/>
          <w:sz w:val="20"/>
          <w:szCs w:val="20"/>
          <w:lang w:val="en-PT"/>
        </w:rPr>
        <w:t>, Vo</w:t>
      </w:r>
      <w:r w:rsidRPr="002876FD">
        <w:rPr>
          <w:color w:val="000000" w:themeColor="text1"/>
          <w:sz w:val="20"/>
          <w:szCs w:val="20"/>
          <w:lang w:val="en-US"/>
        </w:rPr>
        <w:t>l.</w:t>
      </w:r>
      <w:r w:rsidRPr="002876FD">
        <w:rPr>
          <w:color w:val="000000" w:themeColor="text1"/>
          <w:sz w:val="20"/>
          <w:szCs w:val="20"/>
          <w:lang w:val="en-PT"/>
        </w:rPr>
        <w:t xml:space="preserve"> 22</w:t>
      </w:r>
      <w:r w:rsidRPr="002876FD">
        <w:rPr>
          <w:color w:val="000000" w:themeColor="text1"/>
          <w:sz w:val="20"/>
          <w:szCs w:val="20"/>
          <w:lang w:val="en-US"/>
        </w:rPr>
        <w:t xml:space="preserve"> (4)</w:t>
      </w:r>
      <w:r w:rsidRPr="002876FD">
        <w:rPr>
          <w:color w:val="000000" w:themeColor="text1"/>
          <w:sz w:val="20"/>
          <w:szCs w:val="20"/>
          <w:lang w:val="en-PT"/>
        </w:rPr>
        <w:t>, 2011</w:t>
      </w:r>
      <w:r w:rsidRPr="002876FD">
        <w:rPr>
          <w:color w:val="000000" w:themeColor="text1"/>
          <w:sz w:val="20"/>
          <w:szCs w:val="20"/>
          <w:lang w:val="en-US"/>
        </w:rPr>
        <w:t>,</w:t>
      </w:r>
      <w:r w:rsidRPr="002876FD">
        <w:rPr>
          <w:color w:val="000000" w:themeColor="text1"/>
          <w:sz w:val="20"/>
          <w:szCs w:val="20"/>
          <w:lang w:val="en-PT"/>
        </w:rPr>
        <w:t xml:space="preserve"> 1071–1088</w:t>
      </w:r>
      <w:r w:rsidRPr="002876FD">
        <w:rPr>
          <w:color w:val="000000" w:themeColor="text1"/>
          <w:sz w:val="20"/>
          <w:szCs w:val="20"/>
          <w:lang w:val="en-US"/>
        </w:rPr>
        <w:t>.</w:t>
      </w:r>
    </w:p>
  </w:endnote>
  <w:endnote w:id="16">
    <w:p w14:paraId="59ED9B05" w14:textId="0A406887" w:rsidR="00A05C41" w:rsidRPr="002876FD" w:rsidRDefault="00A05C41" w:rsidP="00227604">
      <w:pPr>
        <w:rPr>
          <w:color w:val="000000" w:themeColor="text1"/>
          <w:sz w:val="20"/>
          <w:szCs w:val="20"/>
          <w:lang w:val="en-US"/>
        </w:rPr>
      </w:pPr>
      <w:r w:rsidRPr="002876FD">
        <w:rPr>
          <w:rStyle w:val="EndnoteReference"/>
          <w:color w:val="000000" w:themeColor="text1"/>
          <w:sz w:val="20"/>
          <w:szCs w:val="20"/>
        </w:rPr>
        <w:endnoteRef/>
      </w:r>
      <w:r w:rsidRPr="002876FD">
        <w:rPr>
          <w:color w:val="000000" w:themeColor="text1"/>
          <w:lang w:val="en-US"/>
        </w:rPr>
        <w:t xml:space="preserve"> </w:t>
      </w:r>
      <w:r w:rsidR="00540446" w:rsidRPr="002876FD">
        <w:rPr>
          <w:color w:val="000000" w:themeColor="text1"/>
          <w:sz w:val="20"/>
          <w:szCs w:val="20"/>
          <w:lang w:val="en-US"/>
        </w:rPr>
        <w:t xml:space="preserve">J. L. </w:t>
      </w:r>
      <w:r w:rsidR="00540446" w:rsidRPr="002876FD">
        <w:rPr>
          <w:color w:val="000000" w:themeColor="text1"/>
          <w:sz w:val="20"/>
          <w:szCs w:val="20"/>
          <w:lang w:val="en-PT"/>
        </w:rPr>
        <w:t>Austin</w:t>
      </w:r>
      <w:r w:rsidR="00540446" w:rsidRPr="002876FD">
        <w:rPr>
          <w:color w:val="000000" w:themeColor="text1"/>
          <w:sz w:val="20"/>
          <w:szCs w:val="20"/>
          <w:shd w:val="clear" w:color="auto" w:fill="FFFFFF"/>
          <w:lang w:val="en-PT"/>
        </w:rPr>
        <w:t xml:space="preserve">, </w:t>
      </w:r>
      <w:r w:rsidR="00540446" w:rsidRPr="002876FD">
        <w:rPr>
          <w:i/>
          <w:iCs/>
          <w:color w:val="000000" w:themeColor="text1"/>
          <w:sz w:val="20"/>
          <w:szCs w:val="20"/>
          <w:shd w:val="clear" w:color="auto" w:fill="FFFFFF"/>
          <w:lang w:val="en-PT"/>
        </w:rPr>
        <w:t>How to </w:t>
      </w:r>
      <w:r w:rsidR="00540446" w:rsidRPr="002876FD">
        <w:rPr>
          <w:i/>
          <w:iCs/>
          <w:color w:val="000000" w:themeColor="text1"/>
          <w:sz w:val="20"/>
          <w:szCs w:val="20"/>
          <w:lang w:val="en-PT"/>
        </w:rPr>
        <w:t>Do Things with Words</w:t>
      </w:r>
      <w:r w:rsidR="00540446" w:rsidRPr="002876FD">
        <w:rPr>
          <w:color w:val="000000" w:themeColor="text1"/>
          <w:sz w:val="20"/>
          <w:szCs w:val="20"/>
          <w:shd w:val="clear" w:color="auto" w:fill="FFFFFF"/>
          <w:lang w:val="en-US"/>
        </w:rPr>
        <w:t xml:space="preserve"> (</w:t>
      </w:r>
      <w:r w:rsidR="00540446" w:rsidRPr="002876FD">
        <w:rPr>
          <w:color w:val="000000" w:themeColor="text1"/>
          <w:sz w:val="20"/>
          <w:szCs w:val="20"/>
          <w:shd w:val="clear" w:color="auto" w:fill="FFFFFF"/>
          <w:lang w:val="en-PT"/>
        </w:rPr>
        <w:t>Oxford University Press</w:t>
      </w:r>
      <w:r w:rsidR="00540446" w:rsidRPr="002876FD">
        <w:rPr>
          <w:color w:val="000000" w:themeColor="text1"/>
          <w:sz w:val="20"/>
          <w:szCs w:val="20"/>
          <w:shd w:val="clear" w:color="auto" w:fill="FFFFFF"/>
          <w:lang w:val="en-US"/>
        </w:rPr>
        <w:t>, 1962).</w:t>
      </w:r>
    </w:p>
  </w:endnote>
  <w:endnote w:id="17">
    <w:p w14:paraId="7E995BE3" w14:textId="19D9D041" w:rsidR="007A4DF1" w:rsidRPr="00227604" w:rsidRDefault="007A4DF1" w:rsidP="00F650D2">
      <w:pPr>
        <w:pStyle w:val="EndnoteText"/>
        <w:rPr>
          <w:lang w:val="en-US"/>
        </w:rPr>
      </w:pPr>
      <w:r w:rsidRPr="002876FD">
        <w:rPr>
          <w:rStyle w:val="EndnoteReference"/>
          <w:color w:val="000000" w:themeColor="text1"/>
        </w:rPr>
        <w:endnoteRef/>
      </w:r>
      <w:r w:rsidRPr="002F0AD1">
        <w:rPr>
          <w:color w:val="000000" w:themeColor="text1"/>
          <w:lang w:val="en-US"/>
        </w:rPr>
        <w:t xml:space="preserve"> Francioni, </w:t>
      </w:r>
      <w:r w:rsidR="00196B35" w:rsidRPr="0043169B">
        <w:rPr>
          <w:i/>
          <w:iCs/>
          <w:lang w:val="en-US"/>
        </w:rPr>
        <w:t>Access to Justice</w:t>
      </w:r>
      <w:r w:rsidRPr="002F0AD1">
        <w:rPr>
          <w:color w:val="000000" w:themeColor="text1"/>
          <w:lang w:val="en-US"/>
        </w:rPr>
        <w:t>, 68.</w:t>
      </w:r>
    </w:p>
  </w:endnote>
  <w:endnote w:id="18">
    <w:p w14:paraId="5C671876" w14:textId="54171C83" w:rsidR="007A4DF1" w:rsidRPr="0043169B" w:rsidRDefault="007A4DF1" w:rsidP="00F650D2">
      <w:pPr>
        <w:pStyle w:val="EndnoteText"/>
        <w:rPr>
          <w:lang w:val="en-US"/>
        </w:rPr>
      </w:pPr>
      <w:r w:rsidRPr="00F650D2">
        <w:rPr>
          <w:rStyle w:val="EndnoteReference"/>
        </w:rPr>
        <w:endnoteRef/>
      </w:r>
      <w:r w:rsidRPr="0043169B">
        <w:rPr>
          <w:lang w:val="en-US"/>
        </w:rPr>
        <w:t xml:space="preserve"> HLA Hart, </w:t>
      </w:r>
      <w:r w:rsidRPr="0043169B">
        <w:rPr>
          <w:i/>
          <w:iCs/>
          <w:lang w:val="en-US"/>
        </w:rPr>
        <w:t>The Concept of Law</w:t>
      </w:r>
      <w:r w:rsidRPr="0043169B">
        <w:rPr>
          <w:lang w:val="en-US"/>
        </w:rPr>
        <w:t xml:space="preserve"> (Oxford University Press, 1961, 2</w:t>
      </w:r>
      <w:r w:rsidRPr="0043169B">
        <w:rPr>
          <w:vertAlign w:val="superscript"/>
          <w:lang w:val="en-US"/>
        </w:rPr>
        <w:t>nd</w:t>
      </w:r>
      <w:r w:rsidRPr="0043169B">
        <w:rPr>
          <w:lang w:val="en-US"/>
        </w:rPr>
        <w:t xml:space="preserve"> ed 1994), pp. 100 et sq; 157 et sq.</w:t>
      </w:r>
    </w:p>
  </w:endnote>
  <w:endnote w:id="19">
    <w:p w14:paraId="7A225096" w14:textId="4386C6EA" w:rsidR="007A4DF1" w:rsidRPr="00F650D2" w:rsidRDefault="007A4DF1" w:rsidP="00F650D2">
      <w:pPr>
        <w:pStyle w:val="NormalWeb"/>
        <w:spacing w:before="0" w:beforeAutospacing="0" w:after="0" w:afterAutospacing="0"/>
        <w:rPr>
          <w:sz w:val="20"/>
          <w:szCs w:val="20"/>
        </w:rPr>
      </w:pPr>
      <w:r w:rsidRPr="00F650D2">
        <w:rPr>
          <w:rStyle w:val="EndnoteReference"/>
          <w:sz w:val="20"/>
          <w:szCs w:val="20"/>
        </w:rPr>
        <w:endnoteRef/>
      </w:r>
      <w:r w:rsidRPr="00F650D2">
        <w:rPr>
          <w:sz w:val="20"/>
          <w:szCs w:val="20"/>
        </w:rPr>
        <w:t xml:space="preserve"> Hans Kelsen, </w:t>
      </w:r>
      <w:r w:rsidRPr="00F650D2">
        <w:rPr>
          <w:i/>
          <w:iCs/>
          <w:sz w:val="20"/>
          <w:szCs w:val="20"/>
        </w:rPr>
        <w:t>General Theory of Law and State</w:t>
      </w:r>
      <w:r w:rsidRPr="00F650D2">
        <w:rPr>
          <w:sz w:val="20"/>
          <w:szCs w:val="20"/>
        </w:rPr>
        <w:t xml:space="preserve"> (Anders Wedberg tr, Lawbook Exchange 2007)</w:t>
      </w:r>
      <w:r w:rsidR="002876FD">
        <w:rPr>
          <w:sz w:val="20"/>
          <w:szCs w:val="20"/>
          <w:lang w:val="en-US"/>
        </w:rPr>
        <w:t xml:space="preserve">, </w:t>
      </w:r>
      <w:r w:rsidRPr="00F650D2">
        <w:rPr>
          <w:sz w:val="20"/>
          <w:szCs w:val="20"/>
        </w:rPr>
        <w:t>110–22</w:t>
      </w:r>
      <w:r w:rsidRPr="00F650D2">
        <w:rPr>
          <w:sz w:val="20"/>
          <w:szCs w:val="20"/>
          <w:lang w:val="en-US"/>
        </w:rPr>
        <w:t>.</w:t>
      </w:r>
      <w:r w:rsidRPr="00F650D2">
        <w:rPr>
          <w:sz w:val="20"/>
          <w:szCs w:val="20"/>
        </w:rPr>
        <w:t xml:space="preserve"> </w:t>
      </w:r>
    </w:p>
  </w:endnote>
  <w:endnote w:id="20">
    <w:p w14:paraId="117A9603" w14:textId="58E05C87"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24D4D" w:rsidRPr="002F0AD1">
        <w:rPr>
          <w:lang w:val="en-US"/>
        </w:rPr>
        <w:t xml:space="preserve">Kelsen, </w:t>
      </w:r>
      <w:r w:rsidR="00924D4D" w:rsidRPr="002F0AD1">
        <w:rPr>
          <w:i/>
          <w:iCs/>
          <w:lang w:val="en-US"/>
        </w:rPr>
        <w:t>General Theory of Law</w:t>
      </w:r>
      <w:r w:rsidRPr="0043169B">
        <w:rPr>
          <w:lang w:val="en-US"/>
        </w:rPr>
        <w:t>, 124-25.</w:t>
      </w:r>
    </w:p>
  </w:endnote>
  <w:endnote w:id="21">
    <w:p w14:paraId="26D9ACF6" w14:textId="6F928C05"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24D4D" w:rsidRPr="002F0AD1">
        <w:rPr>
          <w:lang w:val="en-US"/>
        </w:rPr>
        <w:t xml:space="preserve">Kelsen, </w:t>
      </w:r>
      <w:r w:rsidR="00924D4D" w:rsidRPr="002F0AD1">
        <w:rPr>
          <w:i/>
          <w:iCs/>
          <w:lang w:val="en-US"/>
        </w:rPr>
        <w:t>General Theory of Law</w:t>
      </w:r>
      <w:r w:rsidRPr="0043169B">
        <w:rPr>
          <w:lang w:val="en-US"/>
        </w:rPr>
        <w:t>, 5-6.</w:t>
      </w:r>
    </w:p>
  </w:endnote>
  <w:endnote w:id="22">
    <w:p w14:paraId="07CD11DE" w14:textId="383D660C"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24D4D" w:rsidRPr="002F0AD1">
        <w:rPr>
          <w:lang w:val="en-US"/>
        </w:rPr>
        <w:t xml:space="preserve">Kelsen, </w:t>
      </w:r>
      <w:r w:rsidR="00924D4D" w:rsidRPr="002F0AD1">
        <w:rPr>
          <w:i/>
          <w:iCs/>
          <w:lang w:val="en-US"/>
        </w:rPr>
        <w:t>General Theory of Law</w:t>
      </w:r>
      <w:r w:rsidRPr="0043169B">
        <w:rPr>
          <w:lang w:val="en-US"/>
        </w:rPr>
        <w:t>, 7.</w:t>
      </w:r>
    </w:p>
  </w:endnote>
  <w:endnote w:id="23">
    <w:p w14:paraId="1A310785" w14:textId="2EB9A64D" w:rsidR="007A4DF1" w:rsidRPr="0043169B" w:rsidRDefault="007A4DF1" w:rsidP="00F650D2">
      <w:pPr>
        <w:pStyle w:val="EndnoteText"/>
        <w:rPr>
          <w:lang w:val="en-US"/>
        </w:rPr>
      </w:pPr>
      <w:r w:rsidRPr="00F650D2">
        <w:rPr>
          <w:rStyle w:val="EndnoteReference"/>
        </w:rPr>
        <w:endnoteRef/>
      </w:r>
      <w:r w:rsidRPr="0043169B">
        <w:rPr>
          <w:lang w:val="en-US"/>
        </w:rPr>
        <w:t xml:space="preserve"> Francioni, </w:t>
      </w:r>
      <w:r w:rsidR="00196B35" w:rsidRPr="0043169B">
        <w:rPr>
          <w:i/>
          <w:iCs/>
          <w:lang w:val="en-US"/>
        </w:rPr>
        <w:t>Access to Justice</w:t>
      </w:r>
      <w:r w:rsidR="00196B35">
        <w:rPr>
          <w:i/>
          <w:iCs/>
          <w:lang w:val="en-US"/>
        </w:rPr>
        <w:t>.</w:t>
      </w:r>
    </w:p>
  </w:endnote>
  <w:endnote w:id="24">
    <w:p w14:paraId="32E6E297" w14:textId="50A91CA1" w:rsidR="007A4DF1" w:rsidRPr="00227604" w:rsidRDefault="007A4DF1" w:rsidP="004960FD">
      <w:pPr>
        <w:rPr>
          <w:color w:val="000000" w:themeColor="text1"/>
          <w:sz w:val="20"/>
          <w:szCs w:val="20"/>
          <w:shd w:val="clear" w:color="auto" w:fill="FFFFFF"/>
          <w:lang w:val="en-US"/>
        </w:rPr>
      </w:pPr>
      <w:r w:rsidRPr="00F650D2">
        <w:rPr>
          <w:rStyle w:val="EndnoteReference"/>
          <w:color w:val="000000" w:themeColor="text1"/>
          <w:sz w:val="20"/>
          <w:szCs w:val="20"/>
        </w:rPr>
        <w:endnoteRef/>
      </w:r>
      <w:r w:rsidRPr="00F650D2">
        <w:rPr>
          <w:color w:val="000000" w:themeColor="text1"/>
          <w:sz w:val="20"/>
          <w:szCs w:val="20"/>
          <w:lang w:val="en-US"/>
        </w:rPr>
        <w:t xml:space="preserve"> </w:t>
      </w:r>
      <w:r w:rsidRPr="00F650D2">
        <w:rPr>
          <w:color w:val="000000" w:themeColor="text1"/>
          <w:sz w:val="20"/>
          <w:szCs w:val="20"/>
          <w:shd w:val="clear" w:color="auto" w:fill="FFFFFF"/>
          <w:lang w:val="en-US"/>
        </w:rPr>
        <w:t xml:space="preserve">According to Article 13, paragraph (1)(a), of the Charter of the United Nations, the General Assembly is mandated to encourage the progressive development of international law and its codification. For more information please see </w:t>
      </w:r>
      <w:hyperlink r:id="rId2" w:history="1">
        <w:r w:rsidRPr="00F650D2">
          <w:rPr>
            <w:rStyle w:val="Hyperlink"/>
            <w:rFonts w:eastAsiaTheme="minorEastAsia"/>
            <w:color w:val="000000" w:themeColor="text1"/>
            <w:sz w:val="20"/>
            <w:szCs w:val="20"/>
            <w:shd w:val="clear" w:color="auto" w:fill="FFFFFF"/>
            <w:lang w:val="en-US"/>
          </w:rPr>
          <w:t>http://legal.un.org/cod/</w:t>
        </w:r>
      </w:hyperlink>
      <w:r w:rsidRPr="00F650D2">
        <w:rPr>
          <w:color w:val="000000" w:themeColor="text1"/>
          <w:sz w:val="20"/>
          <w:szCs w:val="20"/>
          <w:shd w:val="clear" w:color="auto" w:fill="FFFFFF"/>
          <w:lang w:val="en-US"/>
        </w:rPr>
        <w:t xml:space="preserve">, last accessed </w:t>
      </w:r>
      <w:r w:rsidR="00741BC7">
        <w:rPr>
          <w:color w:val="000000" w:themeColor="text1"/>
          <w:sz w:val="20"/>
          <w:szCs w:val="20"/>
          <w:shd w:val="clear" w:color="auto" w:fill="FFFFFF"/>
          <w:lang w:val="en-US"/>
        </w:rPr>
        <w:t>8 November 2020</w:t>
      </w:r>
      <w:r w:rsidRPr="00F650D2">
        <w:rPr>
          <w:color w:val="000000" w:themeColor="text1"/>
          <w:sz w:val="20"/>
          <w:szCs w:val="20"/>
          <w:shd w:val="clear" w:color="auto" w:fill="FFFFFF"/>
          <w:lang w:val="en-US"/>
        </w:rPr>
        <w:t>.</w:t>
      </w:r>
      <w:r w:rsidR="00741BC7">
        <w:rPr>
          <w:color w:val="000000" w:themeColor="text1"/>
          <w:sz w:val="20"/>
          <w:szCs w:val="20"/>
          <w:shd w:val="clear" w:color="auto" w:fill="FFFFFF"/>
          <w:lang w:val="en-US"/>
        </w:rPr>
        <w:t xml:space="preserve"> See also </w:t>
      </w:r>
      <w:r w:rsidR="00741BC7" w:rsidRPr="00227604">
        <w:rPr>
          <w:color w:val="000000" w:themeColor="text1"/>
          <w:sz w:val="20"/>
          <w:szCs w:val="20"/>
          <w:shd w:val="clear" w:color="auto" w:fill="FFFFFF"/>
          <w:lang w:val="en-US"/>
        </w:rPr>
        <w:t xml:space="preserve">A. Roberts, </w:t>
      </w:r>
      <w:r w:rsidR="00741BC7" w:rsidRPr="00227604">
        <w:rPr>
          <w:i/>
          <w:iCs/>
          <w:color w:val="000000" w:themeColor="text1"/>
          <w:sz w:val="20"/>
          <w:szCs w:val="20"/>
          <w:shd w:val="clear" w:color="auto" w:fill="FFFFFF"/>
          <w:lang w:val="en-US"/>
        </w:rPr>
        <w:t>Is International Law Internationa</w:t>
      </w:r>
      <w:r w:rsidR="00741BC7" w:rsidRPr="00227604">
        <w:rPr>
          <w:color w:val="000000" w:themeColor="text1"/>
          <w:sz w:val="20"/>
          <w:szCs w:val="20"/>
          <w:shd w:val="clear" w:color="auto" w:fill="FFFFFF"/>
          <w:lang w:val="en-US"/>
        </w:rPr>
        <w:t>l? (Oxford University Press, 2017), 1.</w:t>
      </w:r>
    </w:p>
  </w:endnote>
  <w:endnote w:id="25">
    <w:p w14:paraId="5E4BB571" w14:textId="0A4A7155" w:rsidR="007A4DF1" w:rsidRPr="002F0AD1" w:rsidRDefault="007A4DF1" w:rsidP="00A16238">
      <w:pPr>
        <w:pStyle w:val="EndnoteText"/>
        <w:rPr>
          <w:lang w:val="en-US"/>
        </w:rPr>
      </w:pPr>
      <w:r w:rsidRPr="007D3FAB">
        <w:rPr>
          <w:rStyle w:val="EndnoteReference"/>
        </w:rPr>
        <w:endnoteRef/>
      </w:r>
      <w:r w:rsidRPr="002F0AD1">
        <w:rPr>
          <w:rStyle w:val="EndnoteReference"/>
          <w:lang w:val="en-US"/>
        </w:rPr>
        <w:t xml:space="preserve"> </w:t>
      </w:r>
      <w:r w:rsidR="00AE0D90" w:rsidRPr="00227604">
        <w:rPr>
          <w:color w:val="000000" w:themeColor="text1"/>
          <w:shd w:val="clear" w:color="auto" w:fill="FFFFFF"/>
          <w:lang w:val="en-US"/>
        </w:rPr>
        <w:t>Roberts</w:t>
      </w:r>
      <w:r w:rsidR="00AE0D90">
        <w:rPr>
          <w:color w:val="000000" w:themeColor="text1"/>
          <w:shd w:val="clear" w:color="auto" w:fill="FFFFFF"/>
          <w:lang w:val="en-US"/>
        </w:rPr>
        <w:t xml:space="preserve">, </w:t>
      </w:r>
      <w:r w:rsidR="00AE0D90" w:rsidRPr="002F0AD1">
        <w:rPr>
          <w:i/>
          <w:iCs/>
          <w:color w:val="000000" w:themeColor="text1"/>
          <w:shd w:val="clear" w:color="auto" w:fill="FFFFFF"/>
          <w:lang w:val="en-US"/>
        </w:rPr>
        <w:t>International Law</w:t>
      </w:r>
      <w:r w:rsidRPr="00AE0D90">
        <w:rPr>
          <w:color w:val="000000" w:themeColor="text1"/>
          <w:shd w:val="clear" w:color="auto" w:fill="FFFFFF"/>
          <w:lang w:val="en-US"/>
        </w:rPr>
        <w:t>, 101.</w:t>
      </w:r>
    </w:p>
  </w:endnote>
  <w:endnote w:id="26">
    <w:p w14:paraId="49CBD6F6" w14:textId="64EA8BAB" w:rsidR="007A4DF1" w:rsidRPr="002F0AD1" w:rsidRDefault="007A4DF1" w:rsidP="00F650D2">
      <w:pPr>
        <w:pStyle w:val="EndnoteText"/>
        <w:rPr>
          <w:lang w:val="en-US"/>
        </w:rPr>
      </w:pPr>
      <w:r w:rsidRPr="00F650D2">
        <w:rPr>
          <w:rStyle w:val="EndnoteReference"/>
        </w:rPr>
        <w:endnoteRef/>
      </w:r>
      <w:r w:rsidRPr="002F0AD1">
        <w:rPr>
          <w:lang w:val="en-US"/>
        </w:rPr>
        <w:t xml:space="preserve"> </w:t>
      </w:r>
      <w:r w:rsidR="00AE0D90" w:rsidRPr="00227604">
        <w:rPr>
          <w:color w:val="000000" w:themeColor="text1"/>
          <w:shd w:val="clear" w:color="auto" w:fill="FFFFFF"/>
          <w:lang w:val="en-US"/>
        </w:rPr>
        <w:t>Roberts</w:t>
      </w:r>
      <w:r w:rsidR="00AE0D90">
        <w:rPr>
          <w:color w:val="000000" w:themeColor="text1"/>
          <w:shd w:val="clear" w:color="auto" w:fill="FFFFFF"/>
          <w:lang w:val="en-US"/>
        </w:rPr>
        <w:t xml:space="preserve">, </w:t>
      </w:r>
      <w:r w:rsidR="00AE0D90" w:rsidRPr="008B0D09">
        <w:rPr>
          <w:i/>
          <w:iCs/>
          <w:color w:val="000000" w:themeColor="text1"/>
          <w:shd w:val="clear" w:color="auto" w:fill="FFFFFF"/>
          <w:lang w:val="en-US"/>
        </w:rPr>
        <w:t>International Law</w:t>
      </w:r>
      <w:r w:rsidR="00AE0D90" w:rsidRPr="002F0AD1">
        <w:rPr>
          <w:color w:val="000000" w:themeColor="text1"/>
          <w:shd w:val="clear" w:color="auto" w:fill="FFFFFF"/>
          <w:lang w:val="en-US"/>
        </w:rPr>
        <w:t>,</w:t>
      </w:r>
      <w:r w:rsidR="00AE0D90">
        <w:rPr>
          <w:color w:val="000000" w:themeColor="text1"/>
          <w:shd w:val="clear" w:color="auto" w:fill="FFFFFF"/>
          <w:lang w:val="en-US"/>
        </w:rPr>
        <w:t xml:space="preserve"> 101.</w:t>
      </w:r>
    </w:p>
  </w:endnote>
  <w:endnote w:id="27">
    <w:p w14:paraId="2C02732F" w14:textId="14FCFC07" w:rsidR="007A4DF1" w:rsidRPr="002F0AD1" w:rsidRDefault="007A4DF1" w:rsidP="00F650D2">
      <w:pPr>
        <w:pStyle w:val="EndnoteText"/>
        <w:rPr>
          <w:lang w:val="en-US"/>
        </w:rPr>
      </w:pPr>
      <w:r w:rsidRPr="00F650D2">
        <w:rPr>
          <w:rStyle w:val="EndnoteReference"/>
        </w:rPr>
        <w:endnoteRef/>
      </w:r>
      <w:r w:rsidRPr="002F0AD1">
        <w:rPr>
          <w:lang w:val="en-US"/>
        </w:rPr>
        <w:t xml:space="preserve"> </w:t>
      </w:r>
      <w:r w:rsidR="00AE0D90" w:rsidRPr="00227604">
        <w:rPr>
          <w:color w:val="000000" w:themeColor="text1"/>
          <w:shd w:val="clear" w:color="auto" w:fill="FFFFFF"/>
          <w:lang w:val="en-US"/>
        </w:rPr>
        <w:t>Roberts</w:t>
      </w:r>
      <w:r w:rsidR="00AE0D90">
        <w:rPr>
          <w:color w:val="000000" w:themeColor="text1"/>
          <w:shd w:val="clear" w:color="auto" w:fill="FFFFFF"/>
          <w:lang w:val="en-US"/>
        </w:rPr>
        <w:t xml:space="preserve">, </w:t>
      </w:r>
      <w:r w:rsidR="00AE0D90" w:rsidRPr="008B0D09">
        <w:rPr>
          <w:i/>
          <w:iCs/>
          <w:color w:val="000000" w:themeColor="text1"/>
          <w:shd w:val="clear" w:color="auto" w:fill="FFFFFF"/>
          <w:lang w:val="en-US"/>
        </w:rPr>
        <w:t>International Law</w:t>
      </w:r>
      <w:r w:rsidR="00AE0D90" w:rsidRPr="002F0AD1">
        <w:rPr>
          <w:color w:val="000000" w:themeColor="text1"/>
          <w:shd w:val="clear" w:color="auto" w:fill="FFFFFF"/>
          <w:lang w:val="en-US"/>
        </w:rPr>
        <w:t>,</w:t>
      </w:r>
      <w:r w:rsidR="00AE0D90">
        <w:rPr>
          <w:color w:val="000000" w:themeColor="text1"/>
          <w:shd w:val="clear" w:color="auto" w:fill="FFFFFF"/>
          <w:lang w:val="en-US"/>
        </w:rPr>
        <w:t xml:space="preserve"> 101.</w:t>
      </w:r>
    </w:p>
  </w:endnote>
  <w:endnote w:id="28">
    <w:p w14:paraId="7509A76A" w14:textId="29D52EFC" w:rsidR="007A4DF1" w:rsidRPr="002F0AD1" w:rsidRDefault="007A4DF1" w:rsidP="00F650D2">
      <w:pPr>
        <w:pStyle w:val="EndnoteText"/>
        <w:rPr>
          <w:lang w:val="en-US"/>
        </w:rPr>
      </w:pPr>
      <w:r w:rsidRPr="00F650D2">
        <w:rPr>
          <w:rStyle w:val="EndnoteReference"/>
        </w:rPr>
        <w:endnoteRef/>
      </w:r>
      <w:r w:rsidRPr="002F0AD1">
        <w:rPr>
          <w:lang w:val="en-US"/>
        </w:rPr>
        <w:t xml:space="preserve"> Article 8 UDHR, Francioni, </w:t>
      </w:r>
      <w:r w:rsidR="000A7E65" w:rsidRPr="0043169B">
        <w:rPr>
          <w:i/>
          <w:iCs/>
          <w:lang w:val="en-US"/>
        </w:rPr>
        <w:t>Access to Justice</w:t>
      </w:r>
      <w:r w:rsidRPr="002F0AD1">
        <w:rPr>
          <w:lang w:val="en-US"/>
        </w:rPr>
        <w:t>, 104.</w:t>
      </w:r>
    </w:p>
  </w:endnote>
  <w:endnote w:id="29">
    <w:p w14:paraId="0E688971" w14:textId="72784EAA" w:rsidR="007A4DF1" w:rsidRPr="00F650D2" w:rsidRDefault="007A4DF1" w:rsidP="00F650D2">
      <w:pPr>
        <w:pStyle w:val="EndnoteText"/>
      </w:pPr>
      <w:r w:rsidRPr="00F650D2">
        <w:rPr>
          <w:rStyle w:val="EndnoteReference"/>
        </w:rPr>
        <w:endnoteRef/>
      </w:r>
      <w:r w:rsidRPr="00F650D2">
        <w:t xml:space="preserve"> Article 13, Francioni, </w:t>
      </w:r>
      <w:r w:rsidRPr="00F650D2">
        <w:rPr>
          <w:i/>
          <w:iCs/>
        </w:rPr>
        <w:t>supra</w:t>
      </w:r>
      <w:r w:rsidRPr="00F650D2">
        <w:t xml:space="preserve"> note 3, 104.</w:t>
      </w:r>
    </w:p>
  </w:endnote>
  <w:endnote w:id="30">
    <w:p w14:paraId="5B6D784F" w14:textId="77777777" w:rsidR="007A4DF1" w:rsidRPr="00F650D2" w:rsidRDefault="007A4DF1" w:rsidP="00F650D2">
      <w:pPr>
        <w:pStyle w:val="EndnoteText"/>
      </w:pPr>
      <w:r w:rsidRPr="00F650D2">
        <w:rPr>
          <w:rStyle w:val="EndnoteReference"/>
        </w:rPr>
        <w:endnoteRef/>
      </w:r>
      <w:r w:rsidRPr="00F650D2">
        <w:t xml:space="preserve"> Article 2(3)(a) ICCPR, Fr 104.</w:t>
      </w:r>
    </w:p>
  </w:endnote>
  <w:endnote w:id="31">
    <w:p w14:paraId="11AD5AC0" w14:textId="228057A2" w:rsidR="007A4DF1" w:rsidRPr="002C7A4D" w:rsidRDefault="007A4DF1" w:rsidP="00F650D2">
      <w:pPr>
        <w:pStyle w:val="EndnoteText"/>
        <w:rPr>
          <w:lang w:val="en-US"/>
        </w:rPr>
      </w:pPr>
      <w:r w:rsidRPr="00F650D2">
        <w:rPr>
          <w:rStyle w:val="EndnoteReference"/>
        </w:rPr>
        <w:endnoteRef/>
      </w:r>
      <w:r w:rsidRPr="002C7A4D">
        <w:rPr>
          <w:lang w:val="en-US"/>
        </w:rPr>
        <w:t xml:space="preserve"> Francioni, </w:t>
      </w:r>
      <w:r w:rsidR="002A1E83" w:rsidRPr="0043169B">
        <w:rPr>
          <w:i/>
          <w:iCs/>
          <w:lang w:val="en-US"/>
        </w:rPr>
        <w:t>Access to Justice</w:t>
      </w:r>
      <w:r w:rsidRPr="002C7A4D">
        <w:rPr>
          <w:lang w:val="en-US"/>
        </w:rPr>
        <w:t>, 73.</w:t>
      </w:r>
    </w:p>
  </w:endnote>
  <w:endnote w:id="32">
    <w:p w14:paraId="427F2861" w14:textId="30AEA12B" w:rsidR="007A4DF1" w:rsidRPr="0043169B" w:rsidRDefault="007A4DF1" w:rsidP="00F650D2">
      <w:pPr>
        <w:pStyle w:val="EndnoteText"/>
        <w:rPr>
          <w:lang w:val="en-US"/>
        </w:rPr>
      </w:pPr>
      <w:r w:rsidRPr="00F650D2">
        <w:rPr>
          <w:rStyle w:val="EndnoteReference"/>
        </w:rPr>
        <w:endnoteRef/>
      </w:r>
      <w:r w:rsidRPr="0043169B">
        <w:rPr>
          <w:lang w:val="en-US"/>
        </w:rPr>
        <w:t xml:space="preserve"> Ibid, 107.</w:t>
      </w:r>
    </w:p>
  </w:endnote>
  <w:endnote w:id="33">
    <w:p w14:paraId="233CE6A9" w14:textId="3669B4C1" w:rsidR="007A4DF1" w:rsidRPr="002C7A4D" w:rsidRDefault="007A4DF1" w:rsidP="00F650D2">
      <w:pPr>
        <w:pStyle w:val="NormalWeb"/>
        <w:spacing w:before="0" w:beforeAutospacing="0" w:after="0" w:afterAutospacing="0"/>
        <w:rPr>
          <w:sz w:val="20"/>
          <w:szCs w:val="20"/>
          <w:lang w:val="en-US"/>
        </w:rPr>
      </w:pPr>
      <w:r w:rsidRPr="00F650D2">
        <w:rPr>
          <w:rStyle w:val="EndnoteReference"/>
          <w:sz w:val="20"/>
          <w:szCs w:val="20"/>
        </w:rPr>
        <w:endnoteRef/>
      </w:r>
      <w:r w:rsidRPr="00F650D2">
        <w:rPr>
          <w:sz w:val="20"/>
          <w:szCs w:val="20"/>
          <w:lang w:val="en-US"/>
        </w:rPr>
        <w:t xml:space="preserve"> European Court of Human Rights, Judgment of 16 December 1997, (1997) ECHR 100. </w:t>
      </w:r>
      <w:r w:rsidRPr="002C7A4D">
        <w:rPr>
          <w:sz w:val="20"/>
          <w:szCs w:val="20"/>
          <w:lang w:val="en-US"/>
        </w:rPr>
        <w:t xml:space="preserve">See also </w:t>
      </w:r>
      <w:r w:rsidRPr="00F650D2">
        <w:rPr>
          <w:sz w:val="20"/>
          <w:szCs w:val="20"/>
        </w:rPr>
        <w:t xml:space="preserve">Francioni, </w:t>
      </w:r>
      <w:r w:rsidRPr="00F650D2">
        <w:rPr>
          <w:i/>
          <w:iCs/>
          <w:sz w:val="20"/>
          <w:szCs w:val="20"/>
        </w:rPr>
        <w:t>supra</w:t>
      </w:r>
      <w:r w:rsidRPr="00F650D2">
        <w:rPr>
          <w:sz w:val="20"/>
          <w:szCs w:val="20"/>
        </w:rPr>
        <w:t xml:space="preserve"> note 3</w:t>
      </w:r>
      <w:r w:rsidRPr="002C7A4D">
        <w:rPr>
          <w:sz w:val="20"/>
          <w:szCs w:val="20"/>
          <w:lang w:val="en-US"/>
        </w:rPr>
        <w:t>,</w:t>
      </w:r>
      <w:r w:rsidR="002876FD" w:rsidRPr="002C7A4D">
        <w:rPr>
          <w:sz w:val="20"/>
          <w:szCs w:val="20"/>
          <w:lang w:val="en-US"/>
        </w:rPr>
        <w:t xml:space="preserve"> </w:t>
      </w:r>
      <w:r w:rsidRPr="002C7A4D">
        <w:rPr>
          <w:sz w:val="20"/>
          <w:szCs w:val="20"/>
          <w:lang w:val="en-US"/>
        </w:rPr>
        <w:t>107-108.</w:t>
      </w:r>
    </w:p>
  </w:endnote>
  <w:endnote w:id="34">
    <w:p w14:paraId="72699791" w14:textId="68B5F093" w:rsidR="007A4DF1" w:rsidRPr="002C7A4D" w:rsidRDefault="007A4DF1" w:rsidP="00F650D2">
      <w:pPr>
        <w:pStyle w:val="EndnoteText"/>
        <w:rPr>
          <w:lang w:val="en-US"/>
        </w:rPr>
      </w:pPr>
      <w:r w:rsidRPr="00F650D2">
        <w:rPr>
          <w:rStyle w:val="EndnoteReference"/>
        </w:rPr>
        <w:endnoteRef/>
      </w:r>
      <w:r w:rsidRPr="002C7A4D">
        <w:rPr>
          <w:lang w:val="en-US"/>
        </w:rPr>
        <w:t xml:space="preserve"> Francioni, </w:t>
      </w:r>
      <w:r w:rsidR="002B2EC4" w:rsidRPr="0043169B">
        <w:rPr>
          <w:i/>
          <w:iCs/>
          <w:lang w:val="en-US"/>
        </w:rPr>
        <w:t>Access to Justice</w:t>
      </w:r>
      <w:r w:rsidRPr="002C7A4D">
        <w:rPr>
          <w:lang w:val="en-US"/>
        </w:rPr>
        <w:t>, 89.</w:t>
      </w:r>
    </w:p>
  </w:endnote>
  <w:endnote w:id="35">
    <w:p w14:paraId="224BC044" w14:textId="26DB2EFD" w:rsidR="007A4DF1" w:rsidRPr="0043169B" w:rsidRDefault="007A4DF1" w:rsidP="00F650D2">
      <w:pPr>
        <w:pStyle w:val="EndnoteText"/>
        <w:rPr>
          <w:lang w:val="en-US"/>
        </w:rPr>
      </w:pPr>
      <w:r w:rsidRPr="00F650D2">
        <w:rPr>
          <w:rStyle w:val="EndnoteReference"/>
        </w:rPr>
        <w:endnoteRef/>
      </w:r>
      <w:r w:rsidRPr="0043169B">
        <w:rPr>
          <w:lang w:val="en-US"/>
        </w:rPr>
        <w:t xml:space="preserve"> Ibid, 28-29.</w:t>
      </w:r>
    </w:p>
  </w:endnote>
  <w:endnote w:id="36">
    <w:p w14:paraId="3473C844" w14:textId="795F624E" w:rsidR="007A4DF1" w:rsidRPr="0043169B" w:rsidRDefault="007A4DF1" w:rsidP="00F650D2">
      <w:pPr>
        <w:pStyle w:val="EndnoteText"/>
        <w:rPr>
          <w:lang w:val="en-US"/>
        </w:rPr>
      </w:pPr>
      <w:r w:rsidRPr="00F650D2">
        <w:rPr>
          <w:rStyle w:val="EndnoteReference"/>
        </w:rPr>
        <w:endnoteRef/>
      </w:r>
      <w:r w:rsidRPr="0043169B">
        <w:rPr>
          <w:lang w:val="en-US"/>
        </w:rPr>
        <w:t xml:space="preserve"> Marshall, </w:t>
      </w:r>
      <w:r w:rsidR="0016146E" w:rsidRPr="008B0D09">
        <w:rPr>
          <w:i/>
          <w:iCs/>
          <w:lang w:val="en-US"/>
        </w:rPr>
        <w:t>Citizenship</w:t>
      </w:r>
      <w:r w:rsidR="0016146E">
        <w:rPr>
          <w:i/>
          <w:iCs/>
          <w:lang w:val="en-US"/>
        </w:rPr>
        <w:t xml:space="preserve"> and Social Class</w:t>
      </w:r>
      <w:r w:rsidRPr="0043169B">
        <w:rPr>
          <w:lang w:val="en-US"/>
        </w:rPr>
        <w:t>, 33.</w:t>
      </w:r>
    </w:p>
  </w:endnote>
  <w:endnote w:id="37">
    <w:p w14:paraId="7C803497" w14:textId="738E3542" w:rsidR="007A4DF1" w:rsidRPr="00227604" w:rsidRDefault="007A4DF1" w:rsidP="00F650D2">
      <w:pPr>
        <w:pStyle w:val="EndnoteText"/>
        <w:rPr>
          <w:lang w:val="en-US"/>
        </w:rPr>
      </w:pPr>
      <w:r w:rsidRPr="00F650D2">
        <w:rPr>
          <w:rStyle w:val="EndnoteReference"/>
        </w:rPr>
        <w:endnoteRef/>
      </w:r>
      <w:r w:rsidRPr="00227604">
        <w:rPr>
          <w:lang w:val="en-US"/>
        </w:rPr>
        <w:t xml:space="preserve"> </w:t>
      </w:r>
      <w:r w:rsidR="00924D4D" w:rsidRPr="0043169B">
        <w:rPr>
          <w:lang w:val="en-US"/>
        </w:rPr>
        <w:t xml:space="preserve">Marshall, </w:t>
      </w:r>
      <w:r w:rsidR="00924D4D" w:rsidRPr="008B0D09">
        <w:rPr>
          <w:i/>
          <w:iCs/>
          <w:lang w:val="en-US"/>
        </w:rPr>
        <w:t>Citizenship</w:t>
      </w:r>
      <w:r w:rsidR="00924D4D">
        <w:rPr>
          <w:i/>
          <w:iCs/>
          <w:lang w:val="en-US"/>
        </w:rPr>
        <w:t xml:space="preserve"> and Social Class</w:t>
      </w:r>
      <w:r w:rsidRPr="00227604">
        <w:rPr>
          <w:lang w:val="en-US"/>
        </w:rPr>
        <w:t>, 40.</w:t>
      </w:r>
    </w:p>
  </w:endnote>
  <w:endnote w:id="38">
    <w:p w14:paraId="0AAA8509" w14:textId="1889E41E" w:rsidR="007A4DF1" w:rsidRPr="00227604" w:rsidRDefault="007A4DF1" w:rsidP="00F650D2">
      <w:pPr>
        <w:pStyle w:val="EndnoteText"/>
        <w:rPr>
          <w:lang w:val="en-US"/>
        </w:rPr>
      </w:pPr>
      <w:r w:rsidRPr="00F650D2">
        <w:rPr>
          <w:rStyle w:val="EndnoteReference"/>
        </w:rPr>
        <w:endnoteRef/>
      </w:r>
      <w:r w:rsidRPr="00227604">
        <w:rPr>
          <w:lang w:val="en-US"/>
        </w:rPr>
        <w:t xml:space="preserve"> </w:t>
      </w:r>
      <w:r w:rsidR="00924D4D" w:rsidRPr="0043169B">
        <w:rPr>
          <w:lang w:val="en-US"/>
        </w:rPr>
        <w:t xml:space="preserve">Marshall, </w:t>
      </w:r>
      <w:r w:rsidR="00924D4D" w:rsidRPr="008B0D09">
        <w:rPr>
          <w:i/>
          <w:iCs/>
          <w:lang w:val="en-US"/>
        </w:rPr>
        <w:t>Citizenship</w:t>
      </w:r>
      <w:r w:rsidR="00924D4D">
        <w:rPr>
          <w:i/>
          <w:iCs/>
          <w:lang w:val="en-US"/>
        </w:rPr>
        <w:t xml:space="preserve"> and Social Class</w:t>
      </w:r>
      <w:r w:rsidRPr="00227604">
        <w:rPr>
          <w:lang w:val="en-US"/>
        </w:rPr>
        <w:t>, 47.</w:t>
      </w:r>
    </w:p>
  </w:endnote>
  <w:endnote w:id="39">
    <w:p w14:paraId="7DDA7E2C" w14:textId="788F6F95" w:rsidR="00B11AC0" w:rsidRPr="00EF5F40" w:rsidRDefault="00B11AC0" w:rsidP="00227604">
      <w:pPr>
        <w:pStyle w:val="NormalWeb"/>
        <w:spacing w:before="0" w:beforeAutospacing="0" w:after="0" w:afterAutospacing="0"/>
      </w:pPr>
      <w:r w:rsidRPr="00B11AC0">
        <w:rPr>
          <w:rStyle w:val="EndnoteReference"/>
          <w:sz w:val="20"/>
          <w:szCs w:val="20"/>
          <w:lang w:val="es-ES"/>
        </w:rPr>
        <w:endnoteRef/>
      </w:r>
      <w:r>
        <w:t xml:space="preserve"> </w:t>
      </w:r>
      <w:r w:rsidRPr="00B11AC0">
        <w:rPr>
          <w:sz w:val="20"/>
          <w:szCs w:val="20"/>
          <w:lang w:val="en-US"/>
        </w:rPr>
        <w:t xml:space="preserve">J. </w:t>
      </w:r>
      <w:r w:rsidRPr="00227604">
        <w:rPr>
          <w:sz w:val="20"/>
          <w:szCs w:val="20"/>
          <w:lang w:val="en-US"/>
        </w:rPr>
        <w:t xml:space="preserve">Moses, ‘Social Citizenship and Social Rights in an Age of Extremes: T. H. Marshall’s Social Philosophy in the longue durée’, </w:t>
      </w:r>
      <w:r w:rsidRPr="00227604">
        <w:rPr>
          <w:i/>
          <w:iCs/>
          <w:sz w:val="20"/>
          <w:szCs w:val="20"/>
          <w:lang w:val="en-US"/>
        </w:rPr>
        <w:t>Modern Intellectual History</w:t>
      </w:r>
      <w:r w:rsidR="002B68B2" w:rsidRPr="00227604">
        <w:rPr>
          <w:sz w:val="20"/>
          <w:szCs w:val="20"/>
          <w:lang w:val="en-US"/>
        </w:rPr>
        <w:t xml:space="preserve"> (2019) Vol 16(1), 155-184.</w:t>
      </w:r>
      <w:r w:rsidRPr="0011217B">
        <w:t xml:space="preserve"> </w:t>
      </w:r>
    </w:p>
  </w:endnote>
  <w:endnote w:id="40">
    <w:p w14:paraId="01862324" w14:textId="1DE4DF30" w:rsidR="00B11AC0" w:rsidRPr="00227604" w:rsidRDefault="00B11AC0">
      <w:pPr>
        <w:pStyle w:val="EndnoteText"/>
        <w:rPr>
          <w:lang w:val="en-US"/>
        </w:rPr>
      </w:pPr>
      <w:r w:rsidRPr="0011217B">
        <w:rPr>
          <w:rStyle w:val="EndnoteReference"/>
        </w:rPr>
        <w:endnoteRef/>
      </w:r>
      <w:r w:rsidRPr="00227604">
        <w:rPr>
          <w:lang w:val="en-US"/>
        </w:rPr>
        <w:t xml:space="preserve"> </w:t>
      </w:r>
      <w:r w:rsidRPr="0011217B">
        <w:rPr>
          <w:lang w:val="en-US"/>
        </w:rPr>
        <w:t xml:space="preserve">Marshall, </w:t>
      </w:r>
      <w:r w:rsidR="0094310F" w:rsidRPr="008B0D09">
        <w:rPr>
          <w:i/>
          <w:iCs/>
          <w:lang w:val="en-US"/>
        </w:rPr>
        <w:t>Citizenship</w:t>
      </w:r>
      <w:r w:rsidR="0094310F">
        <w:rPr>
          <w:i/>
          <w:iCs/>
          <w:lang w:val="en-US"/>
        </w:rPr>
        <w:t xml:space="preserve"> and Social Class</w:t>
      </w:r>
      <w:r w:rsidRPr="00EF5F40">
        <w:rPr>
          <w:lang w:val="en-US"/>
        </w:rPr>
        <w:t>, 2</w:t>
      </w:r>
      <w:r w:rsidRPr="00227604">
        <w:rPr>
          <w:lang w:val="en-US"/>
        </w:rPr>
        <w:t>6.</w:t>
      </w:r>
    </w:p>
  </w:endnote>
  <w:endnote w:id="41">
    <w:p w14:paraId="2ACC374F" w14:textId="5872E389" w:rsidR="00301DBB" w:rsidRPr="00227604" w:rsidRDefault="00301DBB">
      <w:pPr>
        <w:pStyle w:val="EndnoteText"/>
        <w:rPr>
          <w:lang w:val="en-US"/>
        </w:rPr>
      </w:pPr>
      <w:r w:rsidRPr="0011217B">
        <w:rPr>
          <w:rStyle w:val="EndnoteReference"/>
        </w:rPr>
        <w:endnoteRef/>
      </w:r>
      <w:r w:rsidRPr="00227604">
        <w:rPr>
          <w:lang w:val="en-US"/>
        </w:rPr>
        <w:t xml:space="preserve"> E Durkheim, </w:t>
      </w:r>
      <w:r w:rsidRPr="00227604">
        <w:rPr>
          <w:i/>
          <w:iCs/>
          <w:lang w:val="en-US"/>
        </w:rPr>
        <w:t>The Division of Labour in Society</w:t>
      </w:r>
      <w:r w:rsidRPr="00227604">
        <w:rPr>
          <w:lang w:val="en-US"/>
        </w:rPr>
        <w:t xml:space="preserve"> (originally published 1893; Basingstoke, Macmillan 1984).</w:t>
      </w:r>
    </w:p>
  </w:endnote>
  <w:endnote w:id="42">
    <w:p w14:paraId="4F1BBAA8" w14:textId="7052F4E0" w:rsidR="007A4DF1" w:rsidRPr="002C7A4D" w:rsidRDefault="007A4DF1" w:rsidP="00301DBB">
      <w:pPr>
        <w:rPr>
          <w:sz w:val="20"/>
          <w:szCs w:val="20"/>
          <w:lang w:val="en-US"/>
        </w:rPr>
      </w:pPr>
      <w:r w:rsidRPr="0011217B">
        <w:rPr>
          <w:rStyle w:val="EndnoteReference"/>
          <w:sz w:val="20"/>
          <w:szCs w:val="20"/>
        </w:rPr>
        <w:endnoteRef/>
      </w:r>
      <w:r w:rsidRPr="0011217B">
        <w:rPr>
          <w:sz w:val="20"/>
          <w:szCs w:val="20"/>
        </w:rPr>
        <w:t xml:space="preserve"> D. Zolo, ‘La Strategia della cittadinanza’ in D. Zolo (ed) La Cittadinanza (Gius. </w:t>
      </w:r>
      <w:r w:rsidRPr="002C7A4D">
        <w:rPr>
          <w:sz w:val="20"/>
          <w:szCs w:val="20"/>
          <w:lang w:val="en-US"/>
        </w:rPr>
        <w:t>Laterza &amp; Figli, 1994), 27.</w:t>
      </w:r>
    </w:p>
  </w:endnote>
  <w:endnote w:id="43">
    <w:p w14:paraId="05043497" w14:textId="7A8ABF76" w:rsidR="00FE4E73" w:rsidRPr="007956A0" w:rsidRDefault="00FE4E73">
      <w:pPr>
        <w:pStyle w:val="EndnoteText"/>
        <w:rPr>
          <w:lang w:val="en-US"/>
        </w:rPr>
      </w:pPr>
      <w:r w:rsidRPr="0011217B">
        <w:rPr>
          <w:rStyle w:val="EndnoteReference"/>
        </w:rPr>
        <w:endnoteRef/>
      </w:r>
      <w:r w:rsidRPr="007956A0">
        <w:rPr>
          <w:lang w:val="en-US"/>
        </w:rPr>
        <w:t xml:space="preserve"> Moses, </w:t>
      </w:r>
      <w:r w:rsidR="007956A0" w:rsidRPr="002F0AD1">
        <w:rPr>
          <w:lang w:val="en-US"/>
        </w:rPr>
        <w:t>‘</w:t>
      </w:r>
      <w:r w:rsidR="007956A0" w:rsidRPr="00227604">
        <w:rPr>
          <w:lang w:val="en-US"/>
        </w:rPr>
        <w:t>Social Citizenship</w:t>
      </w:r>
      <w:r w:rsidR="007956A0">
        <w:rPr>
          <w:lang w:val="en-US"/>
        </w:rPr>
        <w:t>’.</w:t>
      </w:r>
    </w:p>
  </w:endnote>
  <w:endnote w:id="44">
    <w:p w14:paraId="6913A493" w14:textId="37E007A8" w:rsidR="00FE4E73" w:rsidRPr="007956A0" w:rsidRDefault="00FE4E73">
      <w:pPr>
        <w:pStyle w:val="EndnoteText"/>
        <w:rPr>
          <w:lang w:val="en-US"/>
        </w:rPr>
      </w:pPr>
      <w:r w:rsidRPr="0011217B">
        <w:rPr>
          <w:rStyle w:val="EndnoteReference"/>
        </w:rPr>
        <w:endnoteRef/>
      </w:r>
      <w:r w:rsidRPr="007956A0">
        <w:rPr>
          <w:lang w:val="en-US"/>
        </w:rPr>
        <w:t xml:space="preserve"> </w:t>
      </w:r>
      <w:r w:rsidR="007956A0" w:rsidRPr="002F0AD1">
        <w:rPr>
          <w:lang w:val="en-US"/>
        </w:rPr>
        <w:t>Moses, ‘</w:t>
      </w:r>
      <w:r w:rsidR="007956A0" w:rsidRPr="00227604">
        <w:rPr>
          <w:lang w:val="en-US"/>
        </w:rPr>
        <w:t>Social Citizenship</w:t>
      </w:r>
      <w:r w:rsidR="007956A0">
        <w:rPr>
          <w:lang w:val="en-US"/>
        </w:rPr>
        <w:t>’.</w:t>
      </w:r>
    </w:p>
  </w:endnote>
  <w:endnote w:id="45">
    <w:p w14:paraId="75D4A395" w14:textId="2926C59B" w:rsidR="007A4DF1" w:rsidRPr="007956A0" w:rsidRDefault="007A4DF1" w:rsidP="00F650D2">
      <w:pPr>
        <w:pStyle w:val="EndnoteText"/>
        <w:rPr>
          <w:lang w:val="en-US"/>
        </w:rPr>
      </w:pPr>
      <w:r w:rsidRPr="0011217B">
        <w:rPr>
          <w:rStyle w:val="EndnoteReference"/>
        </w:rPr>
        <w:endnoteRef/>
      </w:r>
      <w:r w:rsidRPr="007956A0">
        <w:rPr>
          <w:lang w:val="en-US"/>
        </w:rPr>
        <w:t xml:space="preserve"> </w:t>
      </w:r>
      <w:r w:rsidR="007956A0" w:rsidRPr="002F0AD1">
        <w:rPr>
          <w:lang w:val="en-US"/>
        </w:rPr>
        <w:t>Moses, ‘</w:t>
      </w:r>
      <w:r w:rsidR="007956A0" w:rsidRPr="00227604">
        <w:rPr>
          <w:lang w:val="en-US"/>
        </w:rPr>
        <w:t>Social Citizenship</w:t>
      </w:r>
      <w:r w:rsidR="007956A0">
        <w:rPr>
          <w:lang w:val="en-US"/>
        </w:rPr>
        <w:t>’,</w:t>
      </w:r>
      <w:r w:rsidR="002876FD" w:rsidRPr="002F0AD1">
        <w:rPr>
          <w:lang w:val="en-US"/>
        </w:rPr>
        <w:t xml:space="preserve"> </w:t>
      </w:r>
      <w:r w:rsidRPr="007956A0">
        <w:rPr>
          <w:lang w:val="en-US"/>
        </w:rPr>
        <w:t>1</w:t>
      </w:r>
      <w:r w:rsidR="001D0C82">
        <w:rPr>
          <w:lang w:val="en-US"/>
        </w:rPr>
        <w:t>65.</w:t>
      </w:r>
    </w:p>
  </w:endnote>
  <w:endnote w:id="46">
    <w:p w14:paraId="79948230" w14:textId="31C5A584" w:rsidR="007A4DF1" w:rsidRPr="007956A0" w:rsidRDefault="007A4DF1" w:rsidP="00F650D2">
      <w:pPr>
        <w:pStyle w:val="EndnoteText"/>
        <w:rPr>
          <w:lang w:val="en-US"/>
        </w:rPr>
      </w:pPr>
      <w:r w:rsidRPr="0011217B">
        <w:rPr>
          <w:rStyle w:val="EndnoteReference"/>
        </w:rPr>
        <w:endnoteRef/>
      </w:r>
      <w:r w:rsidRPr="007956A0">
        <w:rPr>
          <w:lang w:val="en-US"/>
        </w:rPr>
        <w:t xml:space="preserve"> </w:t>
      </w:r>
      <w:r w:rsidR="007956A0" w:rsidRPr="002F0AD1">
        <w:rPr>
          <w:lang w:val="en-US"/>
        </w:rPr>
        <w:t>Moses, ‘</w:t>
      </w:r>
      <w:r w:rsidR="007956A0" w:rsidRPr="00227604">
        <w:rPr>
          <w:lang w:val="en-US"/>
        </w:rPr>
        <w:t>Social Citizenship</w:t>
      </w:r>
      <w:r w:rsidR="007956A0">
        <w:rPr>
          <w:lang w:val="en-US"/>
        </w:rPr>
        <w:t>’</w:t>
      </w:r>
      <w:r w:rsidRPr="007956A0">
        <w:rPr>
          <w:lang w:val="en-US"/>
        </w:rPr>
        <w:t xml:space="preserve">, </w:t>
      </w:r>
      <w:r w:rsidR="001D0C82">
        <w:rPr>
          <w:lang w:val="en-US"/>
        </w:rPr>
        <w:t>170-1.</w:t>
      </w:r>
    </w:p>
  </w:endnote>
  <w:endnote w:id="47">
    <w:p w14:paraId="51535D67" w14:textId="5D068BD8" w:rsidR="007A4DF1" w:rsidRPr="007956A0" w:rsidRDefault="007A4DF1" w:rsidP="00F650D2">
      <w:pPr>
        <w:pStyle w:val="EndnoteText"/>
        <w:rPr>
          <w:lang w:val="en-US"/>
        </w:rPr>
      </w:pPr>
      <w:r w:rsidRPr="0011217B">
        <w:rPr>
          <w:rStyle w:val="EndnoteReference"/>
        </w:rPr>
        <w:endnoteRef/>
      </w:r>
      <w:r w:rsidRPr="007956A0">
        <w:rPr>
          <w:lang w:val="en-US"/>
        </w:rPr>
        <w:t>Kochenov,</w:t>
      </w:r>
      <w:r w:rsidR="00540446" w:rsidRPr="007956A0">
        <w:rPr>
          <w:i/>
          <w:iCs/>
          <w:lang w:val="en-US"/>
        </w:rPr>
        <w:t xml:space="preserve"> </w:t>
      </w:r>
      <w:r w:rsidR="001C6472" w:rsidRPr="00227604">
        <w:rPr>
          <w:i/>
          <w:iCs/>
          <w:lang w:val="en-US"/>
        </w:rPr>
        <w:t>Citizenship</w:t>
      </w:r>
      <w:r w:rsidRPr="007956A0">
        <w:rPr>
          <w:lang w:val="en-US"/>
        </w:rPr>
        <w:t>, 52.</w:t>
      </w:r>
    </w:p>
  </w:endnote>
  <w:endnote w:id="48">
    <w:p w14:paraId="06331CE7" w14:textId="5F2FD162" w:rsidR="007A4DF1" w:rsidRPr="007956A0" w:rsidRDefault="007A4DF1" w:rsidP="00F650D2">
      <w:pPr>
        <w:pStyle w:val="EndnoteText"/>
        <w:rPr>
          <w:lang w:val="en-US"/>
        </w:rPr>
      </w:pPr>
      <w:r w:rsidRPr="0011217B">
        <w:rPr>
          <w:rStyle w:val="EndnoteReference"/>
        </w:rPr>
        <w:endnoteRef/>
      </w:r>
      <w:r w:rsidRPr="007956A0">
        <w:rPr>
          <w:lang w:val="en-US"/>
        </w:rPr>
        <w:t xml:space="preserve"> </w:t>
      </w:r>
      <w:r w:rsidR="007956A0" w:rsidRPr="002F0AD1">
        <w:rPr>
          <w:lang w:val="en-US"/>
        </w:rPr>
        <w:t>Kochenov,</w:t>
      </w:r>
      <w:r w:rsidR="007956A0" w:rsidRPr="002F0AD1">
        <w:rPr>
          <w:i/>
          <w:iCs/>
          <w:lang w:val="en-US"/>
        </w:rPr>
        <w:t xml:space="preserve"> </w:t>
      </w:r>
      <w:r w:rsidR="007956A0" w:rsidRPr="00227604">
        <w:rPr>
          <w:i/>
          <w:iCs/>
          <w:lang w:val="en-US"/>
        </w:rPr>
        <w:t>Citizenship</w:t>
      </w:r>
      <w:r w:rsidR="007956A0" w:rsidRPr="002F0AD1">
        <w:rPr>
          <w:lang w:val="en-US"/>
        </w:rPr>
        <w:t>, 52.</w:t>
      </w:r>
    </w:p>
  </w:endnote>
  <w:endnote w:id="49">
    <w:p w14:paraId="71E86D48" w14:textId="6697700A" w:rsidR="007A4DF1" w:rsidRPr="0011217B" w:rsidRDefault="007A4DF1" w:rsidP="0043169B">
      <w:pPr>
        <w:pStyle w:val="EndnoteText"/>
        <w:contextualSpacing/>
        <w:rPr>
          <w:lang w:val="en-US"/>
        </w:rPr>
      </w:pPr>
      <w:r w:rsidRPr="00227604">
        <w:rPr>
          <w:rStyle w:val="EndnoteReference"/>
        </w:rPr>
        <w:endnoteRef/>
      </w:r>
      <w:r w:rsidRPr="00227604">
        <w:rPr>
          <w:lang w:val="en-US"/>
        </w:rPr>
        <w:t xml:space="preserve"> </w:t>
      </w:r>
      <w:r w:rsidR="007956A0" w:rsidRPr="008B0D09">
        <w:rPr>
          <w:lang w:val="en-US"/>
        </w:rPr>
        <w:t>Kochenov,</w:t>
      </w:r>
      <w:r w:rsidR="007956A0" w:rsidRPr="008B0D09">
        <w:rPr>
          <w:i/>
          <w:iCs/>
          <w:lang w:val="en-US"/>
        </w:rPr>
        <w:t xml:space="preserve"> </w:t>
      </w:r>
      <w:r w:rsidR="007956A0" w:rsidRPr="00227604">
        <w:rPr>
          <w:i/>
          <w:iCs/>
          <w:lang w:val="en-US"/>
        </w:rPr>
        <w:t>Citizenship</w:t>
      </w:r>
      <w:r w:rsidR="007956A0" w:rsidRPr="008B0D09">
        <w:rPr>
          <w:lang w:val="en-US"/>
        </w:rPr>
        <w:t>,</w:t>
      </w:r>
      <w:r w:rsidRPr="00227604">
        <w:rPr>
          <w:lang w:val="en-US"/>
        </w:rPr>
        <w:t xml:space="preserve"> 21.</w:t>
      </w:r>
    </w:p>
  </w:endnote>
  <w:endnote w:id="50">
    <w:p w14:paraId="7CB5592A" w14:textId="77777777" w:rsidR="007A4DF1" w:rsidRPr="00227604" w:rsidRDefault="007A4DF1" w:rsidP="0043169B">
      <w:pPr>
        <w:contextualSpacing/>
        <w:rPr>
          <w:color w:val="000000" w:themeColor="text1"/>
          <w:sz w:val="20"/>
          <w:szCs w:val="20"/>
          <w:lang w:val="en-GB"/>
        </w:rPr>
      </w:pPr>
      <w:r w:rsidRPr="0011217B">
        <w:rPr>
          <w:rStyle w:val="EndnoteReference"/>
          <w:color w:val="000000" w:themeColor="text1"/>
          <w:sz w:val="20"/>
          <w:szCs w:val="20"/>
        </w:rPr>
        <w:endnoteRef/>
      </w:r>
      <w:r w:rsidRPr="0011217B">
        <w:rPr>
          <w:color w:val="000000" w:themeColor="text1"/>
          <w:sz w:val="20"/>
          <w:szCs w:val="20"/>
          <w:lang w:val="en-US"/>
        </w:rPr>
        <w:t xml:space="preserve"> </w:t>
      </w:r>
      <w:r w:rsidRPr="00EF5F40">
        <w:rPr>
          <w:color w:val="000000" w:themeColor="text1"/>
          <w:kern w:val="32"/>
          <w:sz w:val="20"/>
          <w:szCs w:val="20"/>
          <w:lang w:val="en-GB"/>
        </w:rPr>
        <w:t xml:space="preserve">B. Simma and P. Alston, ‘The Sources of Human Rights Law: Custom, </w:t>
      </w:r>
      <w:r w:rsidRPr="00EF5F40">
        <w:rPr>
          <w:i/>
          <w:color w:val="000000" w:themeColor="text1"/>
          <w:kern w:val="32"/>
          <w:sz w:val="20"/>
          <w:szCs w:val="20"/>
          <w:lang w:val="en-GB"/>
        </w:rPr>
        <w:t>Jus Cogens</w:t>
      </w:r>
      <w:r w:rsidRPr="00EF5F40">
        <w:rPr>
          <w:color w:val="000000" w:themeColor="text1"/>
          <w:kern w:val="32"/>
          <w:sz w:val="20"/>
          <w:szCs w:val="20"/>
          <w:lang w:val="en-GB"/>
        </w:rPr>
        <w:t xml:space="preserve">, and General Principles’ (1988-1989) 12 </w:t>
      </w:r>
      <w:r w:rsidRPr="00EF5F40">
        <w:rPr>
          <w:i/>
          <w:color w:val="000000" w:themeColor="text1"/>
          <w:kern w:val="32"/>
          <w:sz w:val="20"/>
          <w:szCs w:val="20"/>
          <w:lang w:val="en-GB"/>
        </w:rPr>
        <w:t>Australian Yearbook of International Law</w:t>
      </w:r>
      <w:r w:rsidRPr="00EF5F40">
        <w:rPr>
          <w:color w:val="000000" w:themeColor="text1"/>
          <w:kern w:val="32"/>
          <w:sz w:val="20"/>
          <w:szCs w:val="20"/>
          <w:lang w:val="en-GB"/>
        </w:rPr>
        <w:t xml:space="preserve"> 82; </w:t>
      </w:r>
      <w:r w:rsidRPr="00EF5F40">
        <w:rPr>
          <w:color w:val="000000" w:themeColor="text1"/>
          <w:sz w:val="20"/>
          <w:szCs w:val="20"/>
          <w:lang w:val="en-GB"/>
        </w:rPr>
        <w:t>L. van den Herik, ‘Using Custom to Reconceptualise Crimes</w:t>
      </w:r>
      <w:r w:rsidRPr="00F650D2">
        <w:rPr>
          <w:color w:val="000000" w:themeColor="text1"/>
          <w:sz w:val="20"/>
          <w:szCs w:val="20"/>
          <w:lang w:val="en-GB"/>
        </w:rPr>
        <w:t xml:space="preserve"> Against Humanity’ in S. Darcy and J. Powderly (eds) </w:t>
      </w:r>
      <w:r w:rsidRPr="00F650D2">
        <w:rPr>
          <w:i/>
          <w:color w:val="000000" w:themeColor="text1"/>
          <w:sz w:val="20"/>
          <w:szCs w:val="20"/>
          <w:lang w:val="en-GB"/>
        </w:rPr>
        <w:t>Judicial Creativity at the International Criminal Tribunals</w:t>
      </w:r>
      <w:r w:rsidRPr="00F650D2">
        <w:rPr>
          <w:color w:val="000000" w:themeColor="text1"/>
          <w:sz w:val="20"/>
          <w:szCs w:val="20"/>
          <w:lang w:val="en-GB"/>
        </w:rPr>
        <w:t xml:space="preserve"> (Oxford University Press 2010); </w:t>
      </w:r>
      <w:r w:rsidRPr="00F650D2">
        <w:rPr>
          <w:color w:val="000000" w:themeColor="text1"/>
          <w:sz w:val="20"/>
          <w:szCs w:val="20"/>
          <w:lang w:val="en-US"/>
        </w:rPr>
        <w:t>Eg. Prosecutor v</w:t>
      </w:r>
      <w:r w:rsidRPr="00F650D2">
        <w:rPr>
          <w:i/>
          <w:color w:val="000000" w:themeColor="text1"/>
          <w:sz w:val="20"/>
          <w:szCs w:val="20"/>
          <w:lang w:val="en-US"/>
        </w:rPr>
        <w:t xml:space="preserve">. </w:t>
      </w:r>
      <w:r w:rsidRPr="0011217B">
        <w:rPr>
          <w:i/>
          <w:color w:val="000000" w:themeColor="text1"/>
          <w:sz w:val="20"/>
          <w:szCs w:val="20"/>
          <w:lang w:val="en-US"/>
        </w:rPr>
        <w:t>Delalic et al (‘Čelebići</w:t>
      </w:r>
      <w:r w:rsidRPr="0011217B">
        <w:rPr>
          <w:color w:val="000000" w:themeColor="text1"/>
          <w:sz w:val="20"/>
          <w:szCs w:val="20"/>
          <w:lang w:val="en-US"/>
        </w:rPr>
        <w:t xml:space="preserve"> Appeal Judgment’) ICTY Case No. IT-96-21-A, Appeal Judgment, 20 February 2001 para. 178.</w:t>
      </w:r>
    </w:p>
  </w:endnote>
  <w:endnote w:id="51">
    <w:p w14:paraId="029A306C" w14:textId="401ECD02" w:rsidR="006E0109" w:rsidRPr="00227604" w:rsidRDefault="006E0109" w:rsidP="006E0109">
      <w:pPr>
        <w:pStyle w:val="EndnoteText"/>
        <w:rPr>
          <w:lang w:val="en-US"/>
        </w:rPr>
      </w:pPr>
      <w:r w:rsidRPr="00227604">
        <w:rPr>
          <w:rStyle w:val="EndnoteReference"/>
        </w:rPr>
        <w:endnoteRef/>
      </w:r>
      <w:r w:rsidRPr="00227604">
        <w:rPr>
          <w:lang w:val="en-US"/>
        </w:rPr>
        <w:t xml:space="preserve"> See Kochenov, </w:t>
      </w:r>
      <w:r w:rsidR="001C6472" w:rsidRPr="00227604">
        <w:rPr>
          <w:i/>
          <w:iCs/>
          <w:lang w:val="en-US"/>
        </w:rPr>
        <w:t>Citizenship</w:t>
      </w:r>
      <w:r w:rsidR="001C6472">
        <w:rPr>
          <w:i/>
          <w:iCs/>
          <w:lang w:val="en-US"/>
        </w:rPr>
        <w:t>.</w:t>
      </w:r>
    </w:p>
  </w:endnote>
  <w:endnote w:id="52">
    <w:p w14:paraId="70404479" w14:textId="77777777" w:rsidR="006E0109" w:rsidRPr="00227604" w:rsidRDefault="006E0109" w:rsidP="006E0109">
      <w:pPr>
        <w:pStyle w:val="EndnoteText"/>
        <w:contextualSpacing/>
        <w:rPr>
          <w:lang w:val="en-US"/>
        </w:rPr>
      </w:pPr>
      <w:r w:rsidRPr="00227604">
        <w:rPr>
          <w:rStyle w:val="EndnoteReference"/>
        </w:rPr>
        <w:endnoteRef/>
      </w:r>
      <w:r w:rsidRPr="00227604">
        <w:rPr>
          <w:lang w:val="en-US"/>
        </w:rPr>
        <w:t xml:space="preserve"> </w:t>
      </w:r>
      <w:r w:rsidRPr="0011217B">
        <w:rPr>
          <w:lang w:val="en-US"/>
        </w:rPr>
        <w:t>U.S. Const. amend. XIV, § 1.</w:t>
      </w:r>
    </w:p>
  </w:endnote>
  <w:endnote w:id="53">
    <w:p w14:paraId="6C8FBA5C" w14:textId="77CF1D0D" w:rsidR="006E0109" w:rsidRPr="00EF5F40" w:rsidRDefault="006E0109" w:rsidP="006E0109">
      <w:pPr>
        <w:pStyle w:val="EndnoteText"/>
        <w:rPr>
          <w:lang w:val="en-US"/>
        </w:rPr>
      </w:pPr>
      <w:r w:rsidRPr="0011217B">
        <w:rPr>
          <w:rStyle w:val="EndnoteReference"/>
        </w:rPr>
        <w:endnoteRef/>
      </w:r>
      <w:r w:rsidRPr="0011217B">
        <w:rPr>
          <w:lang w:val="en-US"/>
        </w:rPr>
        <w:t xml:space="preserve"> </w:t>
      </w:r>
      <w:r w:rsidR="00924D4D" w:rsidRPr="00227604">
        <w:rPr>
          <w:lang w:val="en-US"/>
        </w:rPr>
        <w:t xml:space="preserve">Durkheim, </w:t>
      </w:r>
      <w:r w:rsidR="00924D4D" w:rsidRPr="00227604">
        <w:rPr>
          <w:i/>
          <w:iCs/>
          <w:lang w:val="en-US"/>
        </w:rPr>
        <w:t>The Division of Labour</w:t>
      </w:r>
      <w:r w:rsidR="00924D4D">
        <w:rPr>
          <w:i/>
          <w:iCs/>
          <w:lang w:val="en-US"/>
        </w:rPr>
        <w:t>.</w:t>
      </w:r>
    </w:p>
  </w:endnote>
  <w:endnote w:id="54">
    <w:p w14:paraId="60ED5B9F" w14:textId="54D08A69" w:rsidR="006E0109" w:rsidRPr="00227604" w:rsidRDefault="006E0109" w:rsidP="006E0109">
      <w:pPr>
        <w:pStyle w:val="NormalWeb"/>
        <w:spacing w:before="0" w:beforeAutospacing="0" w:after="0" w:afterAutospacing="0"/>
        <w:contextualSpacing/>
        <w:rPr>
          <w:lang w:val="en-US"/>
        </w:rPr>
      </w:pPr>
      <w:r w:rsidRPr="00227604">
        <w:rPr>
          <w:rStyle w:val="EndnoteReference"/>
        </w:rPr>
        <w:endnoteRef/>
      </w:r>
      <w:r w:rsidRPr="00227604">
        <w:t xml:space="preserve"> </w:t>
      </w:r>
      <w:r w:rsidRPr="00227604">
        <w:rPr>
          <w:color w:val="000000" w:themeColor="text1"/>
          <w:kern w:val="32"/>
          <w:sz w:val="20"/>
          <w:szCs w:val="20"/>
          <w:lang w:val="en-GB"/>
        </w:rPr>
        <w:t>Durkheim, ‘Individualism and Intellectuals’, 66</w:t>
      </w:r>
      <w:r w:rsidRPr="00227604">
        <w:rPr>
          <w:rFonts w:ascii="MinionPro" w:hAnsi="MinionPro"/>
          <w:sz w:val="16"/>
          <w:szCs w:val="16"/>
          <w:lang w:val="en-US"/>
        </w:rPr>
        <w:t>.</w:t>
      </w:r>
    </w:p>
  </w:endnote>
  <w:endnote w:id="55">
    <w:p w14:paraId="79A2C188" w14:textId="76EEF6E5" w:rsidR="00463A34" w:rsidRPr="00463A34" w:rsidRDefault="00463A34" w:rsidP="00463A34">
      <w:pPr>
        <w:pStyle w:val="NormalWeb"/>
        <w:spacing w:before="0" w:beforeAutospacing="0" w:after="0" w:afterAutospacing="0"/>
        <w:contextualSpacing/>
      </w:pPr>
      <w:r w:rsidRPr="00227604">
        <w:rPr>
          <w:rStyle w:val="EndnoteReference"/>
        </w:rPr>
        <w:endnoteRef/>
      </w:r>
      <w:r w:rsidRPr="00227604">
        <w:t xml:space="preserve"> </w:t>
      </w:r>
      <w:r>
        <w:rPr>
          <w:color w:val="000000" w:themeColor="text1"/>
          <w:kern w:val="32"/>
          <w:sz w:val="20"/>
          <w:szCs w:val="20"/>
          <w:lang w:val="en-GB"/>
        </w:rPr>
        <w:t xml:space="preserve">S. Moyn and C. </w:t>
      </w:r>
      <w:r w:rsidRPr="00463A34">
        <w:rPr>
          <w:color w:val="000000" w:themeColor="text1"/>
          <w:kern w:val="32"/>
          <w:sz w:val="20"/>
          <w:szCs w:val="20"/>
          <w:lang w:val="en-GB"/>
        </w:rPr>
        <w:t>Jayasinghe</w:t>
      </w:r>
      <w:r>
        <w:rPr>
          <w:color w:val="000000" w:themeColor="text1"/>
          <w:kern w:val="32"/>
          <w:sz w:val="20"/>
          <w:szCs w:val="20"/>
          <w:lang w:val="en-GB"/>
        </w:rPr>
        <w:t xml:space="preserve">, ‘Why is Dignity in the Charter of the United Nations?’, </w:t>
      </w:r>
      <w:r w:rsidRPr="00463A34">
        <w:rPr>
          <w:i/>
          <w:iCs/>
          <w:color w:val="000000" w:themeColor="text1"/>
          <w:kern w:val="32"/>
          <w:sz w:val="20"/>
          <w:szCs w:val="20"/>
          <w:lang w:val="en-GB"/>
        </w:rPr>
        <w:t>Humanity Journal</w:t>
      </w:r>
      <w:r>
        <w:rPr>
          <w:color w:val="000000" w:themeColor="text1"/>
          <w:kern w:val="32"/>
          <w:sz w:val="20"/>
          <w:szCs w:val="20"/>
          <w:lang w:val="en-GB"/>
        </w:rPr>
        <w:t xml:space="preserve">, 3 June 2014, </w:t>
      </w:r>
      <w:r w:rsidRPr="00463A34">
        <w:rPr>
          <w:color w:val="000000" w:themeColor="text1"/>
          <w:kern w:val="32"/>
          <w:sz w:val="20"/>
          <w:szCs w:val="20"/>
          <w:lang w:val="en-GB"/>
        </w:rPr>
        <w:t>http://humanityjournal.org/blog/why-is-dignity-in-the-charter-of-the-united-nations/</w:t>
      </w:r>
    </w:p>
  </w:endnote>
  <w:endnote w:id="56">
    <w:p w14:paraId="3FFF6CF1" w14:textId="754455E4" w:rsidR="001D0C82" w:rsidRPr="00463A34" w:rsidRDefault="001D0C82" w:rsidP="001D0C82">
      <w:pPr>
        <w:pStyle w:val="NormalWeb"/>
        <w:spacing w:before="0" w:beforeAutospacing="0" w:after="0" w:afterAutospacing="0"/>
        <w:contextualSpacing/>
      </w:pPr>
      <w:r w:rsidRPr="00227604">
        <w:rPr>
          <w:rStyle w:val="EndnoteReference"/>
        </w:rPr>
        <w:endnoteRef/>
      </w:r>
      <w:r w:rsidRPr="00227604">
        <w:t xml:space="preserve"> </w:t>
      </w:r>
      <w:r>
        <w:rPr>
          <w:color w:val="000000" w:themeColor="text1"/>
          <w:kern w:val="32"/>
          <w:sz w:val="20"/>
          <w:szCs w:val="20"/>
          <w:lang w:val="en-GB"/>
        </w:rPr>
        <w:t xml:space="preserve">Moses, </w:t>
      </w:r>
      <w:r w:rsidRPr="001D0C82">
        <w:rPr>
          <w:sz w:val="20"/>
          <w:szCs w:val="20"/>
          <w:lang w:val="en-US"/>
        </w:rPr>
        <w:t>‘Social Citizenship’, 178.</w:t>
      </w:r>
    </w:p>
  </w:endnote>
  <w:endnote w:id="57">
    <w:p w14:paraId="261613A4" w14:textId="77777777" w:rsidR="00463A34" w:rsidRPr="00227604" w:rsidRDefault="00463A34" w:rsidP="00463A34">
      <w:pPr>
        <w:pStyle w:val="NormalWeb"/>
        <w:spacing w:before="0" w:beforeAutospacing="0" w:after="0" w:afterAutospacing="0"/>
        <w:contextualSpacing/>
        <w:rPr>
          <w:lang w:val="en-US"/>
        </w:rPr>
      </w:pPr>
      <w:r w:rsidRPr="00227604">
        <w:rPr>
          <w:rStyle w:val="EndnoteReference"/>
        </w:rPr>
        <w:endnoteRef/>
      </w:r>
      <w:r w:rsidRPr="00227604">
        <w:t xml:space="preserve"> </w:t>
      </w:r>
      <w:r>
        <w:rPr>
          <w:color w:val="000000" w:themeColor="text1"/>
          <w:kern w:val="32"/>
          <w:sz w:val="20"/>
          <w:szCs w:val="20"/>
          <w:lang w:val="en-GB"/>
        </w:rPr>
        <w:t xml:space="preserve">S. Moyn, ‘The First Constitution to Make Human Dignity Its Leading Principle Was…’, </w:t>
      </w:r>
      <w:r w:rsidRPr="00463A34">
        <w:rPr>
          <w:i/>
          <w:iCs/>
          <w:color w:val="000000" w:themeColor="text1"/>
          <w:kern w:val="32"/>
          <w:sz w:val="20"/>
          <w:szCs w:val="20"/>
          <w:lang w:val="en-GB"/>
        </w:rPr>
        <w:t>Humanity Journal</w:t>
      </w:r>
      <w:r>
        <w:rPr>
          <w:color w:val="000000" w:themeColor="text1"/>
          <w:kern w:val="32"/>
          <w:sz w:val="20"/>
          <w:szCs w:val="20"/>
          <w:lang w:val="en-GB"/>
        </w:rPr>
        <w:t xml:space="preserve">, 23 April 2015, available at </w:t>
      </w:r>
      <w:r w:rsidRPr="00DE690F">
        <w:rPr>
          <w:color w:val="000000" w:themeColor="text1"/>
          <w:kern w:val="32"/>
          <w:sz w:val="20"/>
          <w:szCs w:val="20"/>
          <w:lang w:val="en-GB"/>
        </w:rPr>
        <w:t>http://humanityjournal.org/blog/the-first-constitution-to-make-human-dignity-its-leading-principle-was/#_edn6</w:t>
      </w:r>
    </w:p>
  </w:endnote>
  <w:endnote w:id="58">
    <w:p w14:paraId="37FC3D91" w14:textId="77777777" w:rsidR="00463A34" w:rsidRPr="00227604" w:rsidRDefault="00463A34" w:rsidP="00463A34">
      <w:pPr>
        <w:pStyle w:val="NormalWeb"/>
        <w:spacing w:before="0" w:beforeAutospacing="0" w:after="0" w:afterAutospacing="0"/>
        <w:contextualSpacing/>
        <w:rPr>
          <w:lang w:val="en-US"/>
        </w:rPr>
      </w:pPr>
      <w:r w:rsidRPr="00672E72">
        <w:rPr>
          <w:rStyle w:val="EndnoteReference"/>
          <w:sz w:val="20"/>
          <w:szCs w:val="20"/>
        </w:rPr>
        <w:endnoteRef/>
      </w:r>
      <w:r w:rsidRPr="00672E72">
        <w:rPr>
          <w:sz w:val="20"/>
          <w:szCs w:val="20"/>
        </w:rPr>
        <w:t xml:space="preserve"> </w:t>
      </w:r>
      <w:r>
        <w:rPr>
          <w:color w:val="000000" w:themeColor="text1"/>
          <w:kern w:val="32"/>
          <w:sz w:val="20"/>
          <w:szCs w:val="20"/>
          <w:lang w:val="en-GB"/>
        </w:rPr>
        <w:t>Moyn, ‘The First Constitution’.</w:t>
      </w:r>
    </w:p>
  </w:endnote>
  <w:endnote w:id="59">
    <w:p w14:paraId="7F6B6883" w14:textId="3812E7F5" w:rsidR="00672E72" w:rsidRPr="00227604" w:rsidRDefault="00672E72" w:rsidP="00672E72">
      <w:pPr>
        <w:pStyle w:val="NormalWeb"/>
        <w:spacing w:before="0" w:beforeAutospacing="0" w:after="0" w:afterAutospacing="0"/>
        <w:contextualSpacing/>
        <w:rPr>
          <w:lang w:val="en-US"/>
        </w:rPr>
      </w:pPr>
      <w:r w:rsidRPr="00227604">
        <w:rPr>
          <w:rStyle w:val="EndnoteReference"/>
        </w:rPr>
        <w:endnoteRef/>
      </w:r>
      <w:r w:rsidRPr="00227604">
        <w:t xml:space="preserve"> </w:t>
      </w:r>
      <w:r>
        <w:rPr>
          <w:color w:val="000000" w:themeColor="text1"/>
          <w:kern w:val="32"/>
          <w:sz w:val="20"/>
          <w:szCs w:val="20"/>
          <w:lang w:val="en-GB"/>
        </w:rPr>
        <w:t>Moyn, ‘The First Constitution’.</w:t>
      </w:r>
    </w:p>
  </w:endnote>
  <w:endnote w:id="60">
    <w:p w14:paraId="3CA76BC4" w14:textId="22B84A5C" w:rsidR="00044FA3" w:rsidRPr="00A73E29" w:rsidRDefault="00044FA3" w:rsidP="00044FA3">
      <w:pPr>
        <w:pStyle w:val="NormalWeb"/>
        <w:spacing w:before="0" w:beforeAutospacing="0" w:after="0" w:afterAutospacing="0"/>
        <w:contextualSpacing/>
        <w:rPr>
          <w:lang w:val="en-US"/>
        </w:rPr>
      </w:pPr>
      <w:r w:rsidRPr="00227604">
        <w:rPr>
          <w:rStyle w:val="EndnoteReference"/>
        </w:rPr>
        <w:endnoteRef/>
      </w:r>
      <w:r w:rsidRPr="00227604">
        <w:t xml:space="preserve"> </w:t>
      </w:r>
      <w:r w:rsidRPr="00A73E29">
        <w:rPr>
          <w:color w:val="000000" w:themeColor="text1"/>
          <w:kern w:val="32"/>
          <w:sz w:val="20"/>
          <w:szCs w:val="20"/>
          <w:lang w:val="en-US"/>
        </w:rPr>
        <w:t xml:space="preserve">Waldron, </w:t>
      </w:r>
      <w:r w:rsidR="00A73E29">
        <w:rPr>
          <w:color w:val="000000" w:themeColor="text1"/>
          <w:kern w:val="32"/>
          <w:sz w:val="20"/>
          <w:szCs w:val="20"/>
          <w:lang w:val="en-US"/>
        </w:rPr>
        <w:t>‘Human Dignity</w:t>
      </w:r>
      <w:r w:rsidR="005701BA">
        <w:rPr>
          <w:color w:val="000000" w:themeColor="text1"/>
          <w:kern w:val="32"/>
          <w:sz w:val="20"/>
          <w:szCs w:val="20"/>
          <w:lang w:val="en-US"/>
        </w:rPr>
        <w:t>’</w:t>
      </w:r>
      <w:r w:rsidR="00A73E29">
        <w:rPr>
          <w:color w:val="000000" w:themeColor="text1"/>
          <w:kern w:val="32"/>
          <w:sz w:val="20"/>
          <w:szCs w:val="20"/>
          <w:lang w:val="en-US"/>
        </w:rPr>
        <w:t xml:space="preserve">; </w:t>
      </w:r>
      <w:r w:rsidR="00A73E29" w:rsidRPr="00A73E29">
        <w:rPr>
          <w:color w:val="000000" w:themeColor="text1"/>
          <w:kern w:val="32"/>
          <w:sz w:val="20"/>
          <w:szCs w:val="20"/>
          <w:lang w:val="en-US"/>
        </w:rPr>
        <w:t xml:space="preserve">See also A. </w:t>
      </w:r>
      <w:r w:rsidR="00A73E29">
        <w:rPr>
          <w:color w:val="000000" w:themeColor="text1"/>
          <w:kern w:val="32"/>
          <w:sz w:val="20"/>
          <w:szCs w:val="20"/>
          <w:lang w:val="en-US"/>
        </w:rPr>
        <w:t xml:space="preserve">Barak, </w:t>
      </w:r>
      <w:r w:rsidR="00A73E29" w:rsidRPr="00A73E29">
        <w:rPr>
          <w:i/>
          <w:iCs/>
          <w:color w:val="000000" w:themeColor="text1"/>
          <w:kern w:val="32"/>
          <w:sz w:val="20"/>
          <w:szCs w:val="20"/>
          <w:lang w:val="en-US"/>
        </w:rPr>
        <w:t>Human Dignity: The Constitutional Value and the Constitutional Right</w:t>
      </w:r>
      <w:r w:rsidR="00A73E29">
        <w:rPr>
          <w:color w:val="000000" w:themeColor="text1"/>
          <w:kern w:val="32"/>
          <w:sz w:val="20"/>
          <w:szCs w:val="20"/>
          <w:lang w:val="en-US"/>
        </w:rPr>
        <w:t xml:space="preserve"> (Cambridge University Press, 2015).</w:t>
      </w:r>
    </w:p>
  </w:endnote>
  <w:endnote w:id="61">
    <w:p w14:paraId="63AA1B4C" w14:textId="5CEADC1E" w:rsidR="003B6713" w:rsidRPr="004C63E4" w:rsidRDefault="003B6713" w:rsidP="003B6713">
      <w:pPr>
        <w:pStyle w:val="NormalWeb"/>
        <w:spacing w:before="0" w:beforeAutospacing="0" w:after="0" w:afterAutospacing="0"/>
        <w:contextualSpacing/>
        <w:rPr>
          <w:lang w:val="en-US"/>
        </w:rPr>
      </w:pPr>
      <w:r w:rsidRPr="00227604">
        <w:rPr>
          <w:rStyle w:val="EndnoteReference"/>
        </w:rPr>
        <w:endnoteRef/>
      </w:r>
      <w:r w:rsidRPr="00227604">
        <w:t xml:space="preserve"> </w:t>
      </w:r>
      <w:r w:rsidRPr="004C63E4">
        <w:rPr>
          <w:color w:val="000000" w:themeColor="text1"/>
          <w:kern w:val="32"/>
          <w:sz w:val="20"/>
          <w:szCs w:val="20"/>
          <w:lang w:val="en-US"/>
        </w:rPr>
        <w:t>Waldron, ‘Human Dignity’, 1</w:t>
      </w:r>
      <w:r w:rsidR="004939F0" w:rsidRPr="004C63E4">
        <w:rPr>
          <w:color w:val="000000" w:themeColor="text1"/>
          <w:kern w:val="32"/>
          <w:sz w:val="20"/>
          <w:szCs w:val="20"/>
          <w:lang w:val="en-US"/>
        </w:rPr>
        <w:t>3</w:t>
      </w:r>
      <w:r w:rsidRPr="004C63E4">
        <w:rPr>
          <w:color w:val="000000" w:themeColor="text1"/>
          <w:kern w:val="32"/>
          <w:sz w:val="20"/>
          <w:szCs w:val="20"/>
          <w:lang w:val="en-US"/>
        </w:rPr>
        <w:t>.</w:t>
      </w:r>
    </w:p>
  </w:endnote>
  <w:endnote w:id="62">
    <w:p w14:paraId="71CFEA7A" w14:textId="77777777" w:rsidR="008E46FC" w:rsidRPr="008105A9" w:rsidRDefault="008E46FC" w:rsidP="008E46FC">
      <w:pPr>
        <w:pStyle w:val="NormalWeb"/>
        <w:spacing w:before="0" w:beforeAutospacing="0" w:after="0" w:afterAutospacing="0"/>
        <w:contextualSpacing/>
        <w:rPr>
          <w:lang w:val="en-US"/>
        </w:rPr>
      </w:pPr>
      <w:r w:rsidRPr="00227604">
        <w:rPr>
          <w:rStyle w:val="EndnoteReference"/>
        </w:rPr>
        <w:endnoteRef/>
      </w:r>
      <w:r w:rsidRPr="00227604">
        <w:t xml:space="preserve"> </w:t>
      </w:r>
      <w:r w:rsidRPr="008105A9">
        <w:rPr>
          <w:color w:val="000000" w:themeColor="text1"/>
          <w:kern w:val="32"/>
          <w:sz w:val="20"/>
          <w:szCs w:val="20"/>
          <w:lang w:val="en-US"/>
        </w:rPr>
        <w:t>Waldron, ‘Human Dignity’, 13.</w:t>
      </w:r>
    </w:p>
  </w:endnote>
  <w:endnote w:id="63">
    <w:p w14:paraId="440A144C" w14:textId="091B109B" w:rsidR="007A4DF1" w:rsidRPr="00044FA3" w:rsidRDefault="007A4DF1" w:rsidP="00F650D2">
      <w:pPr>
        <w:pStyle w:val="EndnoteText"/>
      </w:pPr>
      <w:r w:rsidRPr="0011217B">
        <w:rPr>
          <w:rStyle w:val="EndnoteReference"/>
        </w:rPr>
        <w:endnoteRef/>
      </w:r>
      <w:r w:rsidRPr="00044FA3">
        <w:t xml:space="preserve"> Zolo, </w:t>
      </w:r>
      <w:r w:rsidR="00BC7853" w:rsidRPr="00044FA3">
        <w:t>‘La Strategia’</w:t>
      </w:r>
      <w:r w:rsidRPr="00044FA3">
        <w:t>, 41.</w:t>
      </w:r>
    </w:p>
  </w:endnote>
  <w:endnote w:id="64">
    <w:p w14:paraId="51B97F6D" w14:textId="6E58D0F7" w:rsidR="007A4DF1" w:rsidRPr="002F0AD1" w:rsidRDefault="007A4DF1" w:rsidP="00F650D2">
      <w:pPr>
        <w:pStyle w:val="EndnoteText"/>
      </w:pPr>
      <w:r w:rsidRPr="0011217B">
        <w:rPr>
          <w:rStyle w:val="EndnoteReference"/>
        </w:rPr>
        <w:endnoteRef/>
      </w:r>
      <w:r w:rsidRPr="002F0AD1">
        <w:t xml:space="preserve"> </w:t>
      </w:r>
      <w:r w:rsidR="007956A0" w:rsidRPr="008B0D09">
        <w:t xml:space="preserve">Zolo, </w:t>
      </w:r>
      <w:r w:rsidR="007956A0">
        <w:t>‘</w:t>
      </w:r>
      <w:r w:rsidR="007956A0" w:rsidRPr="0011217B">
        <w:t>La Strategia</w:t>
      </w:r>
      <w:r w:rsidR="007956A0">
        <w:t>’</w:t>
      </w:r>
      <w:r w:rsidR="007956A0" w:rsidRPr="008B0D09">
        <w:t>, 41.</w:t>
      </w:r>
    </w:p>
  </w:endnote>
  <w:endnote w:id="65">
    <w:p w14:paraId="553821FF" w14:textId="5E27510A" w:rsidR="00F06AC5" w:rsidRPr="00227604" w:rsidRDefault="00F06AC5">
      <w:pPr>
        <w:pStyle w:val="EndnoteText"/>
        <w:rPr>
          <w:lang w:val="en-US"/>
        </w:rPr>
      </w:pPr>
      <w:r>
        <w:rPr>
          <w:rStyle w:val="EndnoteReference"/>
        </w:rPr>
        <w:endnoteRef/>
      </w:r>
      <w:r w:rsidRPr="00227604">
        <w:rPr>
          <w:lang w:val="en-US"/>
        </w:rPr>
        <w:t xml:space="preserve"> </w:t>
      </w:r>
      <w:r>
        <w:rPr>
          <w:lang w:val="en-US"/>
        </w:rPr>
        <w:t xml:space="preserve">Arendt, </w:t>
      </w:r>
      <w:r w:rsidR="00924D4D" w:rsidRPr="008B0D09">
        <w:rPr>
          <w:i/>
          <w:iCs/>
          <w:color w:val="000000" w:themeColor="text1"/>
          <w:lang w:val="en-US"/>
        </w:rPr>
        <w:t>The Origins</w:t>
      </w:r>
      <w:r w:rsidR="00924D4D">
        <w:rPr>
          <w:i/>
          <w:iCs/>
          <w:color w:val="000000" w:themeColor="text1"/>
          <w:lang w:val="en-US"/>
        </w:rPr>
        <w:t xml:space="preserve"> </w:t>
      </w:r>
      <w:r w:rsidR="00924D4D" w:rsidRPr="008B0D09">
        <w:rPr>
          <w:i/>
          <w:iCs/>
          <w:color w:val="000000" w:themeColor="text1"/>
          <w:lang w:val="en-US"/>
        </w:rPr>
        <w:t>of Totalitarianism</w:t>
      </w:r>
      <w:r>
        <w:rPr>
          <w:lang w:val="en-US"/>
        </w:rPr>
        <w:t>, 267 et sq.</w:t>
      </w:r>
    </w:p>
  </w:endnote>
  <w:endnote w:id="66">
    <w:p w14:paraId="654D2601" w14:textId="77777777" w:rsidR="002D3D8B" w:rsidRPr="009E4179" w:rsidRDefault="002D3D8B" w:rsidP="002D3D8B">
      <w:pPr>
        <w:pStyle w:val="EndnoteText"/>
        <w:rPr>
          <w:lang w:val="en-US"/>
        </w:rPr>
      </w:pPr>
      <w:r>
        <w:rPr>
          <w:rStyle w:val="EndnoteReference"/>
        </w:rPr>
        <w:endnoteRef/>
      </w:r>
      <w:r w:rsidRPr="009E4179">
        <w:rPr>
          <w:lang w:val="en-US"/>
        </w:rPr>
        <w:t xml:space="preserve"> </w:t>
      </w:r>
      <w:r>
        <w:rPr>
          <w:lang w:val="en-US"/>
        </w:rPr>
        <w:t xml:space="preserve">See M. Foucault, </w:t>
      </w:r>
      <w:r w:rsidRPr="009E4179">
        <w:rPr>
          <w:i/>
          <w:iCs/>
          <w:lang w:val="en-US"/>
        </w:rPr>
        <w:t>The Archeology of Knowledge and the Discourse on Language</w:t>
      </w:r>
      <w:r>
        <w:rPr>
          <w:lang w:val="en-US"/>
        </w:rPr>
        <w:t xml:space="preserve"> (Pantheon Books, 1972).</w:t>
      </w:r>
    </w:p>
  </w:endnote>
  <w:endnote w:id="67">
    <w:p w14:paraId="545A4DF1" w14:textId="255CCC9E"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Pr="0043169B">
        <w:rPr>
          <w:rFonts w:eastAsiaTheme="minorHAnsi"/>
          <w:color w:val="000000" w:themeColor="text1"/>
          <w:lang w:val="en-US"/>
        </w:rPr>
        <w:t xml:space="preserve">B. Çali, </w:t>
      </w:r>
      <w:r w:rsidRPr="0043169B">
        <w:rPr>
          <w:rFonts w:eastAsiaTheme="minorHAnsi"/>
          <w:i/>
          <w:iCs/>
          <w:color w:val="000000" w:themeColor="text1"/>
          <w:lang w:val="en-US"/>
        </w:rPr>
        <w:t>The Authority of International Law: Obedience, Respect, and Rebuttal</w:t>
      </w:r>
      <w:r w:rsidRPr="0043169B">
        <w:rPr>
          <w:rFonts w:eastAsiaTheme="minorHAnsi"/>
          <w:color w:val="000000" w:themeColor="text1"/>
          <w:lang w:val="en-US"/>
        </w:rPr>
        <w:t xml:space="preserve"> (Oxford University Press, 2015), 11.</w:t>
      </w:r>
    </w:p>
  </w:endnote>
  <w:endnote w:id="68">
    <w:p w14:paraId="592AD333" w14:textId="5C3854AA" w:rsidR="007A4DF1" w:rsidRPr="002F0AD1" w:rsidRDefault="007A4DF1" w:rsidP="00F650D2">
      <w:pPr>
        <w:pStyle w:val="EndnoteText"/>
        <w:rPr>
          <w:lang w:val="en-US"/>
        </w:rPr>
      </w:pPr>
      <w:r w:rsidRPr="00F650D2">
        <w:rPr>
          <w:rStyle w:val="EndnoteReference"/>
        </w:rPr>
        <w:endnoteRef/>
      </w:r>
      <w:r w:rsidRPr="002F0AD1">
        <w:rPr>
          <w:lang w:val="en-US"/>
        </w:rPr>
        <w:t xml:space="preserve"> Marshall, </w:t>
      </w:r>
      <w:r w:rsidR="0016146E" w:rsidRPr="008B0D09">
        <w:rPr>
          <w:i/>
          <w:iCs/>
          <w:lang w:val="en-US"/>
        </w:rPr>
        <w:t>Citizenship</w:t>
      </w:r>
      <w:r w:rsidR="0016146E">
        <w:rPr>
          <w:i/>
          <w:iCs/>
          <w:lang w:val="en-US"/>
        </w:rPr>
        <w:t xml:space="preserve"> and Social Class</w:t>
      </w:r>
      <w:r w:rsidRPr="002F0AD1">
        <w:rPr>
          <w:lang w:val="en-US"/>
        </w:rPr>
        <w:t>, 28.</w:t>
      </w:r>
    </w:p>
  </w:endnote>
  <w:endnote w:id="69">
    <w:p w14:paraId="609C616F" w14:textId="3E441757" w:rsidR="004B41F9" w:rsidRPr="00F650D2" w:rsidRDefault="004B41F9" w:rsidP="004B41F9">
      <w:pPr>
        <w:rPr>
          <w:sz w:val="20"/>
          <w:szCs w:val="20"/>
        </w:rPr>
      </w:pPr>
      <w:r w:rsidRPr="00F650D2">
        <w:rPr>
          <w:rStyle w:val="EndnoteReference"/>
          <w:sz w:val="20"/>
          <w:szCs w:val="20"/>
        </w:rPr>
        <w:endnoteRef/>
      </w:r>
      <w:r w:rsidRPr="00F650D2">
        <w:rPr>
          <w:sz w:val="20"/>
          <w:szCs w:val="20"/>
        </w:rPr>
        <w:t xml:space="preserve"> Zolo, </w:t>
      </w:r>
      <w:r w:rsidR="00BC7853">
        <w:rPr>
          <w:sz w:val="20"/>
          <w:szCs w:val="20"/>
        </w:rPr>
        <w:t>‘</w:t>
      </w:r>
      <w:r w:rsidR="00BC7853" w:rsidRPr="0011217B">
        <w:rPr>
          <w:sz w:val="20"/>
          <w:szCs w:val="20"/>
        </w:rPr>
        <w:t>La Strategia</w:t>
      </w:r>
      <w:r w:rsidR="00BC7853">
        <w:rPr>
          <w:sz w:val="20"/>
          <w:szCs w:val="20"/>
        </w:rPr>
        <w:t>’</w:t>
      </w:r>
      <w:r w:rsidRPr="002B2EC4">
        <w:rPr>
          <w:sz w:val="20"/>
          <w:szCs w:val="20"/>
        </w:rPr>
        <w:t>,</w:t>
      </w:r>
      <w:r w:rsidRPr="00F650D2">
        <w:rPr>
          <w:sz w:val="20"/>
          <w:szCs w:val="20"/>
        </w:rPr>
        <w:t xml:space="preserve"> 27. </w:t>
      </w:r>
    </w:p>
  </w:endnote>
  <w:endnote w:id="70">
    <w:p w14:paraId="70CBDD8A" w14:textId="246B3C7E" w:rsidR="00105E8D" w:rsidRPr="0026543D" w:rsidRDefault="00105E8D" w:rsidP="00105E8D">
      <w:pPr>
        <w:rPr>
          <w:sz w:val="20"/>
          <w:szCs w:val="20"/>
        </w:rPr>
      </w:pPr>
      <w:r w:rsidRPr="00F650D2">
        <w:rPr>
          <w:rStyle w:val="EndnoteReference"/>
          <w:sz w:val="20"/>
          <w:szCs w:val="20"/>
        </w:rPr>
        <w:endnoteRef/>
      </w:r>
      <w:r w:rsidRPr="0026543D">
        <w:rPr>
          <w:sz w:val="20"/>
          <w:szCs w:val="20"/>
        </w:rPr>
        <w:t xml:space="preserve"> Waldron, ‘Human Dignity’, 13.</w:t>
      </w:r>
    </w:p>
  </w:endnote>
  <w:endnote w:id="71">
    <w:p w14:paraId="0D803CCC" w14:textId="78C62BC8" w:rsidR="007A4DF1" w:rsidRPr="00105E8D" w:rsidRDefault="007A4DF1" w:rsidP="00F650D2">
      <w:pPr>
        <w:pStyle w:val="EndnoteText"/>
        <w:rPr>
          <w:lang w:val="en-US"/>
        </w:rPr>
      </w:pPr>
      <w:r w:rsidRPr="00F650D2">
        <w:rPr>
          <w:rStyle w:val="EndnoteReference"/>
        </w:rPr>
        <w:endnoteRef/>
      </w:r>
      <w:r w:rsidRPr="00105E8D">
        <w:rPr>
          <w:lang w:val="en-US"/>
        </w:rPr>
        <w:t xml:space="preserve"> Francioni, </w:t>
      </w:r>
      <w:r w:rsidR="00BC7853" w:rsidRPr="00105E8D">
        <w:rPr>
          <w:i/>
          <w:iCs/>
          <w:lang w:val="en-US"/>
        </w:rPr>
        <w:t>Access to Justice</w:t>
      </w:r>
      <w:r w:rsidRPr="00105E8D">
        <w:rPr>
          <w:lang w:val="en-US"/>
        </w:rPr>
        <w:t>, 70.</w:t>
      </w:r>
    </w:p>
  </w:endnote>
  <w:endnote w:id="72">
    <w:p w14:paraId="1A328D6E" w14:textId="75CF03C6" w:rsidR="007A4DF1" w:rsidRPr="002F0AD1" w:rsidRDefault="007A4DF1" w:rsidP="00F650D2">
      <w:pPr>
        <w:pStyle w:val="EndnoteText"/>
        <w:rPr>
          <w:lang w:val="en-US"/>
        </w:rPr>
      </w:pPr>
      <w:r w:rsidRPr="00F650D2">
        <w:rPr>
          <w:rStyle w:val="EndnoteReference"/>
        </w:rPr>
        <w:endnoteRef/>
      </w:r>
      <w:r w:rsidRPr="002F0AD1">
        <w:rPr>
          <w:lang w:val="en-US"/>
        </w:rPr>
        <w:t xml:space="preserve"> </w:t>
      </w:r>
      <w:r w:rsidRPr="002F0AD1">
        <w:rPr>
          <w:rFonts w:eastAsiaTheme="minorHAnsi"/>
          <w:color w:val="000000" w:themeColor="text1"/>
          <w:lang w:val="en-US"/>
        </w:rPr>
        <w:t xml:space="preserve">Çali, </w:t>
      </w:r>
      <w:r w:rsidR="0094310F" w:rsidRPr="0043169B">
        <w:rPr>
          <w:rFonts w:eastAsiaTheme="minorHAnsi"/>
          <w:i/>
          <w:iCs/>
          <w:color w:val="000000" w:themeColor="text1"/>
          <w:lang w:val="en-US"/>
        </w:rPr>
        <w:t>The Authority</w:t>
      </w:r>
      <w:r w:rsidR="0094310F">
        <w:rPr>
          <w:rFonts w:eastAsiaTheme="minorHAnsi"/>
          <w:i/>
          <w:iCs/>
          <w:color w:val="000000" w:themeColor="text1"/>
          <w:lang w:val="en-US"/>
        </w:rPr>
        <w:t xml:space="preserve"> </w:t>
      </w:r>
      <w:r w:rsidR="0094310F" w:rsidRPr="0043169B">
        <w:rPr>
          <w:rFonts w:eastAsiaTheme="minorHAnsi"/>
          <w:i/>
          <w:iCs/>
          <w:color w:val="000000" w:themeColor="text1"/>
          <w:lang w:val="en-US"/>
        </w:rPr>
        <w:t>of International Law</w:t>
      </w:r>
      <w:r w:rsidR="0094310F">
        <w:rPr>
          <w:rFonts w:eastAsiaTheme="minorHAnsi"/>
          <w:i/>
          <w:iCs/>
          <w:color w:val="000000" w:themeColor="text1"/>
          <w:lang w:val="en-US"/>
        </w:rPr>
        <w:t>.</w:t>
      </w:r>
    </w:p>
  </w:endnote>
  <w:endnote w:id="73">
    <w:p w14:paraId="48EA48EF" w14:textId="1062B98E" w:rsidR="007A4DF1" w:rsidRPr="0043169B" w:rsidRDefault="007A4DF1" w:rsidP="00F650D2">
      <w:pPr>
        <w:pStyle w:val="EndnoteText"/>
        <w:rPr>
          <w:lang w:val="en-US"/>
        </w:rPr>
      </w:pPr>
      <w:r w:rsidRPr="00F650D2">
        <w:rPr>
          <w:rStyle w:val="EndnoteReference"/>
        </w:rPr>
        <w:endnoteRef/>
      </w:r>
      <w:r w:rsidRPr="0043169B">
        <w:rPr>
          <w:lang w:val="en-US"/>
        </w:rPr>
        <w:t xml:space="preserve"> H. Hammargren, ‘For We, the Peoples…’, </w:t>
      </w:r>
      <w:r w:rsidRPr="0043169B">
        <w:rPr>
          <w:i/>
          <w:iCs/>
          <w:lang w:val="en-US"/>
        </w:rPr>
        <w:t>UN Chronicle</w:t>
      </w:r>
      <w:r w:rsidRPr="0043169B">
        <w:rPr>
          <w:lang w:val="en-US"/>
        </w:rPr>
        <w:t xml:space="preserve">, available at </w:t>
      </w:r>
      <w:hyperlink r:id="rId3" w:history="1">
        <w:r w:rsidRPr="0043169B">
          <w:rPr>
            <w:rStyle w:val="Hyperlink"/>
            <w:lang w:val="en-US"/>
          </w:rPr>
          <w:t>https://www.un.org/en/chronicle/article/we-peoples</w:t>
        </w:r>
      </w:hyperlink>
      <w:r w:rsidRPr="0043169B">
        <w:rPr>
          <w:lang w:val="en-US"/>
        </w:rPr>
        <w:t xml:space="preserve">, last accessed </w:t>
      </w:r>
      <w:r w:rsidR="005701BA">
        <w:rPr>
          <w:lang w:val="en-US"/>
        </w:rPr>
        <w:t>6 June 2022</w:t>
      </w:r>
      <w:r w:rsidRPr="0043169B">
        <w:rPr>
          <w:lang w:val="en-US"/>
        </w:rPr>
        <w:t>.</w:t>
      </w:r>
    </w:p>
  </w:endnote>
  <w:endnote w:id="74">
    <w:p w14:paraId="18918F27" w14:textId="6EC1E830" w:rsidR="00A12297" w:rsidRPr="00227604" w:rsidRDefault="00A12297">
      <w:pPr>
        <w:pStyle w:val="EndnoteText"/>
        <w:rPr>
          <w:lang w:val="en-US"/>
        </w:rPr>
      </w:pPr>
      <w:r>
        <w:rPr>
          <w:rStyle w:val="EndnoteReference"/>
        </w:rPr>
        <w:endnoteRef/>
      </w:r>
      <w:r w:rsidRPr="00227604">
        <w:rPr>
          <w:lang w:val="en-US"/>
        </w:rPr>
        <w:t xml:space="preserve"> </w:t>
      </w:r>
      <w:r w:rsidR="00924D4D" w:rsidRPr="00227604">
        <w:rPr>
          <w:color w:val="000000" w:themeColor="text1"/>
          <w:shd w:val="clear" w:color="auto" w:fill="FFFFFF"/>
          <w:lang w:val="en-US"/>
        </w:rPr>
        <w:t>Roberts</w:t>
      </w:r>
      <w:r w:rsidR="00924D4D">
        <w:rPr>
          <w:color w:val="000000" w:themeColor="text1"/>
          <w:shd w:val="clear" w:color="auto" w:fill="FFFFFF"/>
          <w:lang w:val="en-US"/>
        </w:rPr>
        <w:t xml:space="preserve">, </w:t>
      </w:r>
      <w:r w:rsidR="00924D4D" w:rsidRPr="008B0D09">
        <w:rPr>
          <w:i/>
          <w:iCs/>
          <w:color w:val="000000" w:themeColor="text1"/>
          <w:shd w:val="clear" w:color="auto" w:fill="FFFFFF"/>
          <w:lang w:val="en-US"/>
        </w:rPr>
        <w:t>International Law</w:t>
      </w:r>
      <w:r w:rsidR="00924D4D">
        <w:rPr>
          <w:color w:val="000000" w:themeColor="text1"/>
          <w:shd w:val="clear" w:color="auto" w:fill="FFFFFF"/>
          <w:lang w:val="en-US"/>
        </w:rPr>
        <w:t>.</w:t>
      </w:r>
    </w:p>
  </w:endnote>
  <w:endnote w:id="75">
    <w:p w14:paraId="366DF0C2" w14:textId="36752B58" w:rsidR="007A4DF1" w:rsidRPr="0043169B" w:rsidRDefault="007A4DF1" w:rsidP="00F650D2">
      <w:pPr>
        <w:pStyle w:val="EndnoteText"/>
        <w:rPr>
          <w:lang w:val="en-US"/>
        </w:rPr>
      </w:pPr>
      <w:r w:rsidRPr="00F650D2">
        <w:rPr>
          <w:rStyle w:val="EndnoteReference"/>
        </w:rPr>
        <w:endnoteRef/>
      </w:r>
      <w:r w:rsidRPr="0043169B">
        <w:rPr>
          <w:lang w:val="en-US"/>
        </w:rPr>
        <w:t xml:space="preserve"> T. Aquinas; </w:t>
      </w:r>
      <w:r w:rsidRPr="0043169B">
        <w:rPr>
          <w:i/>
          <w:iCs/>
          <w:lang w:val="en-US"/>
        </w:rPr>
        <w:t>Summa Theologiae</w:t>
      </w:r>
      <w:r w:rsidRPr="0043169B">
        <w:rPr>
          <w:lang w:val="en-US"/>
        </w:rPr>
        <w:t xml:space="preserve"> II-II, 57, 1, available at </w:t>
      </w:r>
      <w:hyperlink r:id="rId4" w:anchor="article1" w:history="1">
        <w:r w:rsidRPr="0043169B">
          <w:rPr>
            <w:rStyle w:val="Hyperlink"/>
            <w:lang w:val="en-US"/>
          </w:rPr>
          <w:t>https://www.newadvent.org/summa/3057.htm#article1</w:t>
        </w:r>
      </w:hyperlink>
      <w:r w:rsidRPr="0043169B">
        <w:rPr>
          <w:lang w:val="en-US"/>
        </w:rPr>
        <w:t xml:space="preserve">, last accessed </w:t>
      </w:r>
      <w:r w:rsidR="005701BA">
        <w:rPr>
          <w:lang w:val="en-US"/>
        </w:rPr>
        <w:t>6 June 2022</w:t>
      </w:r>
      <w:r w:rsidRPr="0043169B">
        <w:rPr>
          <w:lang w:val="en-US"/>
        </w:rPr>
        <w:t>.</w:t>
      </w:r>
    </w:p>
  </w:endnote>
  <w:endnote w:id="76">
    <w:p w14:paraId="32BA14D3" w14:textId="1FF576F2" w:rsidR="007A4DF1" w:rsidRPr="002F0AD1" w:rsidRDefault="007A4DF1" w:rsidP="00F650D2">
      <w:pPr>
        <w:pStyle w:val="EndnoteText"/>
      </w:pPr>
      <w:r w:rsidRPr="00F650D2">
        <w:rPr>
          <w:rStyle w:val="EndnoteReference"/>
        </w:rPr>
        <w:endnoteRef/>
      </w:r>
      <w:r w:rsidRPr="002F0AD1">
        <w:t xml:space="preserve"> </w:t>
      </w:r>
      <w:r w:rsidR="00924D4D" w:rsidRPr="002F0AD1">
        <w:t xml:space="preserve">Aquinas; </w:t>
      </w:r>
      <w:r w:rsidR="00924D4D" w:rsidRPr="002F0AD1">
        <w:rPr>
          <w:i/>
          <w:iCs/>
        </w:rPr>
        <w:t xml:space="preserve">Summa Theologiae </w:t>
      </w:r>
      <w:r w:rsidR="00924D4D" w:rsidRPr="002F0AD1">
        <w:t>II-II, 57, 1</w:t>
      </w:r>
      <w:r w:rsidR="00924D4D">
        <w:t>.</w:t>
      </w:r>
    </w:p>
  </w:endnote>
  <w:endnote w:id="77">
    <w:p w14:paraId="27BDAE08" w14:textId="26E0DEFC" w:rsidR="007A4DF1" w:rsidRPr="002F0AD1" w:rsidRDefault="007A4DF1" w:rsidP="00F650D2">
      <w:pPr>
        <w:pStyle w:val="EndnoteText"/>
      </w:pPr>
      <w:r w:rsidRPr="00F650D2">
        <w:rPr>
          <w:rStyle w:val="EndnoteReference"/>
        </w:rPr>
        <w:endnoteRef/>
      </w:r>
      <w:r w:rsidRPr="002F0AD1">
        <w:t xml:space="preserve"> </w:t>
      </w:r>
      <w:r w:rsidR="00924D4D" w:rsidRPr="008B0D09">
        <w:t xml:space="preserve">Aquinas; </w:t>
      </w:r>
      <w:r w:rsidR="00924D4D" w:rsidRPr="008B0D09">
        <w:rPr>
          <w:i/>
          <w:iCs/>
        </w:rPr>
        <w:t xml:space="preserve">Summa Theologiae </w:t>
      </w:r>
      <w:r w:rsidR="00924D4D" w:rsidRPr="008B0D09">
        <w:t>II-II, 57, 1</w:t>
      </w:r>
      <w:r w:rsidR="00924D4D">
        <w:t>.</w:t>
      </w:r>
      <w:r w:rsidR="00924D4D" w:rsidRPr="00924D4D">
        <w:t xml:space="preserve"> </w:t>
      </w:r>
    </w:p>
  </w:endnote>
  <w:endnote w:id="78">
    <w:p w14:paraId="32CA3868" w14:textId="24EF0A54" w:rsidR="007A4DF1" w:rsidRPr="0043169B" w:rsidRDefault="007A4DF1" w:rsidP="00F650D2">
      <w:pPr>
        <w:pStyle w:val="EndnoteText"/>
        <w:rPr>
          <w:lang w:val="en-US"/>
        </w:rPr>
      </w:pPr>
      <w:r w:rsidRPr="00F650D2">
        <w:rPr>
          <w:rStyle w:val="EndnoteReference"/>
        </w:rPr>
        <w:endnoteRef/>
      </w:r>
      <w:r w:rsidRPr="0043169B">
        <w:rPr>
          <w:lang w:val="en-US"/>
        </w:rPr>
        <w:t xml:space="preserve"> T. Aquinas, </w:t>
      </w:r>
      <w:r w:rsidRPr="0043169B">
        <w:rPr>
          <w:i/>
          <w:iCs/>
          <w:lang w:val="en-US"/>
        </w:rPr>
        <w:t>Summa Theologiae</w:t>
      </w:r>
      <w:r w:rsidRPr="0043169B">
        <w:rPr>
          <w:lang w:val="en-US"/>
        </w:rPr>
        <w:t xml:space="preserve"> I-II, q. 95, 2, 2, available at </w:t>
      </w:r>
      <w:hyperlink r:id="rId5" w:history="1">
        <w:r w:rsidRPr="0043169B">
          <w:rPr>
            <w:rStyle w:val="Hyperlink"/>
            <w:lang w:val="en-US"/>
          </w:rPr>
          <w:t>https://www.newadvent.org/summa/2095.htm</w:t>
        </w:r>
      </w:hyperlink>
      <w:r w:rsidRPr="0043169B">
        <w:rPr>
          <w:lang w:val="en-US"/>
        </w:rPr>
        <w:t xml:space="preserve">, last accessed </w:t>
      </w:r>
      <w:r w:rsidR="005701BA">
        <w:rPr>
          <w:lang w:val="en-US"/>
        </w:rPr>
        <w:t>6 June 2022</w:t>
      </w:r>
      <w:r w:rsidRPr="0043169B">
        <w:rPr>
          <w:lang w:val="en-US"/>
        </w:rPr>
        <w:t xml:space="preserve">. See also </w:t>
      </w:r>
      <w:r w:rsidRPr="0043169B">
        <w:rPr>
          <w:color w:val="000000" w:themeColor="text1"/>
          <w:lang w:val="en-US"/>
        </w:rPr>
        <w:t xml:space="preserve">J. Finnis, </w:t>
      </w:r>
      <w:r w:rsidRPr="0043169B">
        <w:rPr>
          <w:i/>
          <w:color w:val="000000" w:themeColor="text1"/>
          <w:lang w:val="en-US"/>
        </w:rPr>
        <w:t>Natural Law and Natural Rights</w:t>
      </w:r>
      <w:r w:rsidRPr="0043169B">
        <w:rPr>
          <w:color w:val="000000" w:themeColor="text1"/>
          <w:lang w:val="en-US"/>
        </w:rPr>
        <w:t xml:space="preserve"> (Oxford University Press, 2nd ed 2011)</w:t>
      </w:r>
      <w:r w:rsidRPr="0043169B">
        <w:rPr>
          <w:lang w:val="en-US"/>
        </w:rPr>
        <w:t>, 284.</w:t>
      </w:r>
    </w:p>
  </w:endnote>
  <w:endnote w:id="79">
    <w:p w14:paraId="12E2BCE9" w14:textId="18586AA9" w:rsidR="007A4DF1" w:rsidRPr="002F0AD1" w:rsidRDefault="007A4DF1" w:rsidP="00F650D2">
      <w:pPr>
        <w:pStyle w:val="EndnoteText"/>
        <w:rPr>
          <w:lang w:val="en-US"/>
        </w:rPr>
      </w:pPr>
      <w:r w:rsidRPr="00F650D2">
        <w:rPr>
          <w:rStyle w:val="EndnoteReference"/>
        </w:rPr>
        <w:endnoteRef/>
      </w:r>
      <w:r w:rsidRPr="002F0AD1">
        <w:rPr>
          <w:lang w:val="en-US"/>
        </w:rPr>
        <w:t xml:space="preserve"> </w:t>
      </w:r>
      <w:r w:rsidR="00924D4D" w:rsidRPr="0043169B">
        <w:rPr>
          <w:lang w:val="en-US"/>
        </w:rPr>
        <w:t xml:space="preserve">Aquinas, </w:t>
      </w:r>
      <w:r w:rsidR="00924D4D" w:rsidRPr="0043169B">
        <w:rPr>
          <w:i/>
          <w:iCs/>
          <w:lang w:val="en-US"/>
        </w:rPr>
        <w:t>Summa Theologiae</w:t>
      </w:r>
      <w:r w:rsidR="00924D4D" w:rsidRPr="0043169B">
        <w:rPr>
          <w:lang w:val="en-US"/>
        </w:rPr>
        <w:t xml:space="preserve"> I-II, q. 95, 2</w:t>
      </w:r>
      <w:r w:rsidR="00924D4D">
        <w:rPr>
          <w:lang w:val="en-US"/>
        </w:rPr>
        <w:t>.</w:t>
      </w:r>
    </w:p>
  </w:endnote>
  <w:endnote w:id="80">
    <w:p w14:paraId="1F75E2EE" w14:textId="13008EA5" w:rsidR="007A4DF1" w:rsidRPr="002F0AD1" w:rsidRDefault="007A4DF1" w:rsidP="00F650D2">
      <w:pPr>
        <w:pStyle w:val="EndnoteText"/>
        <w:rPr>
          <w:lang w:val="en-US"/>
        </w:rPr>
      </w:pPr>
      <w:r w:rsidRPr="00F650D2">
        <w:rPr>
          <w:rStyle w:val="EndnoteReference"/>
        </w:rPr>
        <w:endnoteRef/>
      </w:r>
      <w:r w:rsidRPr="002F0AD1">
        <w:rPr>
          <w:lang w:val="en-US"/>
        </w:rPr>
        <w:t xml:space="preserve"> </w:t>
      </w:r>
      <w:r w:rsidR="00924D4D" w:rsidRPr="0043169B">
        <w:rPr>
          <w:lang w:val="en-US"/>
        </w:rPr>
        <w:t xml:space="preserve">Aquinas, </w:t>
      </w:r>
      <w:r w:rsidR="00924D4D" w:rsidRPr="0043169B">
        <w:rPr>
          <w:i/>
          <w:iCs/>
          <w:lang w:val="en-US"/>
        </w:rPr>
        <w:t>Summa Theologiae</w:t>
      </w:r>
      <w:r w:rsidR="00924D4D" w:rsidRPr="0043169B">
        <w:rPr>
          <w:lang w:val="en-US"/>
        </w:rPr>
        <w:t xml:space="preserve"> I-II, q. 95, 2</w:t>
      </w:r>
      <w:r w:rsidR="00924D4D">
        <w:rPr>
          <w:lang w:val="en-US"/>
        </w:rPr>
        <w:t>.</w:t>
      </w:r>
    </w:p>
  </w:endnote>
  <w:endnote w:id="81">
    <w:p w14:paraId="1916FA61" w14:textId="77777777" w:rsidR="00D863C8" w:rsidRPr="00451111" w:rsidRDefault="00D863C8" w:rsidP="00D863C8">
      <w:pPr>
        <w:pStyle w:val="EndnoteText"/>
        <w:rPr>
          <w:lang w:val="en-US"/>
        </w:rPr>
      </w:pPr>
      <w:r w:rsidRPr="00F650D2">
        <w:rPr>
          <w:rStyle w:val="EndnoteReference"/>
        </w:rPr>
        <w:endnoteRef/>
      </w:r>
      <w:r w:rsidRPr="00451111">
        <w:rPr>
          <w:lang w:val="en-US"/>
        </w:rPr>
        <w:t xml:space="preserve"> </w:t>
      </w:r>
      <w:r w:rsidRPr="0043169B">
        <w:rPr>
          <w:lang w:val="en-US"/>
        </w:rPr>
        <w:t>T. H. Marshall</w:t>
      </w:r>
      <w:r>
        <w:rPr>
          <w:lang w:val="en-US"/>
        </w:rPr>
        <w:t xml:space="preserve">, ‘Work and Wealth’ </w:t>
      </w:r>
      <w:r w:rsidRPr="00F92BC3">
        <w:rPr>
          <w:i/>
          <w:iCs/>
          <w:lang w:val="en-US"/>
        </w:rPr>
        <w:t xml:space="preserve">in Class, Citizenship and Social Development: Essays by T. H. Marshall </w:t>
      </w:r>
      <w:r>
        <w:rPr>
          <w:lang w:val="en-US"/>
        </w:rPr>
        <w:t>(with an introduction by S. M. Lipset) (University of Chicago Press, 1977), 237.</w:t>
      </w:r>
    </w:p>
  </w:endnote>
  <w:endnote w:id="82">
    <w:p w14:paraId="219015D6" w14:textId="77777777" w:rsidR="00D863C8" w:rsidRPr="001D41FF" w:rsidRDefault="00D863C8" w:rsidP="00D863C8">
      <w:pPr>
        <w:pStyle w:val="EndnoteText"/>
        <w:rPr>
          <w:lang w:val="en-US"/>
        </w:rPr>
      </w:pPr>
      <w:r w:rsidRPr="00F650D2">
        <w:rPr>
          <w:rStyle w:val="EndnoteReference"/>
        </w:rPr>
        <w:endnoteRef/>
      </w:r>
      <w:r w:rsidRPr="001D41FF">
        <w:rPr>
          <w:lang w:val="en-US"/>
        </w:rPr>
        <w:t xml:space="preserve"> Marshall, </w:t>
      </w:r>
      <w:r>
        <w:rPr>
          <w:lang w:val="en-US"/>
        </w:rPr>
        <w:t>‘Work and Wealth’, 238.</w:t>
      </w:r>
    </w:p>
  </w:endnote>
  <w:endnote w:id="83">
    <w:p w14:paraId="2FA267DE" w14:textId="77777777" w:rsidR="00D863C8" w:rsidRPr="001D41FF" w:rsidRDefault="00D863C8" w:rsidP="00D863C8">
      <w:pPr>
        <w:pStyle w:val="EndnoteText"/>
        <w:rPr>
          <w:lang w:val="en-US"/>
        </w:rPr>
      </w:pPr>
      <w:r w:rsidRPr="00F650D2">
        <w:rPr>
          <w:rStyle w:val="EndnoteReference"/>
        </w:rPr>
        <w:endnoteRef/>
      </w:r>
      <w:r w:rsidRPr="001D41FF">
        <w:rPr>
          <w:lang w:val="en-US"/>
        </w:rPr>
        <w:t xml:space="preserve"> </w:t>
      </w:r>
      <w:r w:rsidRPr="007956A0">
        <w:rPr>
          <w:lang w:val="en-US"/>
        </w:rPr>
        <w:t xml:space="preserve">Moses, </w:t>
      </w:r>
      <w:r w:rsidRPr="002F0AD1">
        <w:rPr>
          <w:lang w:val="en-US"/>
        </w:rPr>
        <w:t>‘</w:t>
      </w:r>
      <w:r w:rsidRPr="00227604">
        <w:rPr>
          <w:lang w:val="en-US"/>
        </w:rPr>
        <w:t>Social Citizenship</w:t>
      </w:r>
      <w:r>
        <w:rPr>
          <w:lang w:val="en-US"/>
        </w:rPr>
        <w:t>’, 168.</w:t>
      </w:r>
    </w:p>
  </w:endnote>
  <w:endnote w:id="84">
    <w:p w14:paraId="2143A6BF" w14:textId="3794BA1D" w:rsidR="00873A7A" w:rsidRPr="001D41FF" w:rsidRDefault="00873A7A" w:rsidP="00873A7A">
      <w:pPr>
        <w:pStyle w:val="EndnoteText"/>
        <w:rPr>
          <w:lang w:val="en-US"/>
        </w:rPr>
      </w:pPr>
      <w:r w:rsidRPr="00F650D2">
        <w:rPr>
          <w:rStyle w:val="EndnoteReference"/>
        </w:rPr>
        <w:endnoteRef/>
      </w:r>
      <w:r w:rsidRPr="001D41FF">
        <w:rPr>
          <w:lang w:val="en-US"/>
        </w:rPr>
        <w:t xml:space="preserve"> </w:t>
      </w:r>
      <w:r w:rsidRPr="00873A7A">
        <w:rPr>
          <w:bCs/>
          <w:lang w:val="en-GB"/>
        </w:rPr>
        <w:t>T. H. Marshall, ‘The Right to Welfare’, </w:t>
      </w:r>
      <w:r w:rsidRPr="00873A7A">
        <w:rPr>
          <w:bCs/>
          <w:i/>
          <w:iCs/>
          <w:lang w:val="en-GB"/>
        </w:rPr>
        <w:t>The Sociological Review</w:t>
      </w:r>
      <w:r w:rsidRPr="00873A7A">
        <w:rPr>
          <w:bCs/>
          <w:lang w:val="en-GB"/>
        </w:rPr>
        <w:t> 13, no. 3 (1965), 261–72</w:t>
      </w:r>
      <w:r>
        <w:rPr>
          <w:bCs/>
          <w:lang w:val="en-GB"/>
        </w:rPr>
        <w:t>.</w:t>
      </w:r>
    </w:p>
  </w:endnote>
  <w:endnote w:id="85">
    <w:p w14:paraId="75EBE3F9" w14:textId="4C968D2B" w:rsidR="007A4DF1" w:rsidRPr="000727D2" w:rsidRDefault="007A4DF1" w:rsidP="000727D2">
      <w:pPr>
        <w:pStyle w:val="NormalWeb"/>
        <w:spacing w:before="0" w:beforeAutospacing="0" w:after="0" w:afterAutospacing="0"/>
        <w:rPr>
          <w:color w:val="505050"/>
          <w:sz w:val="20"/>
          <w:szCs w:val="20"/>
          <w:lang w:val="en-US"/>
        </w:rPr>
      </w:pPr>
      <w:r w:rsidRPr="00F650D2">
        <w:rPr>
          <w:rStyle w:val="EndnoteReference"/>
          <w:sz w:val="20"/>
          <w:szCs w:val="20"/>
        </w:rPr>
        <w:endnoteRef/>
      </w:r>
      <w:r w:rsidRPr="00F650D2">
        <w:rPr>
          <w:sz w:val="20"/>
          <w:szCs w:val="20"/>
        </w:rPr>
        <w:t xml:space="preserve"> </w:t>
      </w:r>
      <w:r w:rsidRPr="002F0AD1">
        <w:rPr>
          <w:sz w:val="20"/>
          <w:szCs w:val="20"/>
          <w:lang w:val="en-US"/>
        </w:rPr>
        <w:t xml:space="preserve">Francioni, </w:t>
      </w:r>
      <w:r w:rsidR="00196B35" w:rsidRPr="002F0AD1">
        <w:rPr>
          <w:i/>
          <w:iCs/>
          <w:sz w:val="20"/>
          <w:szCs w:val="20"/>
          <w:lang w:val="en-US"/>
        </w:rPr>
        <w:t>Access to Justice</w:t>
      </w:r>
      <w:r w:rsidRPr="002F0AD1">
        <w:rPr>
          <w:sz w:val="20"/>
          <w:szCs w:val="20"/>
          <w:lang w:val="en-US"/>
        </w:rPr>
        <w:t xml:space="preserve">, </w:t>
      </w:r>
      <w:r w:rsidRPr="00F650D2">
        <w:rPr>
          <w:sz w:val="20"/>
          <w:szCs w:val="20"/>
        </w:rPr>
        <w:t>111. See also M. Aksenova,</w:t>
      </w:r>
      <w:r w:rsidRPr="00F650D2">
        <w:rPr>
          <w:sz w:val="20"/>
          <w:szCs w:val="20"/>
          <w:lang w:val="en-US"/>
        </w:rPr>
        <w:t xml:space="preserve"> ‘The Emerging Right to Justice in International Criminal Law’</w:t>
      </w:r>
      <w:r w:rsidRPr="00F650D2">
        <w:rPr>
          <w:sz w:val="20"/>
          <w:szCs w:val="20"/>
        </w:rPr>
        <w:t xml:space="preserve"> in </w:t>
      </w:r>
      <w:r w:rsidRPr="000727D2">
        <w:rPr>
          <w:i/>
          <w:iCs/>
          <w:color w:val="000000" w:themeColor="text1"/>
          <w:sz w:val="20"/>
          <w:szCs w:val="20"/>
        </w:rPr>
        <w:t>M. Scheinin (ed) Human Rights Norms in ‘Other’ International Courts</w:t>
      </w:r>
      <w:r w:rsidRPr="000727D2">
        <w:rPr>
          <w:i/>
          <w:iCs/>
          <w:color w:val="000000" w:themeColor="text1"/>
          <w:sz w:val="20"/>
          <w:szCs w:val="20"/>
          <w:lang w:val="en-US"/>
        </w:rPr>
        <w:t xml:space="preserve"> </w:t>
      </w:r>
      <w:r w:rsidRPr="000727D2">
        <w:rPr>
          <w:color w:val="000000" w:themeColor="text1"/>
          <w:sz w:val="20"/>
          <w:szCs w:val="20"/>
          <w:lang w:val="en-US"/>
        </w:rPr>
        <w:t>(Cambridge University Press, 2019), 132 et sq.</w:t>
      </w:r>
    </w:p>
  </w:endnote>
  <w:endnote w:id="86">
    <w:p w14:paraId="7595C496" w14:textId="3F97122B" w:rsidR="007A4DF1" w:rsidRPr="00F650D2" w:rsidRDefault="007A4DF1" w:rsidP="00F650D2">
      <w:pPr>
        <w:pStyle w:val="NormalWeb"/>
        <w:spacing w:before="0" w:beforeAutospacing="0" w:after="0" w:afterAutospacing="0"/>
        <w:rPr>
          <w:sz w:val="20"/>
          <w:szCs w:val="20"/>
        </w:rPr>
      </w:pPr>
      <w:r w:rsidRPr="00F650D2">
        <w:rPr>
          <w:rStyle w:val="EndnoteReference"/>
          <w:sz w:val="20"/>
          <w:szCs w:val="20"/>
        </w:rPr>
        <w:endnoteRef/>
      </w:r>
      <w:r w:rsidRPr="00F650D2">
        <w:rPr>
          <w:sz w:val="20"/>
          <w:szCs w:val="20"/>
        </w:rPr>
        <w:t xml:space="preserve"> </w:t>
      </w:r>
      <w:r w:rsidR="00924D4D" w:rsidRPr="002F0AD1">
        <w:rPr>
          <w:sz w:val="20"/>
          <w:szCs w:val="20"/>
          <w:lang w:val="en-US"/>
        </w:rPr>
        <w:t xml:space="preserve">Durkheim, </w:t>
      </w:r>
      <w:r w:rsidR="00924D4D" w:rsidRPr="002F0AD1">
        <w:rPr>
          <w:i/>
          <w:iCs/>
          <w:sz w:val="20"/>
          <w:szCs w:val="20"/>
          <w:lang w:val="en-US"/>
        </w:rPr>
        <w:t>The Division of Labour</w:t>
      </w:r>
      <w:r w:rsidR="00540446" w:rsidRPr="00227604">
        <w:rPr>
          <w:sz w:val="20"/>
          <w:szCs w:val="20"/>
          <w:lang w:val="en-US"/>
        </w:rPr>
        <w:t>,</w:t>
      </w:r>
      <w:r w:rsidRPr="00540446">
        <w:rPr>
          <w:sz w:val="20"/>
          <w:szCs w:val="20"/>
        </w:rPr>
        <w:t xml:space="preserve"> </w:t>
      </w:r>
      <w:r w:rsidRPr="00F650D2">
        <w:rPr>
          <w:sz w:val="20"/>
          <w:szCs w:val="20"/>
        </w:rPr>
        <w:t>45.</w:t>
      </w:r>
    </w:p>
  </w:endnote>
  <w:endnote w:id="87">
    <w:p w14:paraId="0DA39586" w14:textId="0827A316" w:rsidR="007A4DF1" w:rsidRPr="00F650D2" w:rsidRDefault="007A4DF1" w:rsidP="00F650D2">
      <w:pPr>
        <w:pStyle w:val="NormalWeb"/>
        <w:spacing w:before="0" w:beforeAutospacing="0" w:after="0" w:afterAutospacing="0"/>
        <w:rPr>
          <w:sz w:val="20"/>
          <w:szCs w:val="20"/>
        </w:rPr>
      </w:pPr>
      <w:r w:rsidRPr="00F650D2">
        <w:rPr>
          <w:rStyle w:val="EndnoteReference"/>
          <w:sz w:val="20"/>
          <w:szCs w:val="20"/>
        </w:rPr>
        <w:endnoteRef/>
      </w:r>
      <w:r w:rsidRPr="00F650D2">
        <w:rPr>
          <w:sz w:val="20"/>
          <w:szCs w:val="20"/>
        </w:rPr>
        <w:t xml:space="preserve"> A. Huneeus, ‘International Criminal Law by Other Means: the Quasi-Criminal Jurisdiction of the Human Rights </w:t>
      </w:r>
      <w:r w:rsidRPr="00293C55">
        <w:rPr>
          <w:sz w:val="20"/>
          <w:szCs w:val="20"/>
        </w:rPr>
        <w:t xml:space="preserve">Courts’, </w:t>
      </w:r>
      <w:r w:rsidRPr="00F650D2">
        <w:rPr>
          <w:i/>
          <w:iCs/>
          <w:sz w:val="20"/>
          <w:szCs w:val="20"/>
          <w:lang w:val="en-US"/>
        </w:rPr>
        <w:t>American Journal of International Law,</w:t>
      </w:r>
      <w:r w:rsidRPr="00293C55">
        <w:rPr>
          <w:sz w:val="20"/>
          <w:szCs w:val="20"/>
        </w:rPr>
        <w:t xml:space="preserve"> Vol. 107 (2013). </w:t>
      </w:r>
    </w:p>
  </w:endnote>
  <w:endnote w:id="88">
    <w:p w14:paraId="57ABDFDD" w14:textId="1746BA04" w:rsidR="007A4DF1" w:rsidRPr="0094310F" w:rsidRDefault="007A4DF1" w:rsidP="00F650D2">
      <w:pPr>
        <w:pStyle w:val="EndnoteText"/>
        <w:rPr>
          <w:lang w:val="en-US"/>
        </w:rPr>
      </w:pPr>
      <w:r w:rsidRPr="00F650D2">
        <w:rPr>
          <w:rStyle w:val="EndnoteReference"/>
        </w:rPr>
        <w:endnoteRef/>
      </w:r>
      <w:r w:rsidRPr="0094310F">
        <w:rPr>
          <w:lang w:val="en-US"/>
        </w:rPr>
        <w:t xml:space="preserve"> Francioni, </w:t>
      </w:r>
      <w:r w:rsidR="00E1444F" w:rsidRPr="0043169B">
        <w:rPr>
          <w:i/>
          <w:iCs/>
          <w:lang w:val="en-US"/>
        </w:rPr>
        <w:t>Access to Justice</w:t>
      </w:r>
      <w:r w:rsidRPr="0094310F">
        <w:rPr>
          <w:lang w:val="en-US"/>
        </w:rPr>
        <w:t xml:space="preserve">, 112. </w:t>
      </w:r>
    </w:p>
  </w:endnote>
  <w:endnote w:id="89">
    <w:p w14:paraId="42C0D061" w14:textId="271E1F1C" w:rsidR="007A4DF1" w:rsidRPr="0094310F" w:rsidRDefault="007A4DF1">
      <w:pPr>
        <w:pStyle w:val="EndnoteText"/>
        <w:rPr>
          <w:lang w:val="en-US"/>
        </w:rPr>
      </w:pPr>
      <w:r>
        <w:rPr>
          <w:rStyle w:val="EndnoteReference"/>
        </w:rPr>
        <w:endnoteRef/>
      </w:r>
      <w:r w:rsidRPr="0094310F">
        <w:rPr>
          <w:lang w:val="en-US"/>
        </w:rPr>
        <w:t xml:space="preserve"> </w:t>
      </w:r>
      <w:r w:rsidR="0094310F" w:rsidRPr="008B0D09">
        <w:rPr>
          <w:lang w:val="en-US"/>
        </w:rPr>
        <w:t xml:space="preserve">Foucault, </w:t>
      </w:r>
      <w:r w:rsidR="0094310F" w:rsidRPr="008B0D09">
        <w:rPr>
          <w:i/>
          <w:iCs/>
          <w:lang w:val="en-US"/>
        </w:rPr>
        <w:t>The Archeology of Knowledge</w:t>
      </w:r>
      <w:r w:rsidR="0094310F">
        <w:rPr>
          <w:i/>
          <w:iCs/>
          <w:lang w:val="en-US"/>
        </w:rPr>
        <w:t>.</w:t>
      </w:r>
      <w:r w:rsidR="0094310F" w:rsidRPr="008B0D09">
        <w:rPr>
          <w:i/>
          <w:iCs/>
          <w:lang w:val="en-US"/>
        </w:rPr>
        <w:t xml:space="preserve"> </w:t>
      </w:r>
    </w:p>
  </w:endnote>
  <w:endnote w:id="90">
    <w:p w14:paraId="38FF160B" w14:textId="637B3D24" w:rsidR="007A4DF1" w:rsidRPr="0043169B" w:rsidRDefault="007A4DF1" w:rsidP="00F650D2">
      <w:pPr>
        <w:pStyle w:val="EndnoteText"/>
        <w:contextualSpacing/>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0094310F">
        <w:rPr>
          <w:i/>
          <w:color w:val="000000" w:themeColor="text1"/>
          <w:lang w:val="en-US"/>
        </w:rPr>
        <w:t>.</w:t>
      </w:r>
    </w:p>
  </w:endnote>
  <w:endnote w:id="91">
    <w:p w14:paraId="4BB7E431" w14:textId="45D55A3C"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Pr="0043169B">
        <w:rPr>
          <w:lang w:val="en-US"/>
        </w:rPr>
        <w:t>, 155.</w:t>
      </w:r>
    </w:p>
  </w:endnote>
  <w:endnote w:id="92">
    <w:p w14:paraId="2CFD7B84" w14:textId="24F38884" w:rsidR="007A4DF1" w:rsidRPr="0043169B" w:rsidRDefault="007A4DF1" w:rsidP="00F650D2">
      <w:pPr>
        <w:pStyle w:val="EndnoteText"/>
        <w:contextualSpacing/>
        <w:jc w:val="both"/>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0094310F" w:rsidRPr="0043169B">
        <w:rPr>
          <w:lang w:val="en-US"/>
        </w:rPr>
        <w:t>, 155.</w:t>
      </w:r>
    </w:p>
  </w:endnote>
  <w:endnote w:id="93">
    <w:p w14:paraId="1D4DD64E" w14:textId="67211CB4" w:rsidR="0057770E" w:rsidRPr="0043169B" w:rsidRDefault="0057770E" w:rsidP="0057770E">
      <w:pPr>
        <w:pStyle w:val="EndnoteText"/>
        <w:contextualSpacing/>
        <w:jc w:val="both"/>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Pr="007956A0">
        <w:rPr>
          <w:lang w:val="en-US"/>
        </w:rPr>
        <w:t xml:space="preserve">Moses, </w:t>
      </w:r>
      <w:r w:rsidRPr="002F0AD1">
        <w:rPr>
          <w:lang w:val="en-US"/>
        </w:rPr>
        <w:t>‘</w:t>
      </w:r>
      <w:r w:rsidRPr="00227604">
        <w:rPr>
          <w:lang w:val="en-US"/>
        </w:rPr>
        <w:t>Social Citizenship</w:t>
      </w:r>
      <w:r>
        <w:rPr>
          <w:lang w:val="en-US"/>
        </w:rPr>
        <w:t xml:space="preserve">’, 170; </w:t>
      </w:r>
      <w:r w:rsidRPr="001D41FF">
        <w:rPr>
          <w:lang w:val="en-US"/>
        </w:rPr>
        <w:t xml:space="preserve">Marshall, </w:t>
      </w:r>
      <w:r>
        <w:rPr>
          <w:lang w:val="en-US"/>
        </w:rPr>
        <w:t>‘Work and Wealth’, 237.</w:t>
      </w:r>
    </w:p>
  </w:endnote>
  <w:endnote w:id="94">
    <w:p w14:paraId="2FCED1FE" w14:textId="55BC4DDD" w:rsidR="0057770E" w:rsidRPr="0043169B" w:rsidRDefault="0057770E" w:rsidP="0057770E">
      <w:pPr>
        <w:pStyle w:val="EndnoteText"/>
        <w:contextualSpacing/>
        <w:jc w:val="both"/>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Pr="001D41FF">
        <w:rPr>
          <w:lang w:val="en-US"/>
        </w:rPr>
        <w:t xml:space="preserve">Marshall, </w:t>
      </w:r>
      <w:r>
        <w:rPr>
          <w:lang w:val="en-US"/>
        </w:rPr>
        <w:t>‘Work and Wealth’, 231.</w:t>
      </w:r>
    </w:p>
  </w:endnote>
  <w:endnote w:id="95">
    <w:p w14:paraId="1378306D" w14:textId="2DC8E5D4" w:rsidR="007A4DF1" w:rsidRPr="0043169B" w:rsidRDefault="007A4DF1" w:rsidP="00F650D2">
      <w:pPr>
        <w:pStyle w:val="EndnoteText"/>
        <w:contextualSpacing/>
        <w:jc w:val="both"/>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Pr="0043169B">
        <w:rPr>
          <w:color w:val="000000" w:themeColor="text1"/>
          <w:lang w:val="en-US"/>
        </w:rPr>
        <w:t>, 161-63.</w:t>
      </w:r>
    </w:p>
  </w:endnote>
  <w:endnote w:id="96">
    <w:p w14:paraId="04E6854A" w14:textId="365690BE" w:rsidR="007A4DF1" w:rsidRPr="0043169B" w:rsidRDefault="007A4DF1" w:rsidP="00F650D2">
      <w:pPr>
        <w:pStyle w:val="EndnoteText"/>
        <w:contextualSpacing/>
        <w:jc w:val="both"/>
        <w:rPr>
          <w:color w:val="000000" w:themeColor="text1"/>
          <w:lang w:val="en-US"/>
        </w:rPr>
      </w:pPr>
      <w:r w:rsidRPr="00F650D2">
        <w:rPr>
          <w:rStyle w:val="EndnoteReference"/>
          <w:color w:val="000000" w:themeColor="text1"/>
        </w:rPr>
        <w:endnoteRef/>
      </w:r>
      <w:r w:rsidRPr="0043169B">
        <w:rPr>
          <w:color w:val="000000" w:themeColor="text1"/>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Pr="0043169B">
        <w:rPr>
          <w:color w:val="000000" w:themeColor="text1"/>
          <w:lang w:val="en-US"/>
        </w:rPr>
        <w:t>, 164.</w:t>
      </w:r>
    </w:p>
  </w:endnote>
  <w:endnote w:id="97">
    <w:p w14:paraId="7E1D5713" w14:textId="1DB22950"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Pr="0043169B">
        <w:rPr>
          <w:lang w:val="en-US"/>
        </w:rPr>
        <w:t>, 100.</w:t>
      </w:r>
    </w:p>
  </w:endnote>
  <w:endnote w:id="98">
    <w:p w14:paraId="46A261F9" w14:textId="0FF8A2EF"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Pr="0043169B">
        <w:rPr>
          <w:lang w:val="en-US"/>
        </w:rPr>
        <w:t>, 104-7.</w:t>
      </w:r>
    </w:p>
  </w:endnote>
  <w:endnote w:id="99">
    <w:p w14:paraId="1A942A7F" w14:textId="508F64F8"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color w:val="000000" w:themeColor="text1"/>
          <w:lang w:val="en-US"/>
        </w:rPr>
        <w:t xml:space="preserve">Finnis, </w:t>
      </w:r>
      <w:r w:rsidR="0094310F" w:rsidRPr="0043169B">
        <w:rPr>
          <w:i/>
          <w:color w:val="000000" w:themeColor="text1"/>
          <w:lang w:val="en-US"/>
        </w:rPr>
        <w:t>Natural Law</w:t>
      </w:r>
      <w:r w:rsidR="0094310F" w:rsidRPr="0043169B">
        <w:rPr>
          <w:lang w:val="en-US"/>
        </w:rPr>
        <w:t>, 104-7.</w:t>
      </w:r>
    </w:p>
  </w:endnote>
  <w:endnote w:id="100">
    <w:p w14:paraId="51B47667" w14:textId="44C8A5EF" w:rsidR="007A4DF1" w:rsidRPr="0043169B" w:rsidRDefault="007A4DF1" w:rsidP="00F650D2">
      <w:pPr>
        <w:pStyle w:val="EndnoteText"/>
        <w:rPr>
          <w:lang w:val="en-US"/>
        </w:rPr>
      </w:pPr>
      <w:r w:rsidRPr="00F650D2">
        <w:rPr>
          <w:rStyle w:val="EndnoteReference"/>
        </w:rPr>
        <w:endnoteRef/>
      </w:r>
      <w:r w:rsidRPr="0043169B">
        <w:rPr>
          <w:lang w:val="en-US"/>
        </w:rPr>
        <w:t xml:space="preserve"> J. Rawls, </w:t>
      </w:r>
      <w:r w:rsidRPr="0043169B">
        <w:rPr>
          <w:i/>
          <w:iCs/>
          <w:lang w:val="en-US"/>
        </w:rPr>
        <w:t>Theory of Justice</w:t>
      </w:r>
      <w:r w:rsidRPr="0043169B">
        <w:rPr>
          <w:lang w:val="en-US"/>
        </w:rPr>
        <w:t xml:space="preserve"> (Harvard University Press, first published 1971, ed. 2005).</w:t>
      </w:r>
    </w:p>
  </w:endnote>
  <w:endnote w:id="101">
    <w:p w14:paraId="43E918D6" w14:textId="21F2409A"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lang w:val="en-US"/>
        </w:rPr>
        <w:t xml:space="preserve">Rawls, </w:t>
      </w:r>
      <w:r w:rsidR="0094310F" w:rsidRPr="0043169B">
        <w:rPr>
          <w:i/>
          <w:iCs/>
          <w:lang w:val="en-US"/>
        </w:rPr>
        <w:t>Theory of Justice</w:t>
      </w:r>
      <w:r w:rsidRPr="0043169B">
        <w:rPr>
          <w:lang w:val="en-US"/>
        </w:rPr>
        <w:t>, 3-5.</w:t>
      </w:r>
    </w:p>
  </w:endnote>
  <w:endnote w:id="102">
    <w:p w14:paraId="3CCF946B" w14:textId="0A5C2668"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lang w:val="en-US"/>
        </w:rPr>
        <w:t xml:space="preserve">Rawls, </w:t>
      </w:r>
      <w:r w:rsidR="0094310F" w:rsidRPr="0043169B">
        <w:rPr>
          <w:i/>
          <w:iCs/>
          <w:lang w:val="en-US"/>
        </w:rPr>
        <w:t>Theory of Justice</w:t>
      </w:r>
      <w:r w:rsidRPr="0043169B">
        <w:rPr>
          <w:lang w:val="en-US"/>
        </w:rPr>
        <w:t>, 12.</w:t>
      </w:r>
    </w:p>
  </w:endnote>
  <w:endnote w:id="103">
    <w:p w14:paraId="33170BD4" w14:textId="77777777" w:rsidR="00987679" w:rsidRPr="0043169B" w:rsidRDefault="00987679" w:rsidP="00987679">
      <w:pPr>
        <w:pStyle w:val="EndnoteText"/>
        <w:rPr>
          <w:lang w:val="en-US"/>
        </w:rPr>
      </w:pPr>
      <w:r w:rsidRPr="00F650D2">
        <w:rPr>
          <w:rStyle w:val="EndnoteReference"/>
        </w:rPr>
        <w:endnoteRef/>
      </w:r>
      <w:r w:rsidRPr="0043169B">
        <w:rPr>
          <w:lang w:val="en-US"/>
        </w:rPr>
        <w:t xml:space="preserve"> T. H. Marshall</w:t>
      </w:r>
      <w:r>
        <w:rPr>
          <w:lang w:val="en-US"/>
        </w:rPr>
        <w:t xml:space="preserve">, ‘The Affluent Society in Perspective’, </w:t>
      </w:r>
      <w:r w:rsidRPr="00F92BC3">
        <w:rPr>
          <w:i/>
          <w:iCs/>
          <w:lang w:val="en-US"/>
        </w:rPr>
        <w:t>in Class, Citizenship and Social Development: Essays by T. H. Marshall</w:t>
      </w:r>
      <w:r>
        <w:rPr>
          <w:lang w:val="en-US"/>
        </w:rPr>
        <w:t xml:space="preserve"> (with an introduction by S. M. Lipset) (University of Chicago Press, 1977), 325.</w:t>
      </w:r>
    </w:p>
  </w:endnote>
  <w:endnote w:id="104">
    <w:p w14:paraId="162DA5A6" w14:textId="77777777" w:rsidR="00987679" w:rsidRPr="0043169B" w:rsidRDefault="00987679" w:rsidP="00987679">
      <w:pPr>
        <w:pStyle w:val="EndnoteText"/>
        <w:rPr>
          <w:lang w:val="en-US"/>
        </w:rPr>
      </w:pPr>
      <w:r w:rsidRPr="00F650D2">
        <w:rPr>
          <w:rStyle w:val="EndnoteReference"/>
        </w:rPr>
        <w:endnoteRef/>
      </w:r>
      <w:r w:rsidRPr="0043169B">
        <w:rPr>
          <w:lang w:val="en-US"/>
        </w:rPr>
        <w:t xml:space="preserve"> Marshall</w:t>
      </w:r>
      <w:r>
        <w:rPr>
          <w:lang w:val="en-US"/>
        </w:rPr>
        <w:t>, ‘The Affluent Society in Perspective’</w:t>
      </w:r>
      <w:r w:rsidRPr="0043169B">
        <w:rPr>
          <w:lang w:val="en-US"/>
        </w:rPr>
        <w:t xml:space="preserve">, </w:t>
      </w:r>
      <w:r>
        <w:rPr>
          <w:lang w:val="en-US"/>
        </w:rPr>
        <w:t>337.</w:t>
      </w:r>
    </w:p>
  </w:endnote>
  <w:endnote w:id="105">
    <w:p w14:paraId="70389EC7" w14:textId="77777777" w:rsidR="00987679" w:rsidRPr="0043169B" w:rsidRDefault="00987679" w:rsidP="00987679">
      <w:pPr>
        <w:pStyle w:val="EndnoteText"/>
        <w:rPr>
          <w:lang w:val="en-US"/>
        </w:rPr>
      </w:pPr>
      <w:r w:rsidRPr="00F650D2">
        <w:rPr>
          <w:rStyle w:val="EndnoteReference"/>
        </w:rPr>
        <w:endnoteRef/>
      </w:r>
      <w:r w:rsidRPr="0043169B">
        <w:rPr>
          <w:lang w:val="en-US"/>
        </w:rPr>
        <w:t xml:space="preserve"> Marshall</w:t>
      </w:r>
      <w:r>
        <w:rPr>
          <w:lang w:val="en-US"/>
        </w:rPr>
        <w:t>, ‘The Affluent Society in Perspective’</w:t>
      </w:r>
      <w:r w:rsidRPr="0043169B">
        <w:rPr>
          <w:lang w:val="en-US"/>
        </w:rPr>
        <w:t xml:space="preserve">, </w:t>
      </w:r>
      <w:r>
        <w:rPr>
          <w:lang w:val="en-US"/>
        </w:rPr>
        <w:t>333</w:t>
      </w:r>
    </w:p>
  </w:endnote>
  <w:endnote w:id="106">
    <w:p w14:paraId="47303174" w14:textId="77777777" w:rsidR="00987679" w:rsidRPr="0043169B" w:rsidRDefault="00987679" w:rsidP="00987679">
      <w:pPr>
        <w:pStyle w:val="EndnoteText"/>
        <w:rPr>
          <w:lang w:val="en-US"/>
        </w:rPr>
      </w:pPr>
      <w:r w:rsidRPr="00F650D2">
        <w:rPr>
          <w:rStyle w:val="EndnoteReference"/>
        </w:rPr>
        <w:endnoteRef/>
      </w:r>
      <w:r w:rsidRPr="0043169B">
        <w:rPr>
          <w:lang w:val="en-US"/>
        </w:rPr>
        <w:t xml:space="preserve"> Marshall</w:t>
      </w:r>
      <w:r>
        <w:rPr>
          <w:lang w:val="en-US"/>
        </w:rPr>
        <w:t>, ‘The Affluent Society in Perspective’</w:t>
      </w:r>
      <w:r w:rsidRPr="0043169B">
        <w:rPr>
          <w:lang w:val="en-US"/>
        </w:rPr>
        <w:t xml:space="preserve">, </w:t>
      </w:r>
      <w:r>
        <w:rPr>
          <w:lang w:val="en-US"/>
        </w:rPr>
        <w:t>333</w:t>
      </w:r>
    </w:p>
  </w:endnote>
  <w:endnote w:id="107">
    <w:p w14:paraId="06F59848" w14:textId="23D6EEDC" w:rsidR="007A4DF1" w:rsidRPr="0043169B" w:rsidRDefault="007A4DF1" w:rsidP="00F650D2">
      <w:pPr>
        <w:pStyle w:val="EndnoteText"/>
        <w:rPr>
          <w:lang w:val="en-US"/>
        </w:rPr>
      </w:pPr>
      <w:r w:rsidRPr="00F650D2">
        <w:rPr>
          <w:rStyle w:val="EndnoteReference"/>
        </w:rPr>
        <w:endnoteRef/>
      </w:r>
      <w:r w:rsidRPr="0043169B">
        <w:rPr>
          <w:lang w:val="en-US"/>
        </w:rPr>
        <w:t xml:space="preserve"> Finnis, </w:t>
      </w:r>
      <w:r w:rsidR="0094310F" w:rsidRPr="0043169B">
        <w:rPr>
          <w:i/>
          <w:color w:val="000000" w:themeColor="text1"/>
          <w:lang w:val="en-US"/>
        </w:rPr>
        <w:t>Natural Law</w:t>
      </w:r>
      <w:r w:rsidRPr="0043169B">
        <w:rPr>
          <w:lang w:val="en-US"/>
        </w:rPr>
        <w:t>, 163-4.</w:t>
      </w:r>
    </w:p>
  </w:endnote>
  <w:endnote w:id="108">
    <w:p w14:paraId="4FAD9872" w14:textId="07962E97" w:rsidR="007A4DF1" w:rsidRPr="0043169B" w:rsidRDefault="007A4DF1" w:rsidP="00F650D2">
      <w:pPr>
        <w:pStyle w:val="EndnoteText"/>
        <w:rPr>
          <w:lang w:val="en-US"/>
        </w:rPr>
      </w:pPr>
      <w:r w:rsidRPr="00F650D2">
        <w:rPr>
          <w:rStyle w:val="EndnoteReference"/>
        </w:rPr>
        <w:endnoteRef/>
      </w:r>
      <w:r w:rsidRPr="0043169B">
        <w:rPr>
          <w:lang w:val="en-US"/>
        </w:rPr>
        <w:t xml:space="preserve"> </w:t>
      </w:r>
      <w:r w:rsidR="0094310F" w:rsidRPr="0043169B">
        <w:rPr>
          <w:lang w:val="en-US"/>
        </w:rPr>
        <w:t xml:space="preserve">Finnis, </w:t>
      </w:r>
      <w:r w:rsidR="0094310F" w:rsidRPr="0043169B">
        <w:rPr>
          <w:i/>
          <w:color w:val="000000" w:themeColor="text1"/>
          <w:lang w:val="en-US"/>
        </w:rPr>
        <w:t>Natural Law</w:t>
      </w:r>
      <w:r w:rsidR="0094310F" w:rsidRPr="0043169B">
        <w:rPr>
          <w:lang w:val="en-US"/>
        </w:rPr>
        <w:t xml:space="preserve">, </w:t>
      </w:r>
      <w:r w:rsidRPr="0043169B">
        <w:rPr>
          <w:lang w:val="en-US"/>
        </w:rPr>
        <w:t>165.</w:t>
      </w:r>
    </w:p>
  </w:endnote>
  <w:endnote w:id="109">
    <w:p w14:paraId="2CD98FA4" w14:textId="24E14665" w:rsidR="007A4DF1" w:rsidRPr="00E2204C" w:rsidRDefault="007A4DF1" w:rsidP="00F650D2">
      <w:pPr>
        <w:rPr>
          <w:sz w:val="20"/>
          <w:szCs w:val="20"/>
          <w:lang w:val="en-US"/>
        </w:rPr>
      </w:pPr>
      <w:r w:rsidRPr="00F650D2">
        <w:rPr>
          <w:rStyle w:val="EndnoteReference"/>
          <w:sz w:val="20"/>
          <w:szCs w:val="20"/>
        </w:rPr>
        <w:endnoteRef/>
      </w:r>
      <w:r w:rsidRPr="00F650D2">
        <w:rPr>
          <w:sz w:val="20"/>
          <w:szCs w:val="20"/>
          <w:lang w:val="en-US"/>
        </w:rPr>
        <w:t xml:space="preserve"> </w:t>
      </w:r>
      <w:r w:rsidR="0094310F" w:rsidRPr="002F0AD1">
        <w:rPr>
          <w:sz w:val="20"/>
          <w:szCs w:val="20"/>
          <w:lang w:val="en-US"/>
        </w:rPr>
        <w:t xml:space="preserve">Foucault, </w:t>
      </w:r>
      <w:r w:rsidR="0094310F" w:rsidRPr="002F0AD1">
        <w:rPr>
          <w:i/>
          <w:iCs/>
          <w:sz w:val="20"/>
          <w:szCs w:val="20"/>
          <w:lang w:val="en-US"/>
        </w:rPr>
        <w:t>The Archeology of Knowledge</w:t>
      </w:r>
      <w:r w:rsidR="0094310F">
        <w:rPr>
          <w:i/>
          <w:iCs/>
          <w:sz w:val="20"/>
          <w:szCs w:val="20"/>
          <w:lang w:val="en-US"/>
        </w:rPr>
        <w:t>.</w:t>
      </w:r>
      <w:r w:rsidR="0094310F" w:rsidRPr="002F0AD1">
        <w:rPr>
          <w:i/>
          <w:iCs/>
          <w:sz w:val="20"/>
          <w:szCs w:val="20"/>
          <w:lang w:val="en-US"/>
        </w:rPr>
        <w:t xml:space="preserve"> </w:t>
      </w:r>
    </w:p>
  </w:endnote>
  <w:endnote w:id="110">
    <w:p w14:paraId="39FCE84E" w14:textId="4815D86A" w:rsidR="009F4A36" w:rsidRPr="00E2204C" w:rsidRDefault="009F4A36" w:rsidP="009F4A36">
      <w:pPr>
        <w:rPr>
          <w:sz w:val="20"/>
          <w:szCs w:val="20"/>
          <w:lang w:val="en-US"/>
        </w:rPr>
      </w:pPr>
      <w:r w:rsidRPr="00F650D2">
        <w:rPr>
          <w:rStyle w:val="EndnoteReference"/>
          <w:sz w:val="20"/>
          <w:szCs w:val="20"/>
        </w:rPr>
        <w:endnoteRef/>
      </w:r>
      <w:r w:rsidRPr="00F650D2">
        <w:rPr>
          <w:sz w:val="20"/>
          <w:szCs w:val="20"/>
          <w:lang w:val="en-US"/>
        </w:rPr>
        <w:t xml:space="preserve"> </w:t>
      </w:r>
      <w:r w:rsidRPr="00A56D66">
        <w:rPr>
          <w:color w:val="000000" w:themeColor="text1"/>
          <w:kern w:val="32"/>
          <w:sz w:val="20"/>
          <w:szCs w:val="20"/>
        </w:rPr>
        <w:t>Waldron, ‘Human Dignity’, 13.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inionPro">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747847"/>
      <w:docPartObj>
        <w:docPartGallery w:val="Page Numbers (Bottom of Page)"/>
        <w:docPartUnique/>
      </w:docPartObj>
    </w:sdtPr>
    <w:sdtEndPr>
      <w:rPr>
        <w:rStyle w:val="PageNumber"/>
      </w:rPr>
    </w:sdtEndPr>
    <w:sdtContent>
      <w:p w14:paraId="42CF6CAA" w14:textId="51745F53" w:rsidR="007F5F1B" w:rsidRDefault="007F5F1B" w:rsidP="00E2147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FD771E" w14:textId="77777777" w:rsidR="007F5F1B" w:rsidRDefault="007F5F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7872381"/>
      <w:docPartObj>
        <w:docPartGallery w:val="Page Numbers (Bottom of Page)"/>
        <w:docPartUnique/>
      </w:docPartObj>
    </w:sdtPr>
    <w:sdtEndPr>
      <w:rPr>
        <w:rStyle w:val="PageNumber"/>
      </w:rPr>
    </w:sdtEndPr>
    <w:sdtContent>
      <w:p w14:paraId="32BA8BBB" w14:textId="1CA2D278" w:rsidR="007F5F1B" w:rsidRDefault="007F5F1B" w:rsidP="00E2147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000488" w14:textId="77777777" w:rsidR="007F5F1B" w:rsidRDefault="007F5F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3B955" w14:textId="77777777" w:rsidR="0034191E" w:rsidRDefault="003419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4549D" w14:textId="77777777" w:rsidR="00B51EB4" w:rsidRDefault="00B51EB4" w:rsidP="00824704">
      <w:r>
        <w:separator/>
      </w:r>
    </w:p>
  </w:footnote>
  <w:footnote w:type="continuationSeparator" w:id="0">
    <w:p w14:paraId="79F56483" w14:textId="77777777" w:rsidR="00B51EB4" w:rsidRDefault="00B51EB4" w:rsidP="008247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7208E" w14:textId="77777777" w:rsidR="0034191E" w:rsidRDefault="003419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2CC0A" w14:textId="71888B2A" w:rsidR="008105A9" w:rsidRPr="00D66710" w:rsidRDefault="0034191E" w:rsidP="0034191E">
    <w:pPr>
      <w:pStyle w:val="Header"/>
      <w:jc w:val="center"/>
      <w:rPr>
        <w:lang w:val="en-US"/>
      </w:rPr>
    </w:pPr>
    <w:r>
      <w:rPr>
        <w:lang w:val="en-US"/>
      </w:rPr>
      <w:t xml:space="preserve">Forthcoming in </w:t>
    </w:r>
    <w:r w:rsidRPr="0034191E">
      <w:rPr>
        <w:i/>
        <w:iCs/>
        <w:lang w:val="en-US"/>
      </w:rPr>
      <w:t xml:space="preserve">Humanity </w:t>
    </w:r>
    <w:r>
      <w:rPr>
        <w:lang w:val="en-US"/>
      </w:rPr>
      <w:t>Journal 2023 Vol 14(2)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03AF5" w14:textId="77777777" w:rsidR="0034191E" w:rsidRDefault="003419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5779E"/>
    <w:multiLevelType w:val="hybridMultilevel"/>
    <w:tmpl w:val="9AE0E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A21D26"/>
    <w:multiLevelType w:val="hybridMultilevel"/>
    <w:tmpl w:val="58307B92"/>
    <w:lvl w:ilvl="0" w:tplc="0EBA608A">
      <w:start w:val="1"/>
      <w:numFmt w:val="upperRoman"/>
      <w:lvlText w:val="%1."/>
      <w:lvlJc w:val="left"/>
      <w:pPr>
        <w:ind w:left="1080" w:hanging="72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AEC3594"/>
    <w:multiLevelType w:val="hybridMultilevel"/>
    <w:tmpl w:val="07E64494"/>
    <w:lvl w:ilvl="0" w:tplc="0EBA608A">
      <w:start w:val="1"/>
      <w:numFmt w:val="upperRoman"/>
      <w:lvlText w:val="%1."/>
      <w:lvlJc w:val="left"/>
      <w:pPr>
        <w:ind w:left="1080" w:hanging="72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E950AF7"/>
    <w:multiLevelType w:val="hybridMultilevel"/>
    <w:tmpl w:val="9B64D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704"/>
    <w:rsid w:val="00000712"/>
    <w:rsid w:val="00001F9D"/>
    <w:rsid w:val="000020B9"/>
    <w:rsid w:val="00002CC1"/>
    <w:rsid w:val="00003FC1"/>
    <w:rsid w:val="000057BE"/>
    <w:rsid w:val="000058BD"/>
    <w:rsid w:val="00006AF1"/>
    <w:rsid w:val="000103AC"/>
    <w:rsid w:val="0002156E"/>
    <w:rsid w:val="000257E8"/>
    <w:rsid w:val="00025F4F"/>
    <w:rsid w:val="00026C2D"/>
    <w:rsid w:val="000279E8"/>
    <w:rsid w:val="000301A9"/>
    <w:rsid w:val="0003093C"/>
    <w:rsid w:val="00031479"/>
    <w:rsid w:val="000314D4"/>
    <w:rsid w:val="0003248C"/>
    <w:rsid w:val="00032FDC"/>
    <w:rsid w:val="00033D58"/>
    <w:rsid w:val="0003418A"/>
    <w:rsid w:val="00036BBB"/>
    <w:rsid w:val="00037DB4"/>
    <w:rsid w:val="000424C2"/>
    <w:rsid w:val="00043505"/>
    <w:rsid w:val="00043913"/>
    <w:rsid w:val="00043E14"/>
    <w:rsid w:val="00044498"/>
    <w:rsid w:val="00044FA3"/>
    <w:rsid w:val="00047F56"/>
    <w:rsid w:val="000519EE"/>
    <w:rsid w:val="00052A35"/>
    <w:rsid w:val="00054011"/>
    <w:rsid w:val="00054581"/>
    <w:rsid w:val="00054FF6"/>
    <w:rsid w:val="0005536A"/>
    <w:rsid w:val="00060EE7"/>
    <w:rsid w:val="00062F86"/>
    <w:rsid w:val="00064E9B"/>
    <w:rsid w:val="00067BA2"/>
    <w:rsid w:val="00067DD6"/>
    <w:rsid w:val="000727D2"/>
    <w:rsid w:val="00073402"/>
    <w:rsid w:val="00076B5C"/>
    <w:rsid w:val="00077364"/>
    <w:rsid w:val="00077D13"/>
    <w:rsid w:val="00080676"/>
    <w:rsid w:val="00080AEB"/>
    <w:rsid w:val="000818DD"/>
    <w:rsid w:val="00082429"/>
    <w:rsid w:val="00082BC6"/>
    <w:rsid w:val="00091DC9"/>
    <w:rsid w:val="00094547"/>
    <w:rsid w:val="00094A20"/>
    <w:rsid w:val="00094D7F"/>
    <w:rsid w:val="000964F8"/>
    <w:rsid w:val="00096B51"/>
    <w:rsid w:val="000A49B1"/>
    <w:rsid w:val="000A73E8"/>
    <w:rsid w:val="000A7E65"/>
    <w:rsid w:val="000B0B38"/>
    <w:rsid w:val="000B3C2B"/>
    <w:rsid w:val="000B469F"/>
    <w:rsid w:val="000B4F4C"/>
    <w:rsid w:val="000B751B"/>
    <w:rsid w:val="000B77D5"/>
    <w:rsid w:val="000B7FE8"/>
    <w:rsid w:val="000C502A"/>
    <w:rsid w:val="000C5218"/>
    <w:rsid w:val="000C56E9"/>
    <w:rsid w:val="000C6AF5"/>
    <w:rsid w:val="000C6FA7"/>
    <w:rsid w:val="000D05F7"/>
    <w:rsid w:val="000D1A18"/>
    <w:rsid w:val="000D4874"/>
    <w:rsid w:val="000D4DD5"/>
    <w:rsid w:val="000D577A"/>
    <w:rsid w:val="000E0161"/>
    <w:rsid w:val="000E3A77"/>
    <w:rsid w:val="000F098B"/>
    <w:rsid w:val="000F3A64"/>
    <w:rsid w:val="000F56A1"/>
    <w:rsid w:val="000F5761"/>
    <w:rsid w:val="00102396"/>
    <w:rsid w:val="00102766"/>
    <w:rsid w:val="00103062"/>
    <w:rsid w:val="00103D14"/>
    <w:rsid w:val="00105E8D"/>
    <w:rsid w:val="0011217B"/>
    <w:rsid w:val="00112F1F"/>
    <w:rsid w:val="00113DFE"/>
    <w:rsid w:val="0011660C"/>
    <w:rsid w:val="001178B0"/>
    <w:rsid w:val="001207FA"/>
    <w:rsid w:val="00120850"/>
    <w:rsid w:val="001215A7"/>
    <w:rsid w:val="00121BF4"/>
    <w:rsid w:val="00125B51"/>
    <w:rsid w:val="001271A4"/>
    <w:rsid w:val="0013127D"/>
    <w:rsid w:val="0013246D"/>
    <w:rsid w:val="00133117"/>
    <w:rsid w:val="00135486"/>
    <w:rsid w:val="00137D2D"/>
    <w:rsid w:val="0014014E"/>
    <w:rsid w:val="00144341"/>
    <w:rsid w:val="001454D4"/>
    <w:rsid w:val="001523FB"/>
    <w:rsid w:val="00154374"/>
    <w:rsid w:val="00155892"/>
    <w:rsid w:val="001611FA"/>
    <w:rsid w:val="0016146E"/>
    <w:rsid w:val="001634B4"/>
    <w:rsid w:val="0016505D"/>
    <w:rsid w:val="00166206"/>
    <w:rsid w:val="001707A7"/>
    <w:rsid w:val="00170EAF"/>
    <w:rsid w:val="00172849"/>
    <w:rsid w:val="00176BEC"/>
    <w:rsid w:val="00180C0B"/>
    <w:rsid w:val="00180DD8"/>
    <w:rsid w:val="00181D45"/>
    <w:rsid w:val="00185AED"/>
    <w:rsid w:val="0019216F"/>
    <w:rsid w:val="00192C6A"/>
    <w:rsid w:val="001939B6"/>
    <w:rsid w:val="0019510B"/>
    <w:rsid w:val="00196B35"/>
    <w:rsid w:val="001A4CF0"/>
    <w:rsid w:val="001A6AD2"/>
    <w:rsid w:val="001A7C9C"/>
    <w:rsid w:val="001B18C4"/>
    <w:rsid w:val="001B3116"/>
    <w:rsid w:val="001B3595"/>
    <w:rsid w:val="001C3BD7"/>
    <w:rsid w:val="001C3C28"/>
    <w:rsid w:val="001C5C91"/>
    <w:rsid w:val="001C6472"/>
    <w:rsid w:val="001C77B6"/>
    <w:rsid w:val="001D0C82"/>
    <w:rsid w:val="001D41FF"/>
    <w:rsid w:val="001E11E0"/>
    <w:rsid w:val="001E39EC"/>
    <w:rsid w:val="001E6B60"/>
    <w:rsid w:val="001E749A"/>
    <w:rsid w:val="001E7B57"/>
    <w:rsid w:val="001F07C5"/>
    <w:rsid w:val="001F1B4D"/>
    <w:rsid w:val="001F275B"/>
    <w:rsid w:val="001F3F6A"/>
    <w:rsid w:val="001F47EF"/>
    <w:rsid w:val="001F5806"/>
    <w:rsid w:val="001F6EE9"/>
    <w:rsid w:val="001F7CF4"/>
    <w:rsid w:val="001F7FBB"/>
    <w:rsid w:val="00200EA1"/>
    <w:rsid w:val="00206F3F"/>
    <w:rsid w:val="00210C13"/>
    <w:rsid w:val="00213200"/>
    <w:rsid w:val="00214657"/>
    <w:rsid w:val="0021715D"/>
    <w:rsid w:val="00222F79"/>
    <w:rsid w:val="00224CC1"/>
    <w:rsid w:val="002270E4"/>
    <w:rsid w:val="00227604"/>
    <w:rsid w:val="00231753"/>
    <w:rsid w:val="00233704"/>
    <w:rsid w:val="00234556"/>
    <w:rsid w:val="00234BCB"/>
    <w:rsid w:val="00234C51"/>
    <w:rsid w:val="002359DE"/>
    <w:rsid w:val="002371A1"/>
    <w:rsid w:val="00237F84"/>
    <w:rsid w:val="0024157B"/>
    <w:rsid w:val="002423CB"/>
    <w:rsid w:val="0024247A"/>
    <w:rsid w:val="002433C4"/>
    <w:rsid w:val="00243F08"/>
    <w:rsid w:val="00247049"/>
    <w:rsid w:val="002478FC"/>
    <w:rsid w:val="002527CF"/>
    <w:rsid w:val="00255F5A"/>
    <w:rsid w:val="002574A9"/>
    <w:rsid w:val="002579CF"/>
    <w:rsid w:val="00260E7C"/>
    <w:rsid w:val="00263201"/>
    <w:rsid w:val="002636A5"/>
    <w:rsid w:val="00264D8B"/>
    <w:rsid w:val="0026543D"/>
    <w:rsid w:val="00273AE9"/>
    <w:rsid w:val="00274A5E"/>
    <w:rsid w:val="00281D17"/>
    <w:rsid w:val="002844DC"/>
    <w:rsid w:val="00285188"/>
    <w:rsid w:val="002876FD"/>
    <w:rsid w:val="0029378B"/>
    <w:rsid w:val="00293C55"/>
    <w:rsid w:val="002946D8"/>
    <w:rsid w:val="00294F7B"/>
    <w:rsid w:val="00295425"/>
    <w:rsid w:val="0029545E"/>
    <w:rsid w:val="00295568"/>
    <w:rsid w:val="00295757"/>
    <w:rsid w:val="00295EFE"/>
    <w:rsid w:val="0029789F"/>
    <w:rsid w:val="002A0CC2"/>
    <w:rsid w:val="002A0D82"/>
    <w:rsid w:val="002A1AF2"/>
    <w:rsid w:val="002A1C4D"/>
    <w:rsid w:val="002A1E80"/>
    <w:rsid w:val="002A1E83"/>
    <w:rsid w:val="002A32C9"/>
    <w:rsid w:val="002A6E51"/>
    <w:rsid w:val="002A775F"/>
    <w:rsid w:val="002B09DF"/>
    <w:rsid w:val="002B1447"/>
    <w:rsid w:val="002B2EC4"/>
    <w:rsid w:val="002B47D9"/>
    <w:rsid w:val="002B68B2"/>
    <w:rsid w:val="002C0195"/>
    <w:rsid w:val="002C2723"/>
    <w:rsid w:val="002C56CD"/>
    <w:rsid w:val="002C589A"/>
    <w:rsid w:val="002C7A4D"/>
    <w:rsid w:val="002C7FF3"/>
    <w:rsid w:val="002D032A"/>
    <w:rsid w:val="002D1B77"/>
    <w:rsid w:val="002D1DB0"/>
    <w:rsid w:val="002D34AD"/>
    <w:rsid w:val="002D3663"/>
    <w:rsid w:val="002D3D8B"/>
    <w:rsid w:val="002D687F"/>
    <w:rsid w:val="002D69FD"/>
    <w:rsid w:val="002E0E26"/>
    <w:rsid w:val="002E2B31"/>
    <w:rsid w:val="002E3626"/>
    <w:rsid w:val="002E6B5D"/>
    <w:rsid w:val="002F0AD1"/>
    <w:rsid w:val="002F2A85"/>
    <w:rsid w:val="002F2DD4"/>
    <w:rsid w:val="002F512E"/>
    <w:rsid w:val="002F52F6"/>
    <w:rsid w:val="002F7463"/>
    <w:rsid w:val="00300E1D"/>
    <w:rsid w:val="00301DBB"/>
    <w:rsid w:val="00307C2E"/>
    <w:rsid w:val="00310262"/>
    <w:rsid w:val="00311A4C"/>
    <w:rsid w:val="00313665"/>
    <w:rsid w:val="00316759"/>
    <w:rsid w:val="003172BD"/>
    <w:rsid w:val="00317877"/>
    <w:rsid w:val="003210B4"/>
    <w:rsid w:val="00323FE5"/>
    <w:rsid w:val="0032578E"/>
    <w:rsid w:val="0033140B"/>
    <w:rsid w:val="003330FE"/>
    <w:rsid w:val="0033786F"/>
    <w:rsid w:val="0034191E"/>
    <w:rsid w:val="003442C5"/>
    <w:rsid w:val="00345352"/>
    <w:rsid w:val="00346257"/>
    <w:rsid w:val="00346427"/>
    <w:rsid w:val="003474AE"/>
    <w:rsid w:val="00353D7A"/>
    <w:rsid w:val="00354809"/>
    <w:rsid w:val="003559DF"/>
    <w:rsid w:val="003615E0"/>
    <w:rsid w:val="003627E9"/>
    <w:rsid w:val="00365B22"/>
    <w:rsid w:val="00371059"/>
    <w:rsid w:val="00372C87"/>
    <w:rsid w:val="00373B60"/>
    <w:rsid w:val="00376855"/>
    <w:rsid w:val="003777AE"/>
    <w:rsid w:val="003816C5"/>
    <w:rsid w:val="00381F0D"/>
    <w:rsid w:val="003862F0"/>
    <w:rsid w:val="00387150"/>
    <w:rsid w:val="003877AE"/>
    <w:rsid w:val="003911F5"/>
    <w:rsid w:val="0039144A"/>
    <w:rsid w:val="00391C11"/>
    <w:rsid w:val="00392D49"/>
    <w:rsid w:val="00393E7C"/>
    <w:rsid w:val="003951DE"/>
    <w:rsid w:val="00395ECF"/>
    <w:rsid w:val="00396A45"/>
    <w:rsid w:val="00397FAB"/>
    <w:rsid w:val="003B175E"/>
    <w:rsid w:val="003B27EC"/>
    <w:rsid w:val="003B6713"/>
    <w:rsid w:val="003B7211"/>
    <w:rsid w:val="003B7C83"/>
    <w:rsid w:val="003B7FAA"/>
    <w:rsid w:val="003C435A"/>
    <w:rsid w:val="003C49DD"/>
    <w:rsid w:val="003C62C3"/>
    <w:rsid w:val="003D0CED"/>
    <w:rsid w:val="003D6424"/>
    <w:rsid w:val="003D7920"/>
    <w:rsid w:val="003D7AC5"/>
    <w:rsid w:val="003E0DEB"/>
    <w:rsid w:val="003E0E0E"/>
    <w:rsid w:val="003E2F00"/>
    <w:rsid w:val="003E2F06"/>
    <w:rsid w:val="003E47CA"/>
    <w:rsid w:val="003E4C4C"/>
    <w:rsid w:val="003E622A"/>
    <w:rsid w:val="003E62F8"/>
    <w:rsid w:val="003F30C1"/>
    <w:rsid w:val="003F4845"/>
    <w:rsid w:val="003F5619"/>
    <w:rsid w:val="003F5718"/>
    <w:rsid w:val="0040130D"/>
    <w:rsid w:val="004024A8"/>
    <w:rsid w:val="00403852"/>
    <w:rsid w:val="00404E8E"/>
    <w:rsid w:val="00407049"/>
    <w:rsid w:val="00410CEB"/>
    <w:rsid w:val="004127DE"/>
    <w:rsid w:val="0041307B"/>
    <w:rsid w:val="004144A8"/>
    <w:rsid w:val="00416F3D"/>
    <w:rsid w:val="00416FE0"/>
    <w:rsid w:val="004173A7"/>
    <w:rsid w:val="00420317"/>
    <w:rsid w:val="00422D53"/>
    <w:rsid w:val="0042544B"/>
    <w:rsid w:val="00430B5B"/>
    <w:rsid w:val="0043169B"/>
    <w:rsid w:val="00434067"/>
    <w:rsid w:val="004343E3"/>
    <w:rsid w:val="00435648"/>
    <w:rsid w:val="004362F0"/>
    <w:rsid w:val="0043706F"/>
    <w:rsid w:val="004408B9"/>
    <w:rsid w:val="00443BC1"/>
    <w:rsid w:val="0044533F"/>
    <w:rsid w:val="00446460"/>
    <w:rsid w:val="00451111"/>
    <w:rsid w:val="004511FD"/>
    <w:rsid w:val="00453490"/>
    <w:rsid w:val="00454006"/>
    <w:rsid w:val="00463A34"/>
    <w:rsid w:val="00464512"/>
    <w:rsid w:val="004653D7"/>
    <w:rsid w:val="0046695C"/>
    <w:rsid w:val="004702AD"/>
    <w:rsid w:val="00470D52"/>
    <w:rsid w:val="00471B78"/>
    <w:rsid w:val="004732E8"/>
    <w:rsid w:val="00474E5D"/>
    <w:rsid w:val="00476A45"/>
    <w:rsid w:val="00477B84"/>
    <w:rsid w:val="00482560"/>
    <w:rsid w:val="00486AC2"/>
    <w:rsid w:val="00487363"/>
    <w:rsid w:val="004877D1"/>
    <w:rsid w:val="0049315D"/>
    <w:rsid w:val="004939F0"/>
    <w:rsid w:val="00493F94"/>
    <w:rsid w:val="00494688"/>
    <w:rsid w:val="004951C2"/>
    <w:rsid w:val="004960FD"/>
    <w:rsid w:val="00496ABC"/>
    <w:rsid w:val="004971BF"/>
    <w:rsid w:val="004A2766"/>
    <w:rsid w:val="004A6CDC"/>
    <w:rsid w:val="004A75DF"/>
    <w:rsid w:val="004B0F33"/>
    <w:rsid w:val="004B1121"/>
    <w:rsid w:val="004B2396"/>
    <w:rsid w:val="004B3FFA"/>
    <w:rsid w:val="004B41F9"/>
    <w:rsid w:val="004B4368"/>
    <w:rsid w:val="004B6373"/>
    <w:rsid w:val="004B7370"/>
    <w:rsid w:val="004C1AF0"/>
    <w:rsid w:val="004C5023"/>
    <w:rsid w:val="004C63E4"/>
    <w:rsid w:val="004D1951"/>
    <w:rsid w:val="004D200D"/>
    <w:rsid w:val="004D2A15"/>
    <w:rsid w:val="004D3BB1"/>
    <w:rsid w:val="004D3E34"/>
    <w:rsid w:val="004D577B"/>
    <w:rsid w:val="004E2BFE"/>
    <w:rsid w:val="004E38A6"/>
    <w:rsid w:val="004E4C8A"/>
    <w:rsid w:val="004E5EBA"/>
    <w:rsid w:val="004E7896"/>
    <w:rsid w:val="004F2705"/>
    <w:rsid w:val="004F2DA0"/>
    <w:rsid w:val="004F4083"/>
    <w:rsid w:val="004F58D1"/>
    <w:rsid w:val="004F59A0"/>
    <w:rsid w:val="004F7AB2"/>
    <w:rsid w:val="004F7BD5"/>
    <w:rsid w:val="00501743"/>
    <w:rsid w:val="00502DB1"/>
    <w:rsid w:val="00504604"/>
    <w:rsid w:val="00505FE1"/>
    <w:rsid w:val="00510A5F"/>
    <w:rsid w:val="005119D4"/>
    <w:rsid w:val="005162AF"/>
    <w:rsid w:val="00521BA5"/>
    <w:rsid w:val="0053040F"/>
    <w:rsid w:val="00533C43"/>
    <w:rsid w:val="005371AD"/>
    <w:rsid w:val="005374D9"/>
    <w:rsid w:val="00540446"/>
    <w:rsid w:val="005418E5"/>
    <w:rsid w:val="00541C09"/>
    <w:rsid w:val="00541D84"/>
    <w:rsid w:val="00542C59"/>
    <w:rsid w:val="005441A2"/>
    <w:rsid w:val="00546EC6"/>
    <w:rsid w:val="005521DB"/>
    <w:rsid w:val="00552D27"/>
    <w:rsid w:val="005540E9"/>
    <w:rsid w:val="00554CFB"/>
    <w:rsid w:val="00555FAF"/>
    <w:rsid w:val="005617CF"/>
    <w:rsid w:val="00564118"/>
    <w:rsid w:val="00564EB8"/>
    <w:rsid w:val="00566701"/>
    <w:rsid w:val="0056699C"/>
    <w:rsid w:val="005676A1"/>
    <w:rsid w:val="00567AEC"/>
    <w:rsid w:val="005701BA"/>
    <w:rsid w:val="0057178E"/>
    <w:rsid w:val="00573796"/>
    <w:rsid w:val="005738DB"/>
    <w:rsid w:val="00575E9A"/>
    <w:rsid w:val="00576B76"/>
    <w:rsid w:val="0057742D"/>
    <w:rsid w:val="0057770E"/>
    <w:rsid w:val="00580E49"/>
    <w:rsid w:val="0058247E"/>
    <w:rsid w:val="00582875"/>
    <w:rsid w:val="00583F86"/>
    <w:rsid w:val="0058757A"/>
    <w:rsid w:val="0059083F"/>
    <w:rsid w:val="00590EF1"/>
    <w:rsid w:val="0059230C"/>
    <w:rsid w:val="005A018D"/>
    <w:rsid w:val="005A035E"/>
    <w:rsid w:val="005A1BB9"/>
    <w:rsid w:val="005A4C95"/>
    <w:rsid w:val="005A648B"/>
    <w:rsid w:val="005A72C7"/>
    <w:rsid w:val="005B1253"/>
    <w:rsid w:val="005B2AF2"/>
    <w:rsid w:val="005B307B"/>
    <w:rsid w:val="005B4B14"/>
    <w:rsid w:val="005B71E2"/>
    <w:rsid w:val="005B735D"/>
    <w:rsid w:val="005C2233"/>
    <w:rsid w:val="005C30F9"/>
    <w:rsid w:val="005C408C"/>
    <w:rsid w:val="005D0A89"/>
    <w:rsid w:val="005D3111"/>
    <w:rsid w:val="005D5725"/>
    <w:rsid w:val="005D5DD8"/>
    <w:rsid w:val="005E0AF7"/>
    <w:rsid w:val="005E119F"/>
    <w:rsid w:val="005E22F2"/>
    <w:rsid w:val="005E3004"/>
    <w:rsid w:val="005E3D30"/>
    <w:rsid w:val="005E44FD"/>
    <w:rsid w:val="005E48B1"/>
    <w:rsid w:val="005E5A85"/>
    <w:rsid w:val="005E629D"/>
    <w:rsid w:val="005E65C6"/>
    <w:rsid w:val="005F2BA5"/>
    <w:rsid w:val="005F4CBD"/>
    <w:rsid w:val="005F57CA"/>
    <w:rsid w:val="005F642D"/>
    <w:rsid w:val="005F64BE"/>
    <w:rsid w:val="005F727B"/>
    <w:rsid w:val="005F7EF6"/>
    <w:rsid w:val="0060046C"/>
    <w:rsid w:val="00600A2F"/>
    <w:rsid w:val="006029F3"/>
    <w:rsid w:val="006068BA"/>
    <w:rsid w:val="00606C9E"/>
    <w:rsid w:val="006105A3"/>
    <w:rsid w:val="006144F8"/>
    <w:rsid w:val="00615DA6"/>
    <w:rsid w:val="0061603F"/>
    <w:rsid w:val="00616D13"/>
    <w:rsid w:val="0062503F"/>
    <w:rsid w:val="00627F01"/>
    <w:rsid w:val="00641326"/>
    <w:rsid w:val="00645355"/>
    <w:rsid w:val="00645734"/>
    <w:rsid w:val="00650B2D"/>
    <w:rsid w:val="00654048"/>
    <w:rsid w:val="0065519B"/>
    <w:rsid w:val="00656EB9"/>
    <w:rsid w:val="006577D3"/>
    <w:rsid w:val="00663ECB"/>
    <w:rsid w:val="006716BE"/>
    <w:rsid w:val="00672804"/>
    <w:rsid w:val="00672E72"/>
    <w:rsid w:val="006731E5"/>
    <w:rsid w:val="00674A2B"/>
    <w:rsid w:val="0067613D"/>
    <w:rsid w:val="00677ED8"/>
    <w:rsid w:val="0068003B"/>
    <w:rsid w:val="0068173E"/>
    <w:rsid w:val="00684811"/>
    <w:rsid w:val="006848EF"/>
    <w:rsid w:val="00686C51"/>
    <w:rsid w:val="006878E4"/>
    <w:rsid w:val="00690240"/>
    <w:rsid w:val="006903F7"/>
    <w:rsid w:val="00694F96"/>
    <w:rsid w:val="00697A27"/>
    <w:rsid w:val="006A6F3D"/>
    <w:rsid w:val="006B041B"/>
    <w:rsid w:val="006B1AD1"/>
    <w:rsid w:val="006B229A"/>
    <w:rsid w:val="006B30E2"/>
    <w:rsid w:val="006B605D"/>
    <w:rsid w:val="006B688C"/>
    <w:rsid w:val="006C33DA"/>
    <w:rsid w:val="006C3B7D"/>
    <w:rsid w:val="006C43C8"/>
    <w:rsid w:val="006C56CF"/>
    <w:rsid w:val="006C7FE0"/>
    <w:rsid w:val="006D1379"/>
    <w:rsid w:val="006D1EEE"/>
    <w:rsid w:val="006D3ABE"/>
    <w:rsid w:val="006D72B8"/>
    <w:rsid w:val="006E0109"/>
    <w:rsid w:val="006E0488"/>
    <w:rsid w:val="006E125C"/>
    <w:rsid w:val="006E2CBB"/>
    <w:rsid w:val="006E2F3C"/>
    <w:rsid w:val="006E7735"/>
    <w:rsid w:val="006E7AD5"/>
    <w:rsid w:val="006F2F43"/>
    <w:rsid w:val="006F3253"/>
    <w:rsid w:val="006F4CAF"/>
    <w:rsid w:val="006F7030"/>
    <w:rsid w:val="00700C1E"/>
    <w:rsid w:val="0070152B"/>
    <w:rsid w:val="00702D04"/>
    <w:rsid w:val="0070366A"/>
    <w:rsid w:val="00704FFB"/>
    <w:rsid w:val="00710B3A"/>
    <w:rsid w:val="00711369"/>
    <w:rsid w:val="0071186C"/>
    <w:rsid w:val="007127CD"/>
    <w:rsid w:val="00713558"/>
    <w:rsid w:val="00714805"/>
    <w:rsid w:val="00715220"/>
    <w:rsid w:val="007207C9"/>
    <w:rsid w:val="00720A1E"/>
    <w:rsid w:val="00721F29"/>
    <w:rsid w:val="00723B4F"/>
    <w:rsid w:val="0072753B"/>
    <w:rsid w:val="0073106B"/>
    <w:rsid w:val="00731E91"/>
    <w:rsid w:val="007323B8"/>
    <w:rsid w:val="00733305"/>
    <w:rsid w:val="0073639C"/>
    <w:rsid w:val="00736D1A"/>
    <w:rsid w:val="00741BC7"/>
    <w:rsid w:val="007448ED"/>
    <w:rsid w:val="00746B06"/>
    <w:rsid w:val="0074766E"/>
    <w:rsid w:val="007526E0"/>
    <w:rsid w:val="007526FC"/>
    <w:rsid w:val="00752FF6"/>
    <w:rsid w:val="0076709E"/>
    <w:rsid w:val="00775520"/>
    <w:rsid w:val="007775C4"/>
    <w:rsid w:val="00781B3F"/>
    <w:rsid w:val="00785217"/>
    <w:rsid w:val="0078580C"/>
    <w:rsid w:val="00793A66"/>
    <w:rsid w:val="007956A0"/>
    <w:rsid w:val="00796F80"/>
    <w:rsid w:val="007A182E"/>
    <w:rsid w:val="007A262A"/>
    <w:rsid w:val="007A43DC"/>
    <w:rsid w:val="007A4DF1"/>
    <w:rsid w:val="007A61DC"/>
    <w:rsid w:val="007A6E80"/>
    <w:rsid w:val="007A6F09"/>
    <w:rsid w:val="007B07B4"/>
    <w:rsid w:val="007B3EBD"/>
    <w:rsid w:val="007B4561"/>
    <w:rsid w:val="007C4444"/>
    <w:rsid w:val="007C5870"/>
    <w:rsid w:val="007D3FAB"/>
    <w:rsid w:val="007D42BC"/>
    <w:rsid w:val="007D4C59"/>
    <w:rsid w:val="007D5719"/>
    <w:rsid w:val="007D7532"/>
    <w:rsid w:val="007D787F"/>
    <w:rsid w:val="007E0EFA"/>
    <w:rsid w:val="007E62C1"/>
    <w:rsid w:val="007E630E"/>
    <w:rsid w:val="007F04BC"/>
    <w:rsid w:val="007F1399"/>
    <w:rsid w:val="007F29EB"/>
    <w:rsid w:val="007F322B"/>
    <w:rsid w:val="007F3697"/>
    <w:rsid w:val="007F5F1B"/>
    <w:rsid w:val="00803804"/>
    <w:rsid w:val="00806989"/>
    <w:rsid w:val="00806C3C"/>
    <w:rsid w:val="00810580"/>
    <w:rsid w:val="008105A9"/>
    <w:rsid w:val="00810C43"/>
    <w:rsid w:val="00810C9A"/>
    <w:rsid w:val="00812250"/>
    <w:rsid w:val="0081376E"/>
    <w:rsid w:val="00815F0A"/>
    <w:rsid w:val="00816C33"/>
    <w:rsid w:val="00821123"/>
    <w:rsid w:val="00821717"/>
    <w:rsid w:val="00822DB4"/>
    <w:rsid w:val="00823B95"/>
    <w:rsid w:val="00823F13"/>
    <w:rsid w:val="00824704"/>
    <w:rsid w:val="00825537"/>
    <w:rsid w:val="00826B43"/>
    <w:rsid w:val="0083167E"/>
    <w:rsid w:val="00831B0A"/>
    <w:rsid w:val="00832934"/>
    <w:rsid w:val="00834D60"/>
    <w:rsid w:val="00836AED"/>
    <w:rsid w:val="00837201"/>
    <w:rsid w:val="008373F7"/>
    <w:rsid w:val="008376C5"/>
    <w:rsid w:val="00842C22"/>
    <w:rsid w:val="00844798"/>
    <w:rsid w:val="008462E5"/>
    <w:rsid w:val="00846909"/>
    <w:rsid w:val="0084718E"/>
    <w:rsid w:val="00847354"/>
    <w:rsid w:val="008510B0"/>
    <w:rsid w:val="00851263"/>
    <w:rsid w:val="00863466"/>
    <w:rsid w:val="00864B04"/>
    <w:rsid w:val="00873A7A"/>
    <w:rsid w:val="00874F8A"/>
    <w:rsid w:val="0087682E"/>
    <w:rsid w:val="00876EA4"/>
    <w:rsid w:val="00880888"/>
    <w:rsid w:val="00880CFB"/>
    <w:rsid w:val="00881C5B"/>
    <w:rsid w:val="008841C7"/>
    <w:rsid w:val="008861E0"/>
    <w:rsid w:val="00887096"/>
    <w:rsid w:val="00891789"/>
    <w:rsid w:val="00893BD0"/>
    <w:rsid w:val="00894F95"/>
    <w:rsid w:val="0089613C"/>
    <w:rsid w:val="008A0BCB"/>
    <w:rsid w:val="008A3934"/>
    <w:rsid w:val="008A69C9"/>
    <w:rsid w:val="008A7374"/>
    <w:rsid w:val="008A7C4C"/>
    <w:rsid w:val="008B2106"/>
    <w:rsid w:val="008B22BE"/>
    <w:rsid w:val="008B2623"/>
    <w:rsid w:val="008B30F1"/>
    <w:rsid w:val="008B4397"/>
    <w:rsid w:val="008B5A7C"/>
    <w:rsid w:val="008B5FB4"/>
    <w:rsid w:val="008B7CE9"/>
    <w:rsid w:val="008C0B28"/>
    <w:rsid w:val="008C0E72"/>
    <w:rsid w:val="008C5C24"/>
    <w:rsid w:val="008C6EA7"/>
    <w:rsid w:val="008C7E69"/>
    <w:rsid w:val="008D033E"/>
    <w:rsid w:val="008D1FD4"/>
    <w:rsid w:val="008D65DB"/>
    <w:rsid w:val="008E09AF"/>
    <w:rsid w:val="008E1542"/>
    <w:rsid w:val="008E267E"/>
    <w:rsid w:val="008E2875"/>
    <w:rsid w:val="008E40D3"/>
    <w:rsid w:val="008E46FC"/>
    <w:rsid w:val="008E5A3D"/>
    <w:rsid w:val="008E762D"/>
    <w:rsid w:val="008F0BA1"/>
    <w:rsid w:val="008F4910"/>
    <w:rsid w:val="008F54F2"/>
    <w:rsid w:val="008F6206"/>
    <w:rsid w:val="00900A1E"/>
    <w:rsid w:val="009019E3"/>
    <w:rsid w:val="009026A2"/>
    <w:rsid w:val="00903B4D"/>
    <w:rsid w:val="009045C4"/>
    <w:rsid w:val="00905E51"/>
    <w:rsid w:val="00906E36"/>
    <w:rsid w:val="00907227"/>
    <w:rsid w:val="00907EBB"/>
    <w:rsid w:val="00910144"/>
    <w:rsid w:val="00910F70"/>
    <w:rsid w:val="00913F48"/>
    <w:rsid w:val="00920423"/>
    <w:rsid w:val="00920833"/>
    <w:rsid w:val="00924D4D"/>
    <w:rsid w:val="00940018"/>
    <w:rsid w:val="0094308B"/>
    <w:rsid w:val="0094310F"/>
    <w:rsid w:val="00943AD5"/>
    <w:rsid w:val="00944B27"/>
    <w:rsid w:val="009454C7"/>
    <w:rsid w:val="00945FAD"/>
    <w:rsid w:val="00946032"/>
    <w:rsid w:val="00954D57"/>
    <w:rsid w:val="00957E05"/>
    <w:rsid w:val="00960082"/>
    <w:rsid w:val="00964AAD"/>
    <w:rsid w:val="00964B72"/>
    <w:rsid w:val="00964BE4"/>
    <w:rsid w:val="009675EC"/>
    <w:rsid w:val="009738F2"/>
    <w:rsid w:val="00974644"/>
    <w:rsid w:val="00974741"/>
    <w:rsid w:val="0097478B"/>
    <w:rsid w:val="009752C8"/>
    <w:rsid w:val="009757F2"/>
    <w:rsid w:val="00977BB0"/>
    <w:rsid w:val="0098276D"/>
    <w:rsid w:val="00982F84"/>
    <w:rsid w:val="00983A7F"/>
    <w:rsid w:val="00984228"/>
    <w:rsid w:val="009863E0"/>
    <w:rsid w:val="00987679"/>
    <w:rsid w:val="009916D1"/>
    <w:rsid w:val="00992453"/>
    <w:rsid w:val="009926A6"/>
    <w:rsid w:val="0099479D"/>
    <w:rsid w:val="009A5E2F"/>
    <w:rsid w:val="009A6710"/>
    <w:rsid w:val="009B30D2"/>
    <w:rsid w:val="009B765F"/>
    <w:rsid w:val="009C173E"/>
    <w:rsid w:val="009C3B5F"/>
    <w:rsid w:val="009C5014"/>
    <w:rsid w:val="009D2783"/>
    <w:rsid w:val="009D39FE"/>
    <w:rsid w:val="009D417B"/>
    <w:rsid w:val="009D45F4"/>
    <w:rsid w:val="009D556C"/>
    <w:rsid w:val="009D709B"/>
    <w:rsid w:val="009E131B"/>
    <w:rsid w:val="009E14AF"/>
    <w:rsid w:val="009E15DB"/>
    <w:rsid w:val="009E23BE"/>
    <w:rsid w:val="009E336E"/>
    <w:rsid w:val="009E3971"/>
    <w:rsid w:val="009E583E"/>
    <w:rsid w:val="009E6C1A"/>
    <w:rsid w:val="009E6D89"/>
    <w:rsid w:val="009E7756"/>
    <w:rsid w:val="009E7B0B"/>
    <w:rsid w:val="009F2CA6"/>
    <w:rsid w:val="009F4A36"/>
    <w:rsid w:val="009F4C12"/>
    <w:rsid w:val="009F6905"/>
    <w:rsid w:val="009F78A9"/>
    <w:rsid w:val="00A00A72"/>
    <w:rsid w:val="00A0136C"/>
    <w:rsid w:val="00A02A46"/>
    <w:rsid w:val="00A040D3"/>
    <w:rsid w:val="00A05C41"/>
    <w:rsid w:val="00A06F02"/>
    <w:rsid w:val="00A12297"/>
    <w:rsid w:val="00A13D70"/>
    <w:rsid w:val="00A15B34"/>
    <w:rsid w:val="00A15D23"/>
    <w:rsid w:val="00A16238"/>
    <w:rsid w:val="00A165A8"/>
    <w:rsid w:val="00A1666F"/>
    <w:rsid w:val="00A22710"/>
    <w:rsid w:val="00A26EFA"/>
    <w:rsid w:val="00A26FB8"/>
    <w:rsid w:val="00A27A5C"/>
    <w:rsid w:val="00A30FBE"/>
    <w:rsid w:val="00A32C55"/>
    <w:rsid w:val="00A339FC"/>
    <w:rsid w:val="00A345BE"/>
    <w:rsid w:val="00A40B10"/>
    <w:rsid w:val="00A418DF"/>
    <w:rsid w:val="00A41BF5"/>
    <w:rsid w:val="00A46548"/>
    <w:rsid w:val="00A51BFE"/>
    <w:rsid w:val="00A5305A"/>
    <w:rsid w:val="00A537A4"/>
    <w:rsid w:val="00A55AF5"/>
    <w:rsid w:val="00A55B45"/>
    <w:rsid w:val="00A55BFD"/>
    <w:rsid w:val="00A568E0"/>
    <w:rsid w:val="00A56A28"/>
    <w:rsid w:val="00A56D66"/>
    <w:rsid w:val="00A610A0"/>
    <w:rsid w:val="00A61446"/>
    <w:rsid w:val="00A64799"/>
    <w:rsid w:val="00A64DC4"/>
    <w:rsid w:val="00A731EC"/>
    <w:rsid w:val="00A73E29"/>
    <w:rsid w:val="00A755F9"/>
    <w:rsid w:val="00A80602"/>
    <w:rsid w:val="00A81166"/>
    <w:rsid w:val="00A839FA"/>
    <w:rsid w:val="00A857F5"/>
    <w:rsid w:val="00A8589A"/>
    <w:rsid w:val="00A86535"/>
    <w:rsid w:val="00A8676B"/>
    <w:rsid w:val="00A906F5"/>
    <w:rsid w:val="00A92257"/>
    <w:rsid w:val="00A92DDD"/>
    <w:rsid w:val="00A94CB3"/>
    <w:rsid w:val="00A97F03"/>
    <w:rsid w:val="00AA29A6"/>
    <w:rsid w:val="00AA2EE4"/>
    <w:rsid w:val="00AA715B"/>
    <w:rsid w:val="00AB1E87"/>
    <w:rsid w:val="00AB25D1"/>
    <w:rsid w:val="00AB2B5C"/>
    <w:rsid w:val="00AB2FB5"/>
    <w:rsid w:val="00AB6A51"/>
    <w:rsid w:val="00AB6B99"/>
    <w:rsid w:val="00AB6F27"/>
    <w:rsid w:val="00AB7465"/>
    <w:rsid w:val="00AB75E7"/>
    <w:rsid w:val="00AC1904"/>
    <w:rsid w:val="00AC1E2B"/>
    <w:rsid w:val="00AC707A"/>
    <w:rsid w:val="00AC7319"/>
    <w:rsid w:val="00AC7AAE"/>
    <w:rsid w:val="00AD2C47"/>
    <w:rsid w:val="00AD4917"/>
    <w:rsid w:val="00AD5DCE"/>
    <w:rsid w:val="00AE0D90"/>
    <w:rsid w:val="00AE2C2B"/>
    <w:rsid w:val="00AE5376"/>
    <w:rsid w:val="00AE75E7"/>
    <w:rsid w:val="00AE7741"/>
    <w:rsid w:val="00AF13C5"/>
    <w:rsid w:val="00AF307A"/>
    <w:rsid w:val="00AF5D2D"/>
    <w:rsid w:val="00AF6108"/>
    <w:rsid w:val="00AF6A66"/>
    <w:rsid w:val="00B01AD4"/>
    <w:rsid w:val="00B029DC"/>
    <w:rsid w:val="00B11AC0"/>
    <w:rsid w:val="00B12C9E"/>
    <w:rsid w:val="00B17AC9"/>
    <w:rsid w:val="00B255CE"/>
    <w:rsid w:val="00B27FAF"/>
    <w:rsid w:val="00B31227"/>
    <w:rsid w:val="00B33AEC"/>
    <w:rsid w:val="00B349BE"/>
    <w:rsid w:val="00B34A62"/>
    <w:rsid w:val="00B36ADF"/>
    <w:rsid w:val="00B4108A"/>
    <w:rsid w:val="00B415E0"/>
    <w:rsid w:val="00B432E7"/>
    <w:rsid w:val="00B4425A"/>
    <w:rsid w:val="00B44639"/>
    <w:rsid w:val="00B44E2D"/>
    <w:rsid w:val="00B5011D"/>
    <w:rsid w:val="00B51EB4"/>
    <w:rsid w:val="00B5243E"/>
    <w:rsid w:val="00B53DDB"/>
    <w:rsid w:val="00B54921"/>
    <w:rsid w:val="00B615D6"/>
    <w:rsid w:val="00B62704"/>
    <w:rsid w:val="00B62955"/>
    <w:rsid w:val="00B6518F"/>
    <w:rsid w:val="00B66384"/>
    <w:rsid w:val="00B706C1"/>
    <w:rsid w:val="00B70831"/>
    <w:rsid w:val="00B737B8"/>
    <w:rsid w:val="00B73B93"/>
    <w:rsid w:val="00B8035B"/>
    <w:rsid w:val="00B80C92"/>
    <w:rsid w:val="00B80DDD"/>
    <w:rsid w:val="00B8325C"/>
    <w:rsid w:val="00B90EA0"/>
    <w:rsid w:val="00B9276B"/>
    <w:rsid w:val="00BA3BDE"/>
    <w:rsid w:val="00BA48DA"/>
    <w:rsid w:val="00BA4A70"/>
    <w:rsid w:val="00BB2A03"/>
    <w:rsid w:val="00BB496A"/>
    <w:rsid w:val="00BB49F5"/>
    <w:rsid w:val="00BB56E9"/>
    <w:rsid w:val="00BB791B"/>
    <w:rsid w:val="00BC0A5D"/>
    <w:rsid w:val="00BC4BC0"/>
    <w:rsid w:val="00BC7853"/>
    <w:rsid w:val="00BC78A3"/>
    <w:rsid w:val="00BC7B53"/>
    <w:rsid w:val="00BD2140"/>
    <w:rsid w:val="00BD330B"/>
    <w:rsid w:val="00BD56F6"/>
    <w:rsid w:val="00BE1440"/>
    <w:rsid w:val="00BE5DEF"/>
    <w:rsid w:val="00BE60D9"/>
    <w:rsid w:val="00BE7420"/>
    <w:rsid w:val="00BF1D06"/>
    <w:rsid w:val="00BF25FE"/>
    <w:rsid w:val="00BF31E9"/>
    <w:rsid w:val="00BF40C4"/>
    <w:rsid w:val="00BF6F6E"/>
    <w:rsid w:val="00C009E0"/>
    <w:rsid w:val="00C01335"/>
    <w:rsid w:val="00C055E9"/>
    <w:rsid w:val="00C110DB"/>
    <w:rsid w:val="00C114D8"/>
    <w:rsid w:val="00C13E1C"/>
    <w:rsid w:val="00C14472"/>
    <w:rsid w:val="00C14F47"/>
    <w:rsid w:val="00C153D1"/>
    <w:rsid w:val="00C17B24"/>
    <w:rsid w:val="00C20C13"/>
    <w:rsid w:val="00C20EC2"/>
    <w:rsid w:val="00C22E70"/>
    <w:rsid w:val="00C23D36"/>
    <w:rsid w:val="00C25A69"/>
    <w:rsid w:val="00C266D0"/>
    <w:rsid w:val="00C272EB"/>
    <w:rsid w:val="00C27E42"/>
    <w:rsid w:val="00C30DCA"/>
    <w:rsid w:val="00C311AE"/>
    <w:rsid w:val="00C3287F"/>
    <w:rsid w:val="00C34900"/>
    <w:rsid w:val="00C401DC"/>
    <w:rsid w:val="00C4163B"/>
    <w:rsid w:val="00C430A2"/>
    <w:rsid w:val="00C51127"/>
    <w:rsid w:val="00C55863"/>
    <w:rsid w:val="00C562F1"/>
    <w:rsid w:val="00C56E5C"/>
    <w:rsid w:val="00C57EAB"/>
    <w:rsid w:val="00C63DC2"/>
    <w:rsid w:val="00C67293"/>
    <w:rsid w:val="00C6772D"/>
    <w:rsid w:val="00C6779C"/>
    <w:rsid w:val="00C72786"/>
    <w:rsid w:val="00C7491C"/>
    <w:rsid w:val="00C75CF4"/>
    <w:rsid w:val="00C77911"/>
    <w:rsid w:val="00C779A1"/>
    <w:rsid w:val="00C77F1C"/>
    <w:rsid w:val="00C82C81"/>
    <w:rsid w:val="00C83461"/>
    <w:rsid w:val="00C839AD"/>
    <w:rsid w:val="00C84403"/>
    <w:rsid w:val="00C8681F"/>
    <w:rsid w:val="00C87A29"/>
    <w:rsid w:val="00C913C8"/>
    <w:rsid w:val="00C9563E"/>
    <w:rsid w:val="00C9571E"/>
    <w:rsid w:val="00C958A8"/>
    <w:rsid w:val="00C95DBA"/>
    <w:rsid w:val="00C976DE"/>
    <w:rsid w:val="00CA0D07"/>
    <w:rsid w:val="00CA339E"/>
    <w:rsid w:val="00CA3891"/>
    <w:rsid w:val="00CB0DEA"/>
    <w:rsid w:val="00CB20D7"/>
    <w:rsid w:val="00CB32FB"/>
    <w:rsid w:val="00CB4FD0"/>
    <w:rsid w:val="00CB77CC"/>
    <w:rsid w:val="00CC1407"/>
    <w:rsid w:val="00CC250E"/>
    <w:rsid w:val="00CC6CE6"/>
    <w:rsid w:val="00CD0ADC"/>
    <w:rsid w:val="00CD221A"/>
    <w:rsid w:val="00CD6190"/>
    <w:rsid w:val="00CD7CB6"/>
    <w:rsid w:val="00CE1B12"/>
    <w:rsid w:val="00CE1E13"/>
    <w:rsid w:val="00CE2437"/>
    <w:rsid w:val="00CE2E03"/>
    <w:rsid w:val="00CF110D"/>
    <w:rsid w:val="00CF23DF"/>
    <w:rsid w:val="00CF3CD6"/>
    <w:rsid w:val="00CF6BDA"/>
    <w:rsid w:val="00CF76D7"/>
    <w:rsid w:val="00D02CFC"/>
    <w:rsid w:val="00D03881"/>
    <w:rsid w:val="00D03AEA"/>
    <w:rsid w:val="00D03C00"/>
    <w:rsid w:val="00D0546D"/>
    <w:rsid w:val="00D06C7B"/>
    <w:rsid w:val="00D073FE"/>
    <w:rsid w:val="00D07B35"/>
    <w:rsid w:val="00D113F0"/>
    <w:rsid w:val="00D12F7F"/>
    <w:rsid w:val="00D16921"/>
    <w:rsid w:val="00D20329"/>
    <w:rsid w:val="00D31024"/>
    <w:rsid w:val="00D32591"/>
    <w:rsid w:val="00D35268"/>
    <w:rsid w:val="00D36239"/>
    <w:rsid w:val="00D365C8"/>
    <w:rsid w:val="00D37154"/>
    <w:rsid w:val="00D3756F"/>
    <w:rsid w:val="00D431AE"/>
    <w:rsid w:val="00D445DF"/>
    <w:rsid w:val="00D47BE9"/>
    <w:rsid w:val="00D47CEC"/>
    <w:rsid w:val="00D52447"/>
    <w:rsid w:val="00D5338D"/>
    <w:rsid w:val="00D54F20"/>
    <w:rsid w:val="00D55511"/>
    <w:rsid w:val="00D5557E"/>
    <w:rsid w:val="00D642E6"/>
    <w:rsid w:val="00D65F3D"/>
    <w:rsid w:val="00D66710"/>
    <w:rsid w:val="00D709E5"/>
    <w:rsid w:val="00D71D65"/>
    <w:rsid w:val="00D72759"/>
    <w:rsid w:val="00D77D11"/>
    <w:rsid w:val="00D80070"/>
    <w:rsid w:val="00D80C01"/>
    <w:rsid w:val="00D830C3"/>
    <w:rsid w:val="00D84F6C"/>
    <w:rsid w:val="00D863C8"/>
    <w:rsid w:val="00D87B3E"/>
    <w:rsid w:val="00D90352"/>
    <w:rsid w:val="00D91D5A"/>
    <w:rsid w:val="00D93BF7"/>
    <w:rsid w:val="00DA0AF0"/>
    <w:rsid w:val="00DA3448"/>
    <w:rsid w:val="00DA3901"/>
    <w:rsid w:val="00DA39D6"/>
    <w:rsid w:val="00DA4EF5"/>
    <w:rsid w:val="00DA5C52"/>
    <w:rsid w:val="00DA72E8"/>
    <w:rsid w:val="00DA7CCD"/>
    <w:rsid w:val="00DB1A60"/>
    <w:rsid w:val="00DB5D57"/>
    <w:rsid w:val="00DB6EFC"/>
    <w:rsid w:val="00DC04F2"/>
    <w:rsid w:val="00DC38F8"/>
    <w:rsid w:val="00DC4760"/>
    <w:rsid w:val="00DC4EB2"/>
    <w:rsid w:val="00DC742C"/>
    <w:rsid w:val="00DD2266"/>
    <w:rsid w:val="00DD463C"/>
    <w:rsid w:val="00DD5123"/>
    <w:rsid w:val="00DE0D76"/>
    <w:rsid w:val="00DE29F1"/>
    <w:rsid w:val="00DE4F44"/>
    <w:rsid w:val="00DE690F"/>
    <w:rsid w:val="00DE7C2E"/>
    <w:rsid w:val="00DF226E"/>
    <w:rsid w:val="00DF2C2C"/>
    <w:rsid w:val="00DF3068"/>
    <w:rsid w:val="00DF314B"/>
    <w:rsid w:val="00DF5F21"/>
    <w:rsid w:val="00E036A8"/>
    <w:rsid w:val="00E12CB8"/>
    <w:rsid w:val="00E13CF5"/>
    <w:rsid w:val="00E13D67"/>
    <w:rsid w:val="00E1433B"/>
    <w:rsid w:val="00E1444F"/>
    <w:rsid w:val="00E2147E"/>
    <w:rsid w:val="00E215E8"/>
    <w:rsid w:val="00E21FC0"/>
    <w:rsid w:val="00E2204C"/>
    <w:rsid w:val="00E22BEA"/>
    <w:rsid w:val="00E25211"/>
    <w:rsid w:val="00E27228"/>
    <w:rsid w:val="00E30B1C"/>
    <w:rsid w:val="00E31C22"/>
    <w:rsid w:val="00E33508"/>
    <w:rsid w:val="00E3463B"/>
    <w:rsid w:val="00E35CB5"/>
    <w:rsid w:val="00E36E03"/>
    <w:rsid w:val="00E40785"/>
    <w:rsid w:val="00E42543"/>
    <w:rsid w:val="00E42A8E"/>
    <w:rsid w:val="00E43F97"/>
    <w:rsid w:val="00E46FFB"/>
    <w:rsid w:val="00E50518"/>
    <w:rsid w:val="00E50E74"/>
    <w:rsid w:val="00E527EE"/>
    <w:rsid w:val="00E539FD"/>
    <w:rsid w:val="00E54915"/>
    <w:rsid w:val="00E63FFE"/>
    <w:rsid w:val="00E645E2"/>
    <w:rsid w:val="00E67306"/>
    <w:rsid w:val="00E6754B"/>
    <w:rsid w:val="00E71B48"/>
    <w:rsid w:val="00E72B54"/>
    <w:rsid w:val="00E7408D"/>
    <w:rsid w:val="00E742BD"/>
    <w:rsid w:val="00E747AC"/>
    <w:rsid w:val="00E75F23"/>
    <w:rsid w:val="00E770C4"/>
    <w:rsid w:val="00E805B4"/>
    <w:rsid w:val="00E82DF8"/>
    <w:rsid w:val="00E875CC"/>
    <w:rsid w:val="00E910A0"/>
    <w:rsid w:val="00E95384"/>
    <w:rsid w:val="00E95E8F"/>
    <w:rsid w:val="00EA0108"/>
    <w:rsid w:val="00EA19AF"/>
    <w:rsid w:val="00EA22DC"/>
    <w:rsid w:val="00EA2EBE"/>
    <w:rsid w:val="00EB076F"/>
    <w:rsid w:val="00EB34C4"/>
    <w:rsid w:val="00EB4BC0"/>
    <w:rsid w:val="00EB51BD"/>
    <w:rsid w:val="00EB5665"/>
    <w:rsid w:val="00EB7F0C"/>
    <w:rsid w:val="00EC070C"/>
    <w:rsid w:val="00EC1C34"/>
    <w:rsid w:val="00EC632C"/>
    <w:rsid w:val="00ED118F"/>
    <w:rsid w:val="00ED3D67"/>
    <w:rsid w:val="00ED5665"/>
    <w:rsid w:val="00ED5FDF"/>
    <w:rsid w:val="00EE1693"/>
    <w:rsid w:val="00EE2407"/>
    <w:rsid w:val="00EE7347"/>
    <w:rsid w:val="00EF0A5B"/>
    <w:rsid w:val="00EF3ADB"/>
    <w:rsid w:val="00EF51B8"/>
    <w:rsid w:val="00EF5E2C"/>
    <w:rsid w:val="00EF5F40"/>
    <w:rsid w:val="00EF69BA"/>
    <w:rsid w:val="00EF6A1E"/>
    <w:rsid w:val="00EF7B77"/>
    <w:rsid w:val="00F0156A"/>
    <w:rsid w:val="00F01864"/>
    <w:rsid w:val="00F02E75"/>
    <w:rsid w:val="00F04713"/>
    <w:rsid w:val="00F06AC5"/>
    <w:rsid w:val="00F07343"/>
    <w:rsid w:val="00F0779B"/>
    <w:rsid w:val="00F1060C"/>
    <w:rsid w:val="00F14075"/>
    <w:rsid w:val="00F14922"/>
    <w:rsid w:val="00F16BEB"/>
    <w:rsid w:val="00F2078D"/>
    <w:rsid w:val="00F2248A"/>
    <w:rsid w:val="00F25822"/>
    <w:rsid w:val="00F27F15"/>
    <w:rsid w:val="00F3230F"/>
    <w:rsid w:val="00F340AF"/>
    <w:rsid w:val="00F3428D"/>
    <w:rsid w:val="00F37BDD"/>
    <w:rsid w:val="00F41316"/>
    <w:rsid w:val="00F416AF"/>
    <w:rsid w:val="00F442D8"/>
    <w:rsid w:val="00F45F33"/>
    <w:rsid w:val="00F46817"/>
    <w:rsid w:val="00F47068"/>
    <w:rsid w:val="00F516F1"/>
    <w:rsid w:val="00F53BCC"/>
    <w:rsid w:val="00F53F8B"/>
    <w:rsid w:val="00F55C63"/>
    <w:rsid w:val="00F57A84"/>
    <w:rsid w:val="00F650D2"/>
    <w:rsid w:val="00F67603"/>
    <w:rsid w:val="00F74ABE"/>
    <w:rsid w:val="00F75972"/>
    <w:rsid w:val="00F76BC8"/>
    <w:rsid w:val="00F77450"/>
    <w:rsid w:val="00F777CD"/>
    <w:rsid w:val="00F8080F"/>
    <w:rsid w:val="00F81116"/>
    <w:rsid w:val="00F816F9"/>
    <w:rsid w:val="00F818D4"/>
    <w:rsid w:val="00F83FC5"/>
    <w:rsid w:val="00F84E3C"/>
    <w:rsid w:val="00F86A20"/>
    <w:rsid w:val="00F905B9"/>
    <w:rsid w:val="00F913C2"/>
    <w:rsid w:val="00F91DF4"/>
    <w:rsid w:val="00F92BC3"/>
    <w:rsid w:val="00F959B4"/>
    <w:rsid w:val="00F95D68"/>
    <w:rsid w:val="00FA07DE"/>
    <w:rsid w:val="00FA0965"/>
    <w:rsid w:val="00FA5CD9"/>
    <w:rsid w:val="00FB2003"/>
    <w:rsid w:val="00FB3951"/>
    <w:rsid w:val="00FB596D"/>
    <w:rsid w:val="00FB644E"/>
    <w:rsid w:val="00FC48D2"/>
    <w:rsid w:val="00FC5782"/>
    <w:rsid w:val="00FD205F"/>
    <w:rsid w:val="00FD594A"/>
    <w:rsid w:val="00FD5C5F"/>
    <w:rsid w:val="00FD6045"/>
    <w:rsid w:val="00FE10DA"/>
    <w:rsid w:val="00FE3479"/>
    <w:rsid w:val="00FE4E73"/>
    <w:rsid w:val="00FE7A67"/>
    <w:rsid w:val="00FE7EC9"/>
    <w:rsid w:val="00FF0023"/>
    <w:rsid w:val="00FF1AD7"/>
    <w:rsid w:val="00FF4A63"/>
    <w:rsid w:val="00FF61E9"/>
    <w:rsid w:val="00FF6695"/>
    <w:rsid w:val="00FF68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36D27F7"/>
  <w14:defaultImageDpi w14:val="32767"/>
  <w15:chartTrackingRefBased/>
  <w15:docId w15:val="{D34093FC-1F7D-CD4B-9386-FCDFDB731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24704"/>
    <w:rPr>
      <w:rFonts w:ascii="Times New Roman" w:eastAsia="Times New Roman" w:hAnsi="Times New Roman" w:cs="Times New Roman"/>
      <w:lang w:val="es-E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4704"/>
    <w:rPr>
      <w:color w:val="0563C1" w:themeColor="hyperlink"/>
      <w:u w:val="single"/>
    </w:rPr>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Footnote reference,FA Fu,Ca,fn"/>
    <w:basedOn w:val="Normal"/>
    <w:link w:val="FootnoteTextChar"/>
    <w:uiPriority w:val="99"/>
    <w:unhideWhenUsed/>
    <w:qFormat/>
    <w:rsid w:val="00824704"/>
    <w:rPr>
      <w:rFonts w:asciiTheme="minorHAnsi" w:eastAsiaTheme="minorEastAsia" w:hAnsiTheme="minorHAnsi" w:cstheme="minorBidi"/>
      <w:lang w:val="en-US" w:eastAsia="en-US"/>
    </w:rPr>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Footnote reference Char,FA Fu Char,Ca Char"/>
    <w:basedOn w:val="DefaultParagraphFont"/>
    <w:link w:val="FootnoteText"/>
    <w:rsid w:val="00824704"/>
    <w:rPr>
      <w:rFonts w:eastAsiaTheme="minorEastAsia"/>
      <w:lang w:val="en-US"/>
    </w:rPr>
  </w:style>
  <w:style w:type="character" w:styleId="FootnoteReference">
    <w:name w:val="footnote reference"/>
    <w:aliases w:val="Appel note de bas de page,Texto de nota al pie,Footnotes refss,referencia nota al pie,BVI fnr,Footnote number,f,4_G,16 Point,Superscript 6 Point,Texto nota al pie,Ref. de nota al pie 2,Footnote Reference Char3,Footnote tex,Ref"/>
    <w:basedOn w:val="DefaultParagraphFont"/>
    <w:link w:val="Appelnotedebasde"/>
    <w:uiPriority w:val="99"/>
    <w:unhideWhenUsed/>
    <w:rsid w:val="00824704"/>
    <w:rPr>
      <w:vertAlign w:val="superscript"/>
    </w:rPr>
  </w:style>
  <w:style w:type="paragraph" w:styleId="ListParagraph">
    <w:name w:val="List Paragraph"/>
    <w:basedOn w:val="Normal"/>
    <w:uiPriority w:val="34"/>
    <w:qFormat/>
    <w:rsid w:val="00824704"/>
    <w:pPr>
      <w:ind w:left="720"/>
      <w:contextualSpacing/>
    </w:pPr>
  </w:style>
  <w:style w:type="paragraph" w:styleId="Footer">
    <w:name w:val="footer"/>
    <w:basedOn w:val="Normal"/>
    <w:link w:val="FooterChar"/>
    <w:uiPriority w:val="99"/>
    <w:unhideWhenUsed/>
    <w:rsid w:val="00546EC6"/>
    <w:pPr>
      <w:tabs>
        <w:tab w:val="center" w:pos="4419"/>
        <w:tab w:val="right" w:pos="8838"/>
      </w:tabs>
    </w:pPr>
  </w:style>
  <w:style w:type="character" w:customStyle="1" w:styleId="FooterChar">
    <w:name w:val="Footer Char"/>
    <w:basedOn w:val="DefaultParagraphFont"/>
    <w:link w:val="Footer"/>
    <w:uiPriority w:val="99"/>
    <w:rsid w:val="00546EC6"/>
    <w:rPr>
      <w:rFonts w:ascii="Times New Roman" w:eastAsia="Times New Roman" w:hAnsi="Times New Roman" w:cs="Times New Roman"/>
      <w:lang w:val="es-ES" w:eastAsia="en-GB"/>
    </w:rPr>
  </w:style>
  <w:style w:type="character" w:styleId="PageNumber">
    <w:name w:val="page number"/>
    <w:basedOn w:val="DefaultParagraphFont"/>
    <w:uiPriority w:val="99"/>
    <w:semiHidden/>
    <w:unhideWhenUsed/>
    <w:rsid w:val="00546EC6"/>
  </w:style>
  <w:style w:type="paragraph" w:styleId="NormalWeb">
    <w:name w:val="Normal (Web)"/>
    <w:basedOn w:val="Normal"/>
    <w:uiPriority w:val="99"/>
    <w:unhideWhenUsed/>
    <w:rsid w:val="004B6373"/>
    <w:pPr>
      <w:spacing w:before="100" w:beforeAutospacing="1" w:after="100" w:afterAutospacing="1"/>
    </w:pPr>
    <w:rPr>
      <w:lang w:val="en-PT"/>
    </w:rPr>
  </w:style>
  <w:style w:type="paragraph" w:styleId="BalloonText">
    <w:name w:val="Balloon Text"/>
    <w:basedOn w:val="Normal"/>
    <w:link w:val="BalloonTextChar"/>
    <w:uiPriority w:val="99"/>
    <w:semiHidden/>
    <w:unhideWhenUsed/>
    <w:rsid w:val="002359DE"/>
    <w:rPr>
      <w:sz w:val="18"/>
      <w:szCs w:val="18"/>
    </w:rPr>
  </w:style>
  <w:style w:type="character" w:customStyle="1" w:styleId="BalloonTextChar">
    <w:name w:val="Balloon Text Char"/>
    <w:basedOn w:val="DefaultParagraphFont"/>
    <w:link w:val="BalloonText"/>
    <w:uiPriority w:val="99"/>
    <w:semiHidden/>
    <w:rsid w:val="002359DE"/>
    <w:rPr>
      <w:rFonts w:ascii="Times New Roman" w:eastAsia="Times New Roman" w:hAnsi="Times New Roman" w:cs="Times New Roman"/>
      <w:sz w:val="18"/>
      <w:szCs w:val="18"/>
      <w:lang w:val="es-ES" w:eastAsia="en-GB"/>
    </w:rPr>
  </w:style>
  <w:style w:type="character" w:styleId="UnresolvedMention">
    <w:name w:val="Unresolved Mention"/>
    <w:basedOn w:val="DefaultParagraphFont"/>
    <w:uiPriority w:val="99"/>
    <w:rsid w:val="00060EE7"/>
    <w:rPr>
      <w:color w:val="605E5C"/>
      <w:shd w:val="clear" w:color="auto" w:fill="E1DFDD"/>
    </w:rPr>
  </w:style>
  <w:style w:type="paragraph" w:customStyle="1" w:styleId="Appelnotedebasde">
    <w:name w:val="Appel note de bas de..."/>
    <w:basedOn w:val="Normal"/>
    <w:link w:val="FootnoteReference"/>
    <w:uiPriority w:val="99"/>
    <w:rsid w:val="00E46FFB"/>
    <w:pPr>
      <w:autoSpaceDE w:val="0"/>
      <w:autoSpaceDN w:val="0"/>
      <w:adjustRightInd w:val="0"/>
      <w:spacing w:after="160" w:line="240" w:lineRule="exact"/>
      <w:contextualSpacing/>
      <w:jc w:val="both"/>
    </w:pPr>
    <w:rPr>
      <w:rFonts w:asciiTheme="minorHAnsi" w:eastAsiaTheme="minorHAnsi" w:hAnsiTheme="minorHAnsi" w:cstheme="minorBidi"/>
      <w:vertAlign w:val="superscript"/>
      <w:lang w:val="en-GB" w:eastAsia="en-US"/>
    </w:rPr>
  </w:style>
  <w:style w:type="character" w:styleId="FollowedHyperlink">
    <w:name w:val="FollowedHyperlink"/>
    <w:basedOn w:val="DefaultParagraphFont"/>
    <w:uiPriority w:val="99"/>
    <w:semiHidden/>
    <w:unhideWhenUsed/>
    <w:rsid w:val="008C7E69"/>
    <w:rPr>
      <w:color w:val="954F72" w:themeColor="followedHyperlink"/>
      <w:u w:val="single"/>
    </w:rPr>
  </w:style>
  <w:style w:type="character" w:customStyle="1" w:styleId="authors">
    <w:name w:val="authors"/>
    <w:basedOn w:val="DefaultParagraphFont"/>
    <w:rsid w:val="00A06F02"/>
  </w:style>
  <w:style w:type="character" w:customStyle="1" w:styleId="apple-converted-space">
    <w:name w:val="apple-converted-space"/>
    <w:basedOn w:val="DefaultParagraphFont"/>
    <w:rsid w:val="00A06F02"/>
  </w:style>
  <w:style w:type="character" w:customStyle="1" w:styleId="Date1">
    <w:name w:val="Date1"/>
    <w:basedOn w:val="DefaultParagraphFont"/>
    <w:rsid w:val="00A06F02"/>
  </w:style>
  <w:style w:type="character" w:customStyle="1" w:styleId="arttitle">
    <w:name w:val="art_title"/>
    <w:basedOn w:val="DefaultParagraphFont"/>
    <w:rsid w:val="00A06F02"/>
  </w:style>
  <w:style w:type="character" w:customStyle="1" w:styleId="serialtitle">
    <w:name w:val="serial_title"/>
    <w:basedOn w:val="DefaultParagraphFont"/>
    <w:rsid w:val="00A06F02"/>
  </w:style>
  <w:style w:type="character" w:customStyle="1" w:styleId="volumeissue">
    <w:name w:val="volume_issue"/>
    <w:basedOn w:val="DefaultParagraphFont"/>
    <w:rsid w:val="00A06F02"/>
  </w:style>
  <w:style w:type="character" w:customStyle="1" w:styleId="pagerange">
    <w:name w:val="page_range"/>
    <w:basedOn w:val="DefaultParagraphFont"/>
    <w:rsid w:val="00A06F02"/>
  </w:style>
  <w:style w:type="paragraph" w:styleId="EndnoteText">
    <w:name w:val="endnote text"/>
    <w:basedOn w:val="Normal"/>
    <w:link w:val="EndnoteTextChar"/>
    <w:uiPriority w:val="99"/>
    <w:semiHidden/>
    <w:unhideWhenUsed/>
    <w:rsid w:val="007A4DF1"/>
    <w:rPr>
      <w:sz w:val="20"/>
      <w:szCs w:val="20"/>
    </w:rPr>
  </w:style>
  <w:style w:type="character" w:customStyle="1" w:styleId="EndnoteTextChar">
    <w:name w:val="Endnote Text Char"/>
    <w:basedOn w:val="DefaultParagraphFont"/>
    <w:link w:val="EndnoteText"/>
    <w:uiPriority w:val="99"/>
    <w:semiHidden/>
    <w:rsid w:val="007A4DF1"/>
    <w:rPr>
      <w:rFonts w:ascii="Times New Roman" w:eastAsia="Times New Roman" w:hAnsi="Times New Roman" w:cs="Times New Roman"/>
      <w:sz w:val="20"/>
      <w:szCs w:val="20"/>
      <w:lang w:val="es-ES" w:eastAsia="en-GB"/>
    </w:rPr>
  </w:style>
  <w:style w:type="character" w:styleId="EndnoteReference">
    <w:name w:val="endnote reference"/>
    <w:basedOn w:val="DefaultParagraphFont"/>
    <w:uiPriority w:val="99"/>
    <w:semiHidden/>
    <w:unhideWhenUsed/>
    <w:rsid w:val="007A4DF1"/>
    <w:rPr>
      <w:vertAlign w:val="superscript"/>
    </w:rPr>
  </w:style>
  <w:style w:type="character" w:styleId="Emphasis">
    <w:name w:val="Emphasis"/>
    <w:basedOn w:val="DefaultParagraphFont"/>
    <w:uiPriority w:val="20"/>
    <w:qFormat/>
    <w:rsid w:val="00502DB1"/>
    <w:rPr>
      <w:i/>
      <w:iCs/>
    </w:rPr>
  </w:style>
  <w:style w:type="paragraph" w:styleId="Header">
    <w:name w:val="header"/>
    <w:basedOn w:val="Normal"/>
    <w:link w:val="HeaderChar"/>
    <w:uiPriority w:val="99"/>
    <w:unhideWhenUsed/>
    <w:rsid w:val="002F0AD1"/>
    <w:pPr>
      <w:tabs>
        <w:tab w:val="center" w:pos="4513"/>
        <w:tab w:val="right" w:pos="9026"/>
      </w:tabs>
    </w:pPr>
  </w:style>
  <w:style w:type="character" w:customStyle="1" w:styleId="HeaderChar">
    <w:name w:val="Header Char"/>
    <w:basedOn w:val="DefaultParagraphFont"/>
    <w:link w:val="Header"/>
    <w:uiPriority w:val="99"/>
    <w:rsid w:val="002F0AD1"/>
    <w:rPr>
      <w:rFonts w:ascii="Times New Roman" w:eastAsia="Times New Roman" w:hAnsi="Times New Roman" w:cs="Times New Roman"/>
      <w:lang w:val="es-E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744375">
      <w:bodyDiv w:val="1"/>
      <w:marLeft w:val="0"/>
      <w:marRight w:val="0"/>
      <w:marTop w:val="0"/>
      <w:marBottom w:val="0"/>
      <w:divBdr>
        <w:top w:val="none" w:sz="0" w:space="0" w:color="auto"/>
        <w:left w:val="none" w:sz="0" w:space="0" w:color="auto"/>
        <w:bottom w:val="none" w:sz="0" w:space="0" w:color="auto"/>
        <w:right w:val="none" w:sz="0" w:space="0" w:color="auto"/>
      </w:divBdr>
      <w:divsChild>
        <w:div w:id="771701087">
          <w:marLeft w:val="0"/>
          <w:marRight w:val="0"/>
          <w:marTop w:val="0"/>
          <w:marBottom w:val="0"/>
          <w:divBdr>
            <w:top w:val="none" w:sz="0" w:space="0" w:color="auto"/>
            <w:left w:val="none" w:sz="0" w:space="0" w:color="auto"/>
            <w:bottom w:val="none" w:sz="0" w:space="0" w:color="auto"/>
            <w:right w:val="none" w:sz="0" w:space="0" w:color="auto"/>
          </w:divBdr>
          <w:divsChild>
            <w:div w:id="1676566442">
              <w:marLeft w:val="0"/>
              <w:marRight w:val="0"/>
              <w:marTop w:val="0"/>
              <w:marBottom w:val="0"/>
              <w:divBdr>
                <w:top w:val="none" w:sz="0" w:space="0" w:color="auto"/>
                <w:left w:val="none" w:sz="0" w:space="0" w:color="auto"/>
                <w:bottom w:val="none" w:sz="0" w:space="0" w:color="auto"/>
                <w:right w:val="none" w:sz="0" w:space="0" w:color="auto"/>
              </w:divBdr>
              <w:divsChild>
                <w:div w:id="100736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65533">
      <w:bodyDiv w:val="1"/>
      <w:marLeft w:val="0"/>
      <w:marRight w:val="0"/>
      <w:marTop w:val="0"/>
      <w:marBottom w:val="0"/>
      <w:divBdr>
        <w:top w:val="none" w:sz="0" w:space="0" w:color="auto"/>
        <w:left w:val="none" w:sz="0" w:space="0" w:color="auto"/>
        <w:bottom w:val="none" w:sz="0" w:space="0" w:color="auto"/>
        <w:right w:val="none" w:sz="0" w:space="0" w:color="auto"/>
      </w:divBdr>
    </w:div>
    <w:div w:id="202863472">
      <w:bodyDiv w:val="1"/>
      <w:marLeft w:val="0"/>
      <w:marRight w:val="0"/>
      <w:marTop w:val="0"/>
      <w:marBottom w:val="0"/>
      <w:divBdr>
        <w:top w:val="none" w:sz="0" w:space="0" w:color="auto"/>
        <w:left w:val="none" w:sz="0" w:space="0" w:color="auto"/>
        <w:bottom w:val="none" w:sz="0" w:space="0" w:color="auto"/>
        <w:right w:val="none" w:sz="0" w:space="0" w:color="auto"/>
      </w:divBdr>
      <w:divsChild>
        <w:div w:id="189799766">
          <w:marLeft w:val="0"/>
          <w:marRight w:val="0"/>
          <w:marTop w:val="0"/>
          <w:marBottom w:val="0"/>
          <w:divBdr>
            <w:top w:val="none" w:sz="0" w:space="0" w:color="auto"/>
            <w:left w:val="none" w:sz="0" w:space="0" w:color="auto"/>
            <w:bottom w:val="none" w:sz="0" w:space="0" w:color="auto"/>
            <w:right w:val="none" w:sz="0" w:space="0" w:color="auto"/>
          </w:divBdr>
          <w:divsChild>
            <w:div w:id="939723046">
              <w:marLeft w:val="0"/>
              <w:marRight w:val="0"/>
              <w:marTop w:val="0"/>
              <w:marBottom w:val="0"/>
              <w:divBdr>
                <w:top w:val="none" w:sz="0" w:space="0" w:color="auto"/>
                <w:left w:val="none" w:sz="0" w:space="0" w:color="auto"/>
                <w:bottom w:val="none" w:sz="0" w:space="0" w:color="auto"/>
                <w:right w:val="none" w:sz="0" w:space="0" w:color="auto"/>
              </w:divBdr>
              <w:divsChild>
                <w:div w:id="86070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409861">
      <w:bodyDiv w:val="1"/>
      <w:marLeft w:val="0"/>
      <w:marRight w:val="0"/>
      <w:marTop w:val="0"/>
      <w:marBottom w:val="0"/>
      <w:divBdr>
        <w:top w:val="none" w:sz="0" w:space="0" w:color="auto"/>
        <w:left w:val="none" w:sz="0" w:space="0" w:color="auto"/>
        <w:bottom w:val="none" w:sz="0" w:space="0" w:color="auto"/>
        <w:right w:val="none" w:sz="0" w:space="0" w:color="auto"/>
      </w:divBdr>
    </w:div>
    <w:div w:id="444814801">
      <w:bodyDiv w:val="1"/>
      <w:marLeft w:val="0"/>
      <w:marRight w:val="0"/>
      <w:marTop w:val="0"/>
      <w:marBottom w:val="0"/>
      <w:divBdr>
        <w:top w:val="none" w:sz="0" w:space="0" w:color="auto"/>
        <w:left w:val="none" w:sz="0" w:space="0" w:color="auto"/>
        <w:bottom w:val="none" w:sz="0" w:space="0" w:color="auto"/>
        <w:right w:val="none" w:sz="0" w:space="0" w:color="auto"/>
      </w:divBdr>
      <w:divsChild>
        <w:div w:id="714895118">
          <w:marLeft w:val="0"/>
          <w:marRight w:val="0"/>
          <w:marTop w:val="0"/>
          <w:marBottom w:val="0"/>
          <w:divBdr>
            <w:top w:val="none" w:sz="0" w:space="0" w:color="auto"/>
            <w:left w:val="none" w:sz="0" w:space="0" w:color="auto"/>
            <w:bottom w:val="none" w:sz="0" w:space="0" w:color="auto"/>
            <w:right w:val="none" w:sz="0" w:space="0" w:color="auto"/>
          </w:divBdr>
          <w:divsChild>
            <w:div w:id="803547260">
              <w:marLeft w:val="0"/>
              <w:marRight w:val="0"/>
              <w:marTop w:val="0"/>
              <w:marBottom w:val="0"/>
              <w:divBdr>
                <w:top w:val="none" w:sz="0" w:space="0" w:color="auto"/>
                <w:left w:val="none" w:sz="0" w:space="0" w:color="auto"/>
                <w:bottom w:val="none" w:sz="0" w:space="0" w:color="auto"/>
                <w:right w:val="none" w:sz="0" w:space="0" w:color="auto"/>
              </w:divBdr>
              <w:divsChild>
                <w:div w:id="160079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390861">
      <w:bodyDiv w:val="1"/>
      <w:marLeft w:val="0"/>
      <w:marRight w:val="0"/>
      <w:marTop w:val="0"/>
      <w:marBottom w:val="0"/>
      <w:divBdr>
        <w:top w:val="none" w:sz="0" w:space="0" w:color="auto"/>
        <w:left w:val="none" w:sz="0" w:space="0" w:color="auto"/>
        <w:bottom w:val="none" w:sz="0" w:space="0" w:color="auto"/>
        <w:right w:val="none" w:sz="0" w:space="0" w:color="auto"/>
      </w:divBdr>
    </w:div>
    <w:div w:id="548808151">
      <w:bodyDiv w:val="1"/>
      <w:marLeft w:val="0"/>
      <w:marRight w:val="0"/>
      <w:marTop w:val="0"/>
      <w:marBottom w:val="0"/>
      <w:divBdr>
        <w:top w:val="none" w:sz="0" w:space="0" w:color="auto"/>
        <w:left w:val="none" w:sz="0" w:space="0" w:color="auto"/>
        <w:bottom w:val="none" w:sz="0" w:space="0" w:color="auto"/>
        <w:right w:val="none" w:sz="0" w:space="0" w:color="auto"/>
      </w:divBdr>
      <w:divsChild>
        <w:div w:id="1980766978">
          <w:marLeft w:val="0"/>
          <w:marRight w:val="0"/>
          <w:marTop w:val="0"/>
          <w:marBottom w:val="0"/>
          <w:divBdr>
            <w:top w:val="none" w:sz="0" w:space="0" w:color="auto"/>
            <w:left w:val="none" w:sz="0" w:space="0" w:color="auto"/>
            <w:bottom w:val="none" w:sz="0" w:space="0" w:color="auto"/>
            <w:right w:val="none" w:sz="0" w:space="0" w:color="auto"/>
          </w:divBdr>
          <w:divsChild>
            <w:div w:id="1563757645">
              <w:marLeft w:val="0"/>
              <w:marRight w:val="0"/>
              <w:marTop w:val="0"/>
              <w:marBottom w:val="0"/>
              <w:divBdr>
                <w:top w:val="none" w:sz="0" w:space="0" w:color="auto"/>
                <w:left w:val="none" w:sz="0" w:space="0" w:color="auto"/>
                <w:bottom w:val="none" w:sz="0" w:space="0" w:color="auto"/>
                <w:right w:val="none" w:sz="0" w:space="0" w:color="auto"/>
              </w:divBdr>
              <w:divsChild>
                <w:div w:id="162997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920667">
      <w:bodyDiv w:val="1"/>
      <w:marLeft w:val="0"/>
      <w:marRight w:val="0"/>
      <w:marTop w:val="0"/>
      <w:marBottom w:val="0"/>
      <w:divBdr>
        <w:top w:val="none" w:sz="0" w:space="0" w:color="auto"/>
        <w:left w:val="none" w:sz="0" w:space="0" w:color="auto"/>
        <w:bottom w:val="none" w:sz="0" w:space="0" w:color="auto"/>
        <w:right w:val="none" w:sz="0" w:space="0" w:color="auto"/>
      </w:divBdr>
      <w:divsChild>
        <w:div w:id="1854373000">
          <w:marLeft w:val="0"/>
          <w:marRight w:val="0"/>
          <w:marTop w:val="0"/>
          <w:marBottom w:val="0"/>
          <w:divBdr>
            <w:top w:val="none" w:sz="0" w:space="0" w:color="auto"/>
            <w:left w:val="none" w:sz="0" w:space="0" w:color="auto"/>
            <w:bottom w:val="none" w:sz="0" w:space="0" w:color="auto"/>
            <w:right w:val="none" w:sz="0" w:space="0" w:color="auto"/>
          </w:divBdr>
          <w:divsChild>
            <w:div w:id="957025664">
              <w:marLeft w:val="0"/>
              <w:marRight w:val="0"/>
              <w:marTop w:val="0"/>
              <w:marBottom w:val="0"/>
              <w:divBdr>
                <w:top w:val="none" w:sz="0" w:space="0" w:color="auto"/>
                <w:left w:val="none" w:sz="0" w:space="0" w:color="auto"/>
                <w:bottom w:val="none" w:sz="0" w:space="0" w:color="auto"/>
                <w:right w:val="none" w:sz="0" w:space="0" w:color="auto"/>
              </w:divBdr>
              <w:divsChild>
                <w:div w:id="199683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548676">
      <w:bodyDiv w:val="1"/>
      <w:marLeft w:val="0"/>
      <w:marRight w:val="0"/>
      <w:marTop w:val="0"/>
      <w:marBottom w:val="0"/>
      <w:divBdr>
        <w:top w:val="none" w:sz="0" w:space="0" w:color="auto"/>
        <w:left w:val="none" w:sz="0" w:space="0" w:color="auto"/>
        <w:bottom w:val="none" w:sz="0" w:space="0" w:color="auto"/>
        <w:right w:val="none" w:sz="0" w:space="0" w:color="auto"/>
      </w:divBdr>
    </w:div>
    <w:div w:id="618875121">
      <w:bodyDiv w:val="1"/>
      <w:marLeft w:val="0"/>
      <w:marRight w:val="0"/>
      <w:marTop w:val="0"/>
      <w:marBottom w:val="0"/>
      <w:divBdr>
        <w:top w:val="none" w:sz="0" w:space="0" w:color="auto"/>
        <w:left w:val="none" w:sz="0" w:space="0" w:color="auto"/>
        <w:bottom w:val="none" w:sz="0" w:space="0" w:color="auto"/>
        <w:right w:val="none" w:sz="0" w:space="0" w:color="auto"/>
      </w:divBdr>
      <w:divsChild>
        <w:div w:id="1973318925">
          <w:marLeft w:val="0"/>
          <w:marRight w:val="0"/>
          <w:marTop w:val="0"/>
          <w:marBottom w:val="0"/>
          <w:divBdr>
            <w:top w:val="none" w:sz="0" w:space="0" w:color="auto"/>
            <w:left w:val="none" w:sz="0" w:space="0" w:color="auto"/>
            <w:bottom w:val="none" w:sz="0" w:space="0" w:color="auto"/>
            <w:right w:val="none" w:sz="0" w:space="0" w:color="auto"/>
          </w:divBdr>
          <w:divsChild>
            <w:div w:id="709182028">
              <w:marLeft w:val="0"/>
              <w:marRight w:val="0"/>
              <w:marTop w:val="0"/>
              <w:marBottom w:val="0"/>
              <w:divBdr>
                <w:top w:val="none" w:sz="0" w:space="0" w:color="auto"/>
                <w:left w:val="none" w:sz="0" w:space="0" w:color="auto"/>
                <w:bottom w:val="none" w:sz="0" w:space="0" w:color="auto"/>
                <w:right w:val="none" w:sz="0" w:space="0" w:color="auto"/>
              </w:divBdr>
              <w:divsChild>
                <w:div w:id="58006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652372">
      <w:bodyDiv w:val="1"/>
      <w:marLeft w:val="0"/>
      <w:marRight w:val="0"/>
      <w:marTop w:val="0"/>
      <w:marBottom w:val="0"/>
      <w:divBdr>
        <w:top w:val="none" w:sz="0" w:space="0" w:color="auto"/>
        <w:left w:val="none" w:sz="0" w:space="0" w:color="auto"/>
        <w:bottom w:val="none" w:sz="0" w:space="0" w:color="auto"/>
        <w:right w:val="none" w:sz="0" w:space="0" w:color="auto"/>
      </w:divBdr>
      <w:divsChild>
        <w:div w:id="1409108651">
          <w:marLeft w:val="0"/>
          <w:marRight w:val="0"/>
          <w:marTop w:val="0"/>
          <w:marBottom w:val="0"/>
          <w:divBdr>
            <w:top w:val="none" w:sz="0" w:space="0" w:color="auto"/>
            <w:left w:val="none" w:sz="0" w:space="0" w:color="auto"/>
            <w:bottom w:val="none" w:sz="0" w:space="0" w:color="auto"/>
            <w:right w:val="none" w:sz="0" w:space="0" w:color="auto"/>
          </w:divBdr>
          <w:divsChild>
            <w:div w:id="1728600219">
              <w:marLeft w:val="0"/>
              <w:marRight w:val="0"/>
              <w:marTop w:val="0"/>
              <w:marBottom w:val="0"/>
              <w:divBdr>
                <w:top w:val="none" w:sz="0" w:space="0" w:color="auto"/>
                <w:left w:val="none" w:sz="0" w:space="0" w:color="auto"/>
                <w:bottom w:val="none" w:sz="0" w:space="0" w:color="auto"/>
                <w:right w:val="none" w:sz="0" w:space="0" w:color="auto"/>
              </w:divBdr>
              <w:divsChild>
                <w:div w:id="6745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145272">
      <w:bodyDiv w:val="1"/>
      <w:marLeft w:val="0"/>
      <w:marRight w:val="0"/>
      <w:marTop w:val="0"/>
      <w:marBottom w:val="0"/>
      <w:divBdr>
        <w:top w:val="none" w:sz="0" w:space="0" w:color="auto"/>
        <w:left w:val="none" w:sz="0" w:space="0" w:color="auto"/>
        <w:bottom w:val="none" w:sz="0" w:space="0" w:color="auto"/>
        <w:right w:val="none" w:sz="0" w:space="0" w:color="auto"/>
      </w:divBdr>
      <w:divsChild>
        <w:div w:id="1393040043">
          <w:marLeft w:val="0"/>
          <w:marRight w:val="0"/>
          <w:marTop w:val="0"/>
          <w:marBottom w:val="0"/>
          <w:divBdr>
            <w:top w:val="none" w:sz="0" w:space="0" w:color="auto"/>
            <w:left w:val="none" w:sz="0" w:space="0" w:color="auto"/>
            <w:bottom w:val="none" w:sz="0" w:space="0" w:color="auto"/>
            <w:right w:val="none" w:sz="0" w:space="0" w:color="auto"/>
          </w:divBdr>
          <w:divsChild>
            <w:div w:id="836114436">
              <w:marLeft w:val="0"/>
              <w:marRight w:val="0"/>
              <w:marTop w:val="0"/>
              <w:marBottom w:val="0"/>
              <w:divBdr>
                <w:top w:val="none" w:sz="0" w:space="0" w:color="auto"/>
                <w:left w:val="none" w:sz="0" w:space="0" w:color="auto"/>
                <w:bottom w:val="none" w:sz="0" w:space="0" w:color="auto"/>
                <w:right w:val="none" w:sz="0" w:space="0" w:color="auto"/>
              </w:divBdr>
              <w:divsChild>
                <w:div w:id="77637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226780">
      <w:bodyDiv w:val="1"/>
      <w:marLeft w:val="0"/>
      <w:marRight w:val="0"/>
      <w:marTop w:val="0"/>
      <w:marBottom w:val="0"/>
      <w:divBdr>
        <w:top w:val="none" w:sz="0" w:space="0" w:color="auto"/>
        <w:left w:val="none" w:sz="0" w:space="0" w:color="auto"/>
        <w:bottom w:val="none" w:sz="0" w:space="0" w:color="auto"/>
        <w:right w:val="none" w:sz="0" w:space="0" w:color="auto"/>
      </w:divBdr>
      <w:divsChild>
        <w:div w:id="1787967163">
          <w:marLeft w:val="0"/>
          <w:marRight w:val="0"/>
          <w:marTop w:val="0"/>
          <w:marBottom w:val="0"/>
          <w:divBdr>
            <w:top w:val="none" w:sz="0" w:space="0" w:color="auto"/>
            <w:left w:val="none" w:sz="0" w:space="0" w:color="auto"/>
            <w:bottom w:val="none" w:sz="0" w:space="0" w:color="auto"/>
            <w:right w:val="none" w:sz="0" w:space="0" w:color="auto"/>
          </w:divBdr>
          <w:divsChild>
            <w:div w:id="63113072">
              <w:marLeft w:val="0"/>
              <w:marRight w:val="0"/>
              <w:marTop w:val="0"/>
              <w:marBottom w:val="0"/>
              <w:divBdr>
                <w:top w:val="none" w:sz="0" w:space="0" w:color="auto"/>
                <w:left w:val="none" w:sz="0" w:space="0" w:color="auto"/>
                <w:bottom w:val="none" w:sz="0" w:space="0" w:color="auto"/>
                <w:right w:val="none" w:sz="0" w:space="0" w:color="auto"/>
              </w:divBdr>
              <w:divsChild>
                <w:div w:id="153977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080736">
      <w:bodyDiv w:val="1"/>
      <w:marLeft w:val="0"/>
      <w:marRight w:val="0"/>
      <w:marTop w:val="0"/>
      <w:marBottom w:val="0"/>
      <w:divBdr>
        <w:top w:val="none" w:sz="0" w:space="0" w:color="auto"/>
        <w:left w:val="none" w:sz="0" w:space="0" w:color="auto"/>
        <w:bottom w:val="none" w:sz="0" w:space="0" w:color="auto"/>
        <w:right w:val="none" w:sz="0" w:space="0" w:color="auto"/>
      </w:divBdr>
      <w:divsChild>
        <w:div w:id="1870100269">
          <w:marLeft w:val="0"/>
          <w:marRight w:val="0"/>
          <w:marTop w:val="0"/>
          <w:marBottom w:val="0"/>
          <w:divBdr>
            <w:top w:val="none" w:sz="0" w:space="0" w:color="auto"/>
            <w:left w:val="none" w:sz="0" w:space="0" w:color="auto"/>
            <w:bottom w:val="none" w:sz="0" w:space="0" w:color="auto"/>
            <w:right w:val="none" w:sz="0" w:space="0" w:color="auto"/>
          </w:divBdr>
          <w:divsChild>
            <w:div w:id="1511798247">
              <w:marLeft w:val="0"/>
              <w:marRight w:val="0"/>
              <w:marTop w:val="0"/>
              <w:marBottom w:val="0"/>
              <w:divBdr>
                <w:top w:val="none" w:sz="0" w:space="0" w:color="auto"/>
                <w:left w:val="none" w:sz="0" w:space="0" w:color="auto"/>
                <w:bottom w:val="none" w:sz="0" w:space="0" w:color="auto"/>
                <w:right w:val="none" w:sz="0" w:space="0" w:color="auto"/>
              </w:divBdr>
              <w:divsChild>
                <w:div w:id="17512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855091">
      <w:bodyDiv w:val="1"/>
      <w:marLeft w:val="0"/>
      <w:marRight w:val="0"/>
      <w:marTop w:val="0"/>
      <w:marBottom w:val="0"/>
      <w:divBdr>
        <w:top w:val="none" w:sz="0" w:space="0" w:color="auto"/>
        <w:left w:val="none" w:sz="0" w:space="0" w:color="auto"/>
        <w:bottom w:val="none" w:sz="0" w:space="0" w:color="auto"/>
        <w:right w:val="none" w:sz="0" w:space="0" w:color="auto"/>
      </w:divBdr>
      <w:divsChild>
        <w:div w:id="344475635">
          <w:marLeft w:val="0"/>
          <w:marRight w:val="0"/>
          <w:marTop w:val="0"/>
          <w:marBottom w:val="0"/>
          <w:divBdr>
            <w:top w:val="none" w:sz="0" w:space="0" w:color="auto"/>
            <w:left w:val="none" w:sz="0" w:space="0" w:color="auto"/>
            <w:bottom w:val="none" w:sz="0" w:space="0" w:color="auto"/>
            <w:right w:val="none" w:sz="0" w:space="0" w:color="auto"/>
          </w:divBdr>
          <w:divsChild>
            <w:div w:id="1403799367">
              <w:marLeft w:val="0"/>
              <w:marRight w:val="0"/>
              <w:marTop w:val="0"/>
              <w:marBottom w:val="0"/>
              <w:divBdr>
                <w:top w:val="none" w:sz="0" w:space="0" w:color="auto"/>
                <w:left w:val="none" w:sz="0" w:space="0" w:color="auto"/>
                <w:bottom w:val="none" w:sz="0" w:space="0" w:color="auto"/>
                <w:right w:val="none" w:sz="0" w:space="0" w:color="auto"/>
              </w:divBdr>
              <w:divsChild>
                <w:div w:id="138683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855945">
      <w:bodyDiv w:val="1"/>
      <w:marLeft w:val="0"/>
      <w:marRight w:val="0"/>
      <w:marTop w:val="0"/>
      <w:marBottom w:val="0"/>
      <w:divBdr>
        <w:top w:val="none" w:sz="0" w:space="0" w:color="auto"/>
        <w:left w:val="none" w:sz="0" w:space="0" w:color="auto"/>
        <w:bottom w:val="none" w:sz="0" w:space="0" w:color="auto"/>
        <w:right w:val="none" w:sz="0" w:space="0" w:color="auto"/>
      </w:divBdr>
      <w:divsChild>
        <w:div w:id="1344283338">
          <w:marLeft w:val="0"/>
          <w:marRight w:val="0"/>
          <w:marTop w:val="0"/>
          <w:marBottom w:val="0"/>
          <w:divBdr>
            <w:top w:val="none" w:sz="0" w:space="0" w:color="auto"/>
            <w:left w:val="none" w:sz="0" w:space="0" w:color="auto"/>
            <w:bottom w:val="none" w:sz="0" w:space="0" w:color="auto"/>
            <w:right w:val="none" w:sz="0" w:space="0" w:color="auto"/>
          </w:divBdr>
          <w:divsChild>
            <w:div w:id="329676674">
              <w:marLeft w:val="0"/>
              <w:marRight w:val="0"/>
              <w:marTop w:val="0"/>
              <w:marBottom w:val="0"/>
              <w:divBdr>
                <w:top w:val="none" w:sz="0" w:space="0" w:color="auto"/>
                <w:left w:val="none" w:sz="0" w:space="0" w:color="auto"/>
                <w:bottom w:val="none" w:sz="0" w:space="0" w:color="auto"/>
                <w:right w:val="none" w:sz="0" w:space="0" w:color="auto"/>
              </w:divBdr>
              <w:divsChild>
                <w:div w:id="70178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164371">
      <w:bodyDiv w:val="1"/>
      <w:marLeft w:val="0"/>
      <w:marRight w:val="0"/>
      <w:marTop w:val="0"/>
      <w:marBottom w:val="0"/>
      <w:divBdr>
        <w:top w:val="none" w:sz="0" w:space="0" w:color="auto"/>
        <w:left w:val="none" w:sz="0" w:space="0" w:color="auto"/>
        <w:bottom w:val="none" w:sz="0" w:space="0" w:color="auto"/>
        <w:right w:val="none" w:sz="0" w:space="0" w:color="auto"/>
      </w:divBdr>
      <w:divsChild>
        <w:div w:id="12926428">
          <w:marLeft w:val="0"/>
          <w:marRight w:val="0"/>
          <w:marTop w:val="0"/>
          <w:marBottom w:val="0"/>
          <w:divBdr>
            <w:top w:val="none" w:sz="0" w:space="0" w:color="auto"/>
            <w:left w:val="none" w:sz="0" w:space="0" w:color="auto"/>
            <w:bottom w:val="none" w:sz="0" w:space="0" w:color="auto"/>
            <w:right w:val="none" w:sz="0" w:space="0" w:color="auto"/>
          </w:divBdr>
          <w:divsChild>
            <w:div w:id="1162114189">
              <w:marLeft w:val="0"/>
              <w:marRight w:val="0"/>
              <w:marTop w:val="0"/>
              <w:marBottom w:val="0"/>
              <w:divBdr>
                <w:top w:val="none" w:sz="0" w:space="0" w:color="auto"/>
                <w:left w:val="none" w:sz="0" w:space="0" w:color="auto"/>
                <w:bottom w:val="none" w:sz="0" w:space="0" w:color="auto"/>
                <w:right w:val="none" w:sz="0" w:space="0" w:color="auto"/>
              </w:divBdr>
              <w:divsChild>
                <w:div w:id="139762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279304">
      <w:bodyDiv w:val="1"/>
      <w:marLeft w:val="0"/>
      <w:marRight w:val="0"/>
      <w:marTop w:val="0"/>
      <w:marBottom w:val="0"/>
      <w:divBdr>
        <w:top w:val="none" w:sz="0" w:space="0" w:color="auto"/>
        <w:left w:val="none" w:sz="0" w:space="0" w:color="auto"/>
        <w:bottom w:val="none" w:sz="0" w:space="0" w:color="auto"/>
        <w:right w:val="none" w:sz="0" w:space="0" w:color="auto"/>
      </w:divBdr>
      <w:divsChild>
        <w:div w:id="1795906411">
          <w:marLeft w:val="0"/>
          <w:marRight w:val="0"/>
          <w:marTop w:val="0"/>
          <w:marBottom w:val="0"/>
          <w:divBdr>
            <w:top w:val="none" w:sz="0" w:space="0" w:color="auto"/>
            <w:left w:val="none" w:sz="0" w:space="0" w:color="auto"/>
            <w:bottom w:val="none" w:sz="0" w:space="0" w:color="auto"/>
            <w:right w:val="none" w:sz="0" w:space="0" w:color="auto"/>
          </w:divBdr>
        </w:div>
      </w:divsChild>
    </w:div>
    <w:div w:id="1322004243">
      <w:bodyDiv w:val="1"/>
      <w:marLeft w:val="0"/>
      <w:marRight w:val="0"/>
      <w:marTop w:val="0"/>
      <w:marBottom w:val="0"/>
      <w:divBdr>
        <w:top w:val="none" w:sz="0" w:space="0" w:color="auto"/>
        <w:left w:val="none" w:sz="0" w:space="0" w:color="auto"/>
        <w:bottom w:val="none" w:sz="0" w:space="0" w:color="auto"/>
        <w:right w:val="none" w:sz="0" w:space="0" w:color="auto"/>
      </w:divBdr>
      <w:divsChild>
        <w:div w:id="960460787">
          <w:marLeft w:val="0"/>
          <w:marRight w:val="0"/>
          <w:marTop w:val="0"/>
          <w:marBottom w:val="0"/>
          <w:divBdr>
            <w:top w:val="none" w:sz="0" w:space="0" w:color="auto"/>
            <w:left w:val="none" w:sz="0" w:space="0" w:color="auto"/>
            <w:bottom w:val="none" w:sz="0" w:space="0" w:color="auto"/>
            <w:right w:val="none" w:sz="0" w:space="0" w:color="auto"/>
          </w:divBdr>
          <w:divsChild>
            <w:div w:id="1427462956">
              <w:marLeft w:val="0"/>
              <w:marRight w:val="0"/>
              <w:marTop w:val="0"/>
              <w:marBottom w:val="0"/>
              <w:divBdr>
                <w:top w:val="none" w:sz="0" w:space="0" w:color="auto"/>
                <w:left w:val="none" w:sz="0" w:space="0" w:color="auto"/>
                <w:bottom w:val="none" w:sz="0" w:space="0" w:color="auto"/>
                <w:right w:val="none" w:sz="0" w:space="0" w:color="auto"/>
              </w:divBdr>
              <w:divsChild>
                <w:div w:id="35377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284675">
      <w:bodyDiv w:val="1"/>
      <w:marLeft w:val="0"/>
      <w:marRight w:val="0"/>
      <w:marTop w:val="0"/>
      <w:marBottom w:val="0"/>
      <w:divBdr>
        <w:top w:val="none" w:sz="0" w:space="0" w:color="auto"/>
        <w:left w:val="none" w:sz="0" w:space="0" w:color="auto"/>
        <w:bottom w:val="none" w:sz="0" w:space="0" w:color="auto"/>
        <w:right w:val="none" w:sz="0" w:space="0" w:color="auto"/>
      </w:divBdr>
    </w:div>
    <w:div w:id="1369838055">
      <w:bodyDiv w:val="1"/>
      <w:marLeft w:val="0"/>
      <w:marRight w:val="0"/>
      <w:marTop w:val="0"/>
      <w:marBottom w:val="0"/>
      <w:divBdr>
        <w:top w:val="none" w:sz="0" w:space="0" w:color="auto"/>
        <w:left w:val="none" w:sz="0" w:space="0" w:color="auto"/>
        <w:bottom w:val="none" w:sz="0" w:space="0" w:color="auto"/>
        <w:right w:val="none" w:sz="0" w:space="0" w:color="auto"/>
      </w:divBdr>
      <w:divsChild>
        <w:div w:id="297878094">
          <w:marLeft w:val="0"/>
          <w:marRight w:val="0"/>
          <w:marTop w:val="0"/>
          <w:marBottom w:val="0"/>
          <w:divBdr>
            <w:top w:val="none" w:sz="0" w:space="0" w:color="auto"/>
            <w:left w:val="none" w:sz="0" w:space="0" w:color="auto"/>
            <w:bottom w:val="none" w:sz="0" w:space="0" w:color="auto"/>
            <w:right w:val="none" w:sz="0" w:space="0" w:color="auto"/>
          </w:divBdr>
          <w:divsChild>
            <w:div w:id="1071081877">
              <w:marLeft w:val="0"/>
              <w:marRight w:val="0"/>
              <w:marTop w:val="0"/>
              <w:marBottom w:val="0"/>
              <w:divBdr>
                <w:top w:val="none" w:sz="0" w:space="0" w:color="auto"/>
                <w:left w:val="none" w:sz="0" w:space="0" w:color="auto"/>
                <w:bottom w:val="none" w:sz="0" w:space="0" w:color="auto"/>
                <w:right w:val="none" w:sz="0" w:space="0" w:color="auto"/>
              </w:divBdr>
              <w:divsChild>
                <w:div w:id="209069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164395">
      <w:bodyDiv w:val="1"/>
      <w:marLeft w:val="0"/>
      <w:marRight w:val="0"/>
      <w:marTop w:val="0"/>
      <w:marBottom w:val="0"/>
      <w:divBdr>
        <w:top w:val="none" w:sz="0" w:space="0" w:color="auto"/>
        <w:left w:val="none" w:sz="0" w:space="0" w:color="auto"/>
        <w:bottom w:val="none" w:sz="0" w:space="0" w:color="auto"/>
        <w:right w:val="none" w:sz="0" w:space="0" w:color="auto"/>
      </w:divBdr>
      <w:divsChild>
        <w:div w:id="1954747385">
          <w:marLeft w:val="0"/>
          <w:marRight w:val="0"/>
          <w:marTop w:val="0"/>
          <w:marBottom w:val="0"/>
          <w:divBdr>
            <w:top w:val="none" w:sz="0" w:space="0" w:color="auto"/>
            <w:left w:val="none" w:sz="0" w:space="0" w:color="auto"/>
            <w:bottom w:val="none" w:sz="0" w:space="0" w:color="auto"/>
            <w:right w:val="none" w:sz="0" w:space="0" w:color="auto"/>
          </w:divBdr>
          <w:divsChild>
            <w:div w:id="469178449">
              <w:marLeft w:val="0"/>
              <w:marRight w:val="0"/>
              <w:marTop w:val="0"/>
              <w:marBottom w:val="0"/>
              <w:divBdr>
                <w:top w:val="none" w:sz="0" w:space="0" w:color="auto"/>
                <w:left w:val="none" w:sz="0" w:space="0" w:color="auto"/>
                <w:bottom w:val="none" w:sz="0" w:space="0" w:color="auto"/>
                <w:right w:val="none" w:sz="0" w:space="0" w:color="auto"/>
              </w:divBdr>
              <w:divsChild>
                <w:div w:id="37404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448688">
      <w:bodyDiv w:val="1"/>
      <w:marLeft w:val="0"/>
      <w:marRight w:val="0"/>
      <w:marTop w:val="0"/>
      <w:marBottom w:val="0"/>
      <w:divBdr>
        <w:top w:val="none" w:sz="0" w:space="0" w:color="auto"/>
        <w:left w:val="none" w:sz="0" w:space="0" w:color="auto"/>
        <w:bottom w:val="none" w:sz="0" w:space="0" w:color="auto"/>
        <w:right w:val="none" w:sz="0" w:space="0" w:color="auto"/>
      </w:divBdr>
      <w:divsChild>
        <w:div w:id="560481150">
          <w:marLeft w:val="0"/>
          <w:marRight w:val="0"/>
          <w:marTop w:val="0"/>
          <w:marBottom w:val="0"/>
          <w:divBdr>
            <w:top w:val="none" w:sz="0" w:space="0" w:color="auto"/>
            <w:left w:val="none" w:sz="0" w:space="0" w:color="auto"/>
            <w:bottom w:val="none" w:sz="0" w:space="0" w:color="auto"/>
            <w:right w:val="none" w:sz="0" w:space="0" w:color="auto"/>
          </w:divBdr>
          <w:divsChild>
            <w:div w:id="1482504871">
              <w:marLeft w:val="0"/>
              <w:marRight w:val="0"/>
              <w:marTop w:val="0"/>
              <w:marBottom w:val="0"/>
              <w:divBdr>
                <w:top w:val="none" w:sz="0" w:space="0" w:color="auto"/>
                <w:left w:val="none" w:sz="0" w:space="0" w:color="auto"/>
                <w:bottom w:val="none" w:sz="0" w:space="0" w:color="auto"/>
                <w:right w:val="none" w:sz="0" w:space="0" w:color="auto"/>
              </w:divBdr>
              <w:divsChild>
                <w:div w:id="1180386087">
                  <w:marLeft w:val="0"/>
                  <w:marRight w:val="0"/>
                  <w:marTop w:val="0"/>
                  <w:marBottom w:val="0"/>
                  <w:divBdr>
                    <w:top w:val="none" w:sz="0" w:space="0" w:color="auto"/>
                    <w:left w:val="none" w:sz="0" w:space="0" w:color="auto"/>
                    <w:bottom w:val="none" w:sz="0" w:space="0" w:color="auto"/>
                    <w:right w:val="none" w:sz="0" w:space="0" w:color="auto"/>
                  </w:divBdr>
                  <w:divsChild>
                    <w:div w:id="344137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3362630">
      <w:bodyDiv w:val="1"/>
      <w:marLeft w:val="0"/>
      <w:marRight w:val="0"/>
      <w:marTop w:val="0"/>
      <w:marBottom w:val="0"/>
      <w:divBdr>
        <w:top w:val="none" w:sz="0" w:space="0" w:color="auto"/>
        <w:left w:val="none" w:sz="0" w:space="0" w:color="auto"/>
        <w:bottom w:val="none" w:sz="0" w:space="0" w:color="auto"/>
        <w:right w:val="none" w:sz="0" w:space="0" w:color="auto"/>
      </w:divBdr>
      <w:divsChild>
        <w:div w:id="1588885802">
          <w:marLeft w:val="0"/>
          <w:marRight w:val="0"/>
          <w:marTop w:val="0"/>
          <w:marBottom w:val="0"/>
          <w:divBdr>
            <w:top w:val="none" w:sz="0" w:space="0" w:color="auto"/>
            <w:left w:val="none" w:sz="0" w:space="0" w:color="auto"/>
            <w:bottom w:val="none" w:sz="0" w:space="0" w:color="auto"/>
            <w:right w:val="none" w:sz="0" w:space="0" w:color="auto"/>
          </w:divBdr>
          <w:divsChild>
            <w:div w:id="363140814">
              <w:marLeft w:val="0"/>
              <w:marRight w:val="0"/>
              <w:marTop w:val="0"/>
              <w:marBottom w:val="0"/>
              <w:divBdr>
                <w:top w:val="none" w:sz="0" w:space="0" w:color="auto"/>
                <w:left w:val="none" w:sz="0" w:space="0" w:color="auto"/>
                <w:bottom w:val="none" w:sz="0" w:space="0" w:color="auto"/>
                <w:right w:val="none" w:sz="0" w:space="0" w:color="auto"/>
              </w:divBdr>
              <w:divsChild>
                <w:div w:id="122101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002557">
      <w:bodyDiv w:val="1"/>
      <w:marLeft w:val="0"/>
      <w:marRight w:val="0"/>
      <w:marTop w:val="0"/>
      <w:marBottom w:val="0"/>
      <w:divBdr>
        <w:top w:val="none" w:sz="0" w:space="0" w:color="auto"/>
        <w:left w:val="none" w:sz="0" w:space="0" w:color="auto"/>
        <w:bottom w:val="none" w:sz="0" w:space="0" w:color="auto"/>
        <w:right w:val="none" w:sz="0" w:space="0" w:color="auto"/>
      </w:divBdr>
    </w:div>
    <w:div w:id="1763259162">
      <w:bodyDiv w:val="1"/>
      <w:marLeft w:val="0"/>
      <w:marRight w:val="0"/>
      <w:marTop w:val="0"/>
      <w:marBottom w:val="0"/>
      <w:divBdr>
        <w:top w:val="none" w:sz="0" w:space="0" w:color="auto"/>
        <w:left w:val="none" w:sz="0" w:space="0" w:color="auto"/>
        <w:bottom w:val="none" w:sz="0" w:space="0" w:color="auto"/>
        <w:right w:val="none" w:sz="0" w:space="0" w:color="auto"/>
      </w:divBdr>
      <w:divsChild>
        <w:div w:id="1497304778">
          <w:marLeft w:val="0"/>
          <w:marRight w:val="0"/>
          <w:marTop w:val="0"/>
          <w:marBottom w:val="0"/>
          <w:divBdr>
            <w:top w:val="none" w:sz="0" w:space="0" w:color="auto"/>
            <w:left w:val="none" w:sz="0" w:space="0" w:color="auto"/>
            <w:bottom w:val="none" w:sz="0" w:space="0" w:color="auto"/>
            <w:right w:val="none" w:sz="0" w:space="0" w:color="auto"/>
          </w:divBdr>
          <w:divsChild>
            <w:div w:id="1231499903">
              <w:marLeft w:val="0"/>
              <w:marRight w:val="0"/>
              <w:marTop w:val="0"/>
              <w:marBottom w:val="0"/>
              <w:divBdr>
                <w:top w:val="none" w:sz="0" w:space="0" w:color="auto"/>
                <w:left w:val="none" w:sz="0" w:space="0" w:color="auto"/>
                <w:bottom w:val="none" w:sz="0" w:space="0" w:color="auto"/>
                <w:right w:val="none" w:sz="0" w:space="0" w:color="auto"/>
              </w:divBdr>
              <w:divsChild>
                <w:div w:id="193149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4446">
      <w:bodyDiv w:val="1"/>
      <w:marLeft w:val="0"/>
      <w:marRight w:val="0"/>
      <w:marTop w:val="0"/>
      <w:marBottom w:val="0"/>
      <w:divBdr>
        <w:top w:val="none" w:sz="0" w:space="0" w:color="auto"/>
        <w:left w:val="none" w:sz="0" w:space="0" w:color="auto"/>
        <w:bottom w:val="none" w:sz="0" w:space="0" w:color="auto"/>
        <w:right w:val="none" w:sz="0" w:space="0" w:color="auto"/>
      </w:divBdr>
    </w:div>
    <w:div w:id="1848405309">
      <w:bodyDiv w:val="1"/>
      <w:marLeft w:val="0"/>
      <w:marRight w:val="0"/>
      <w:marTop w:val="0"/>
      <w:marBottom w:val="0"/>
      <w:divBdr>
        <w:top w:val="none" w:sz="0" w:space="0" w:color="auto"/>
        <w:left w:val="none" w:sz="0" w:space="0" w:color="auto"/>
        <w:bottom w:val="none" w:sz="0" w:space="0" w:color="auto"/>
        <w:right w:val="none" w:sz="0" w:space="0" w:color="auto"/>
      </w:divBdr>
      <w:divsChild>
        <w:div w:id="124587752">
          <w:marLeft w:val="0"/>
          <w:marRight w:val="0"/>
          <w:marTop w:val="0"/>
          <w:marBottom w:val="0"/>
          <w:divBdr>
            <w:top w:val="none" w:sz="0" w:space="0" w:color="auto"/>
            <w:left w:val="none" w:sz="0" w:space="0" w:color="auto"/>
            <w:bottom w:val="none" w:sz="0" w:space="0" w:color="auto"/>
            <w:right w:val="none" w:sz="0" w:space="0" w:color="auto"/>
          </w:divBdr>
          <w:divsChild>
            <w:div w:id="418676151">
              <w:marLeft w:val="0"/>
              <w:marRight w:val="0"/>
              <w:marTop w:val="0"/>
              <w:marBottom w:val="0"/>
              <w:divBdr>
                <w:top w:val="none" w:sz="0" w:space="0" w:color="auto"/>
                <w:left w:val="none" w:sz="0" w:space="0" w:color="auto"/>
                <w:bottom w:val="none" w:sz="0" w:space="0" w:color="auto"/>
                <w:right w:val="none" w:sz="0" w:space="0" w:color="auto"/>
              </w:divBdr>
              <w:divsChild>
                <w:div w:id="14667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20440">
      <w:bodyDiv w:val="1"/>
      <w:marLeft w:val="0"/>
      <w:marRight w:val="0"/>
      <w:marTop w:val="0"/>
      <w:marBottom w:val="0"/>
      <w:divBdr>
        <w:top w:val="none" w:sz="0" w:space="0" w:color="auto"/>
        <w:left w:val="none" w:sz="0" w:space="0" w:color="auto"/>
        <w:bottom w:val="none" w:sz="0" w:space="0" w:color="auto"/>
        <w:right w:val="none" w:sz="0" w:space="0" w:color="auto"/>
      </w:divBdr>
      <w:divsChild>
        <w:div w:id="683018991">
          <w:marLeft w:val="0"/>
          <w:marRight w:val="0"/>
          <w:marTop w:val="0"/>
          <w:marBottom w:val="0"/>
          <w:divBdr>
            <w:top w:val="none" w:sz="0" w:space="0" w:color="auto"/>
            <w:left w:val="none" w:sz="0" w:space="0" w:color="auto"/>
            <w:bottom w:val="none" w:sz="0" w:space="0" w:color="auto"/>
            <w:right w:val="none" w:sz="0" w:space="0" w:color="auto"/>
          </w:divBdr>
          <w:divsChild>
            <w:div w:id="1371540425">
              <w:marLeft w:val="0"/>
              <w:marRight w:val="0"/>
              <w:marTop w:val="0"/>
              <w:marBottom w:val="0"/>
              <w:divBdr>
                <w:top w:val="none" w:sz="0" w:space="0" w:color="auto"/>
                <w:left w:val="none" w:sz="0" w:space="0" w:color="auto"/>
                <w:bottom w:val="none" w:sz="0" w:space="0" w:color="auto"/>
                <w:right w:val="none" w:sz="0" w:space="0" w:color="auto"/>
              </w:divBdr>
              <w:divsChild>
                <w:div w:id="49769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795391">
      <w:bodyDiv w:val="1"/>
      <w:marLeft w:val="0"/>
      <w:marRight w:val="0"/>
      <w:marTop w:val="0"/>
      <w:marBottom w:val="0"/>
      <w:divBdr>
        <w:top w:val="none" w:sz="0" w:space="0" w:color="auto"/>
        <w:left w:val="none" w:sz="0" w:space="0" w:color="auto"/>
        <w:bottom w:val="none" w:sz="0" w:space="0" w:color="auto"/>
        <w:right w:val="none" w:sz="0" w:space="0" w:color="auto"/>
      </w:divBdr>
    </w:div>
    <w:div w:id="2096659671">
      <w:bodyDiv w:val="1"/>
      <w:marLeft w:val="0"/>
      <w:marRight w:val="0"/>
      <w:marTop w:val="0"/>
      <w:marBottom w:val="0"/>
      <w:divBdr>
        <w:top w:val="none" w:sz="0" w:space="0" w:color="auto"/>
        <w:left w:val="none" w:sz="0" w:space="0" w:color="auto"/>
        <w:bottom w:val="none" w:sz="0" w:space="0" w:color="auto"/>
        <w:right w:val="none" w:sz="0" w:space="0" w:color="auto"/>
      </w:divBdr>
      <w:divsChild>
        <w:div w:id="1715303399">
          <w:marLeft w:val="0"/>
          <w:marRight w:val="0"/>
          <w:marTop w:val="0"/>
          <w:marBottom w:val="0"/>
          <w:divBdr>
            <w:top w:val="none" w:sz="0" w:space="0" w:color="auto"/>
            <w:left w:val="none" w:sz="0" w:space="0" w:color="auto"/>
            <w:bottom w:val="none" w:sz="0" w:space="0" w:color="auto"/>
            <w:right w:val="none" w:sz="0" w:space="0" w:color="auto"/>
          </w:divBdr>
          <w:divsChild>
            <w:div w:id="426849193">
              <w:marLeft w:val="0"/>
              <w:marRight w:val="0"/>
              <w:marTop w:val="0"/>
              <w:marBottom w:val="0"/>
              <w:divBdr>
                <w:top w:val="none" w:sz="0" w:space="0" w:color="auto"/>
                <w:left w:val="none" w:sz="0" w:space="0" w:color="auto"/>
                <w:bottom w:val="none" w:sz="0" w:space="0" w:color="auto"/>
                <w:right w:val="none" w:sz="0" w:space="0" w:color="auto"/>
              </w:divBdr>
              <w:divsChild>
                <w:div w:id="193562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073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www.un.org/en/chronicle/article/we-peoples" TargetMode="External"/><Relationship Id="rId2" Type="http://schemas.openxmlformats.org/officeDocument/2006/relationships/hyperlink" Target="http://legal.un.org/cod/" TargetMode="External"/><Relationship Id="rId1" Type="http://schemas.openxmlformats.org/officeDocument/2006/relationships/hyperlink" Target="https://papers.ssrn.com/sol3/papers.cfm?abstract_id=3463973" TargetMode="External"/><Relationship Id="rId5" Type="http://schemas.openxmlformats.org/officeDocument/2006/relationships/hyperlink" Target="https://www.newadvent.org/summa/2095.htm" TargetMode="External"/><Relationship Id="rId4" Type="http://schemas.openxmlformats.org/officeDocument/2006/relationships/hyperlink" Target="https://www.newadvent.org/summa/3057.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8004</Words>
  <Characters>45623</Characters>
  <Application>Microsoft Office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Aksenova</dc:creator>
  <cp:keywords/>
  <dc:description/>
  <cp:lastModifiedBy>Marina Aksenova</cp:lastModifiedBy>
  <cp:revision>8</cp:revision>
  <dcterms:created xsi:type="dcterms:W3CDTF">2022-10-06T10:56:00Z</dcterms:created>
  <dcterms:modified xsi:type="dcterms:W3CDTF">2022-10-06T16:07:00Z</dcterms:modified>
</cp:coreProperties>
</file>