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6C7625" w14:textId="5337F6CD" w:rsidR="00752741" w:rsidRPr="0013086F" w:rsidRDefault="00D127CA" w:rsidP="006066C4">
      <w:pPr>
        <w:widowControl w:val="0"/>
        <w:autoSpaceDE w:val="0"/>
        <w:autoSpaceDN w:val="0"/>
        <w:adjustRightInd w:val="0"/>
        <w:spacing w:line="480" w:lineRule="auto"/>
        <w:jc w:val="both"/>
        <w:rPr>
          <w:rFonts w:ascii="Times New Roman" w:hAnsi="Times New Roman" w:cs="Times New Roman"/>
          <w:b/>
        </w:rPr>
      </w:pPr>
      <w:bookmarkStart w:id="0" w:name="_GoBack"/>
      <w:r w:rsidRPr="0013086F">
        <w:rPr>
          <w:rFonts w:ascii="Times New Roman" w:hAnsi="Times New Roman" w:cs="Times New Roman"/>
          <w:b/>
        </w:rPr>
        <w:t xml:space="preserve">Human Rights at the International Criminal Court: </w:t>
      </w:r>
      <w:r w:rsidR="00AE106D" w:rsidRPr="0013086F">
        <w:rPr>
          <w:rFonts w:ascii="Times New Roman" w:hAnsi="Times New Roman" w:cs="Times New Roman"/>
          <w:b/>
        </w:rPr>
        <w:t xml:space="preserve">Testing the Limits of Judicial Discretion </w:t>
      </w:r>
    </w:p>
    <w:bookmarkEnd w:id="0"/>
    <w:p w14:paraId="5CFD6C91" w14:textId="77777777" w:rsidR="00752741" w:rsidRPr="0013086F" w:rsidRDefault="00752741" w:rsidP="006066C4">
      <w:pPr>
        <w:widowControl w:val="0"/>
        <w:autoSpaceDE w:val="0"/>
        <w:autoSpaceDN w:val="0"/>
        <w:adjustRightInd w:val="0"/>
        <w:spacing w:line="480" w:lineRule="auto"/>
        <w:jc w:val="both"/>
        <w:rPr>
          <w:rFonts w:ascii="Times New Roman" w:hAnsi="Times New Roman" w:cs="Times New Roman"/>
        </w:rPr>
      </w:pPr>
    </w:p>
    <w:p w14:paraId="608F259C" w14:textId="485A288B" w:rsidR="00787658" w:rsidRPr="0013086F" w:rsidRDefault="00787658" w:rsidP="006066C4">
      <w:pPr>
        <w:spacing w:line="480" w:lineRule="auto"/>
        <w:jc w:val="both"/>
        <w:rPr>
          <w:rFonts w:ascii="Times New Roman" w:hAnsi="Times New Roman" w:cs="Times New Roman"/>
          <w:b/>
        </w:rPr>
      </w:pPr>
      <w:r w:rsidRPr="0013086F">
        <w:rPr>
          <w:rFonts w:ascii="Times New Roman" w:hAnsi="Times New Roman" w:cs="Times New Roman"/>
          <w:b/>
        </w:rPr>
        <w:t>Abstract</w:t>
      </w:r>
    </w:p>
    <w:p w14:paraId="75F5E015" w14:textId="77777777" w:rsidR="00787658" w:rsidRPr="0013086F" w:rsidRDefault="00787658" w:rsidP="006066C4">
      <w:pPr>
        <w:spacing w:line="480" w:lineRule="auto"/>
        <w:jc w:val="both"/>
        <w:rPr>
          <w:rFonts w:ascii="Times New Roman" w:hAnsi="Times New Roman" w:cs="Times New Roman"/>
          <w:b/>
        </w:rPr>
      </w:pPr>
    </w:p>
    <w:p w14:paraId="013ACBB9" w14:textId="0F37AF37" w:rsidR="004C1E69" w:rsidRPr="0013086F" w:rsidRDefault="00752741" w:rsidP="006066C4">
      <w:pPr>
        <w:spacing w:line="480" w:lineRule="auto"/>
        <w:jc w:val="both"/>
        <w:rPr>
          <w:rFonts w:ascii="Times New Roman" w:hAnsi="Times New Roman" w:cs="Times New Roman"/>
        </w:rPr>
      </w:pPr>
      <w:r w:rsidRPr="0013086F">
        <w:rPr>
          <w:rFonts w:ascii="Times New Roman" w:hAnsi="Times New Roman" w:cs="Times New Roman"/>
        </w:rPr>
        <w:t>The future of the International Cri</w:t>
      </w:r>
      <w:r w:rsidR="00280879" w:rsidRPr="0013086F">
        <w:rPr>
          <w:rFonts w:ascii="Times New Roman" w:hAnsi="Times New Roman" w:cs="Times New Roman"/>
        </w:rPr>
        <w:t>minal Court (ICC) is uncertain. T</w:t>
      </w:r>
      <w:r w:rsidRPr="0013086F">
        <w:rPr>
          <w:rFonts w:ascii="Times New Roman" w:hAnsi="Times New Roman" w:cs="Times New Roman"/>
        </w:rPr>
        <w:t xml:space="preserve">he Court’s architecture ensures that priority is given to domestic prosecutions, while at the same time, imbuing international values into national systems. The principle of complementarity raises an important question: </w:t>
      </w:r>
      <w:r w:rsidR="0036504A" w:rsidRPr="0013086F">
        <w:rPr>
          <w:rFonts w:ascii="Times New Roman" w:hAnsi="Times New Roman" w:cs="Times New Roman"/>
        </w:rPr>
        <w:t xml:space="preserve">how important </w:t>
      </w:r>
      <w:r w:rsidRPr="0013086F">
        <w:rPr>
          <w:rFonts w:ascii="Times New Roman" w:hAnsi="Times New Roman" w:cs="Times New Roman"/>
        </w:rPr>
        <w:t xml:space="preserve">are human rights norms in the assessment of the unwillingness or inability of domestic legal system to conduct relevant investigations? The approach of the Court to the rights of the accused and victims’ rights poses challenges. In the </w:t>
      </w:r>
      <w:r w:rsidRPr="0013086F">
        <w:rPr>
          <w:rFonts w:ascii="Times New Roman" w:hAnsi="Times New Roman" w:cs="Times New Roman"/>
          <w:i/>
          <w:iCs/>
        </w:rPr>
        <w:t>Al Senussi</w:t>
      </w:r>
      <w:r w:rsidRPr="0013086F">
        <w:rPr>
          <w:rFonts w:ascii="Times New Roman" w:hAnsi="Times New Roman" w:cs="Times New Roman"/>
        </w:rPr>
        <w:t> complementarity decision, the ICC refused to act as a human rights court and rendered the case inadmissible, notwithstan</w:t>
      </w:r>
      <w:r w:rsidR="004914A9" w:rsidRPr="0013086F">
        <w:rPr>
          <w:rFonts w:ascii="Times New Roman" w:hAnsi="Times New Roman" w:cs="Times New Roman"/>
        </w:rPr>
        <w:t>ding the death penalty threatening</w:t>
      </w:r>
      <w:r w:rsidRPr="0013086F">
        <w:rPr>
          <w:rFonts w:ascii="Times New Roman" w:hAnsi="Times New Roman" w:cs="Times New Roman"/>
        </w:rPr>
        <w:t xml:space="preserve"> the accused if tried in Libya. </w:t>
      </w:r>
      <w:r w:rsidR="00D92EA7" w:rsidRPr="0013086F">
        <w:rPr>
          <w:rFonts w:ascii="Times New Roman" w:hAnsi="Times New Roman" w:cs="Times New Roman"/>
        </w:rPr>
        <w:t>Does</w:t>
      </w:r>
      <w:r w:rsidR="008C5A25" w:rsidRPr="0013086F">
        <w:rPr>
          <w:rFonts w:ascii="Times New Roman" w:hAnsi="Times New Roman" w:cs="Times New Roman"/>
        </w:rPr>
        <w:t xml:space="preserve"> the same reasoning hold true </w:t>
      </w:r>
      <w:r w:rsidR="00125256" w:rsidRPr="0013086F">
        <w:rPr>
          <w:rFonts w:ascii="Times New Roman" w:hAnsi="Times New Roman" w:cs="Times New Roman"/>
        </w:rPr>
        <w:t xml:space="preserve">in other circumstances? The </w:t>
      </w:r>
      <w:r w:rsidR="00C916DC" w:rsidRPr="0013086F">
        <w:rPr>
          <w:rFonts w:ascii="Times New Roman" w:hAnsi="Times New Roman" w:cs="Times New Roman"/>
        </w:rPr>
        <w:t>article</w:t>
      </w:r>
      <w:r w:rsidR="00125256" w:rsidRPr="0013086F">
        <w:rPr>
          <w:rFonts w:ascii="Times New Roman" w:hAnsi="Times New Roman" w:cs="Times New Roman"/>
        </w:rPr>
        <w:t xml:space="preserve"> </w:t>
      </w:r>
      <w:r w:rsidRPr="0013086F">
        <w:rPr>
          <w:rFonts w:ascii="Times New Roman" w:hAnsi="Times New Roman" w:cs="Times New Roman"/>
        </w:rPr>
        <w:t>explore</w:t>
      </w:r>
      <w:r w:rsidR="00125256" w:rsidRPr="0013086F">
        <w:rPr>
          <w:rFonts w:ascii="Times New Roman" w:hAnsi="Times New Roman" w:cs="Times New Roman"/>
        </w:rPr>
        <w:t>s</w:t>
      </w:r>
      <w:r w:rsidRPr="0013086F">
        <w:rPr>
          <w:rFonts w:ascii="Times New Roman" w:hAnsi="Times New Roman" w:cs="Times New Roman"/>
        </w:rPr>
        <w:t xml:space="preserve"> the relationship between human rights law and international criminal law</w:t>
      </w:r>
      <w:r w:rsidR="00045D67" w:rsidRPr="0013086F">
        <w:rPr>
          <w:rFonts w:ascii="Times New Roman" w:hAnsi="Times New Roman" w:cs="Times New Roman"/>
        </w:rPr>
        <w:t xml:space="preserve"> with specific reference to the principle of complementarity</w:t>
      </w:r>
      <w:r w:rsidR="00125256" w:rsidRPr="0013086F">
        <w:rPr>
          <w:rFonts w:ascii="Times New Roman" w:hAnsi="Times New Roman" w:cs="Times New Roman"/>
        </w:rPr>
        <w:t xml:space="preserve"> and argues that </w:t>
      </w:r>
      <w:r w:rsidR="00C916DC" w:rsidRPr="0013086F">
        <w:rPr>
          <w:rFonts w:ascii="Times New Roman" w:hAnsi="Times New Roman" w:cs="Times New Roman"/>
        </w:rPr>
        <w:t xml:space="preserve">judicial discretion is central in the assessment of </w:t>
      </w:r>
      <w:r w:rsidR="00125256" w:rsidRPr="0013086F">
        <w:rPr>
          <w:rFonts w:ascii="Times New Roman" w:hAnsi="Times New Roman" w:cs="Times New Roman"/>
        </w:rPr>
        <w:t>the degree of hum</w:t>
      </w:r>
      <w:r w:rsidR="00C916DC" w:rsidRPr="0013086F">
        <w:rPr>
          <w:rFonts w:ascii="Times New Roman" w:hAnsi="Times New Roman" w:cs="Times New Roman"/>
        </w:rPr>
        <w:t>an rights protection at the ICC.</w:t>
      </w:r>
    </w:p>
    <w:p w14:paraId="07552E10" w14:textId="77777777" w:rsidR="00700E88" w:rsidRPr="0013086F" w:rsidRDefault="00700E88" w:rsidP="006066C4">
      <w:pPr>
        <w:spacing w:line="480" w:lineRule="auto"/>
        <w:jc w:val="both"/>
        <w:rPr>
          <w:rFonts w:ascii="Times New Roman" w:hAnsi="Times New Roman" w:cs="Times New Roman"/>
        </w:rPr>
      </w:pPr>
    </w:p>
    <w:p w14:paraId="5EB5183E" w14:textId="3314AB75" w:rsidR="005C18AC" w:rsidRPr="0013086F" w:rsidRDefault="005C18AC" w:rsidP="006066C4">
      <w:pPr>
        <w:spacing w:line="480" w:lineRule="auto"/>
        <w:jc w:val="both"/>
        <w:rPr>
          <w:rFonts w:ascii="Times New Roman" w:hAnsi="Times New Roman" w:cs="Times New Roman"/>
          <w:b/>
        </w:rPr>
      </w:pPr>
      <w:r w:rsidRPr="0013086F">
        <w:rPr>
          <w:rFonts w:ascii="Times New Roman" w:hAnsi="Times New Roman" w:cs="Times New Roman"/>
          <w:b/>
        </w:rPr>
        <w:t>Introduction</w:t>
      </w:r>
    </w:p>
    <w:p w14:paraId="7266D3FF" w14:textId="77777777" w:rsidR="005C18AC" w:rsidRPr="0013086F" w:rsidRDefault="005C18AC" w:rsidP="006066C4">
      <w:pPr>
        <w:spacing w:line="480" w:lineRule="auto"/>
        <w:jc w:val="both"/>
        <w:rPr>
          <w:rFonts w:ascii="Times New Roman" w:hAnsi="Times New Roman" w:cs="Times New Roman"/>
        </w:rPr>
      </w:pPr>
    </w:p>
    <w:p w14:paraId="19E620AC" w14:textId="547FF8A3" w:rsidR="00795E41" w:rsidRPr="0013086F" w:rsidRDefault="00EC616A" w:rsidP="006066C4">
      <w:pPr>
        <w:spacing w:line="480" w:lineRule="auto"/>
        <w:jc w:val="both"/>
        <w:rPr>
          <w:rFonts w:ascii="Times New Roman" w:hAnsi="Times New Roman" w:cs="Times New Roman"/>
        </w:rPr>
      </w:pPr>
      <w:r w:rsidRPr="0013086F">
        <w:rPr>
          <w:rFonts w:ascii="Times New Roman" w:hAnsi="Times New Roman" w:cs="Times New Roman"/>
        </w:rPr>
        <w:t>The discussion about</w:t>
      </w:r>
      <w:r w:rsidR="00374857" w:rsidRPr="0013086F">
        <w:rPr>
          <w:rFonts w:ascii="Times New Roman" w:hAnsi="Times New Roman" w:cs="Times New Roman"/>
        </w:rPr>
        <w:t xml:space="preserve"> international between human rights law and international criminal is gaining moment in scholarly circles.</w:t>
      </w:r>
      <w:r w:rsidR="00374857" w:rsidRPr="0013086F">
        <w:rPr>
          <w:rStyle w:val="FootnoteReference"/>
          <w:rFonts w:ascii="Times New Roman" w:hAnsi="Times New Roman" w:cs="Times New Roman"/>
        </w:rPr>
        <w:footnoteReference w:id="1"/>
      </w:r>
      <w:r w:rsidR="00795E41" w:rsidRPr="0013086F">
        <w:rPr>
          <w:rFonts w:ascii="Times New Roman" w:hAnsi="Times New Roman" w:cs="Times New Roman"/>
        </w:rPr>
        <w:t xml:space="preserve"> This is not unexpected. </w:t>
      </w:r>
      <w:r w:rsidR="005C18AC" w:rsidRPr="0013086F">
        <w:rPr>
          <w:rFonts w:ascii="Times New Roman" w:hAnsi="Times New Roman" w:cs="Times New Roman"/>
        </w:rPr>
        <w:t xml:space="preserve">Human </w:t>
      </w:r>
      <w:r w:rsidR="005C18AC" w:rsidRPr="0013086F">
        <w:rPr>
          <w:rFonts w:ascii="Times New Roman" w:hAnsi="Times New Roman" w:cs="Times New Roman"/>
        </w:rPr>
        <w:lastRenderedPageBreak/>
        <w:t>rights issues are continuously lurking in the background o</w:t>
      </w:r>
      <w:r w:rsidR="0063224A" w:rsidRPr="0013086F">
        <w:rPr>
          <w:rFonts w:ascii="Times New Roman" w:hAnsi="Times New Roman" w:cs="Times New Roman"/>
        </w:rPr>
        <w:t>f international criminal trials.</w:t>
      </w:r>
      <w:r w:rsidR="005C18AC" w:rsidRPr="0013086F">
        <w:rPr>
          <w:rFonts w:ascii="Times New Roman" w:hAnsi="Times New Roman" w:cs="Times New Roman"/>
        </w:rPr>
        <w:t xml:space="preserve"> </w:t>
      </w:r>
      <w:r w:rsidR="009E45FF" w:rsidRPr="0013086F">
        <w:rPr>
          <w:rFonts w:ascii="Times New Roman" w:hAnsi="Times New Roman" w:cs="Times New Roman"/>
        </w:rPr>
        <w:t xml:space="preserve">It is difficult to imagine international criminal justice without its human rights </w:t>
      </w:r>
      <w:r w:rsidR="004914A9" w:rsidRPr="0013086F">
        <w:rPr>
          <w:rFonts w:ascii="Times New Roman" w:hAnsi="Times New Roman" w:cs="Times New Roman"/>
        </w:rPr>
        <w:t xml:space="preserve">law </w:t>
      </w:r>
      <w:r w:rsidR="009E45FF" w:rsidRPr="0013086F">
        <w:rPr>
          <w:rFonts w:ascii="Times New Roman" w:hAnsi="Times New Roman" w:cs="Times New Roman"/>
        </w:rPr>
        <w:t>component – legal guarantees afforded to different par</w:t>
      </w:r>
      <w:r w:rsidR="004914A9" w:rsidRPr="0013086F">
        <w:rPr>
          <w:rFonts w:ascii="Times New Roman" w:hAnsi="Times New Roman" w:cs="Times New Roman"/>
        </w:rPr>
        <w:t xml:space="preserve">ties in the process as well as </w:t>
      </w:r>
      <w:r w:rsidR="00C1005D" w:rsidRPr="0013086F">
        <w:rPr>
          <w:rFonts w:ascii="Times New Roman" w:hAnsi="Times New Roman" w:cs="Times New Roman"/>
        </w:rPr>
        <w:t>principles</w:t>
      </w:r>
      <w:r w:rsidR="00885790" w:rsidRPr="0013086F">
        <w:rPr>
          <w:rFonts w:ascii="Times New Roman" w:hAnsi="Times New Roman" w:cs="Times New Roman"/>
        </w:rPr>
        <w:t xml:space="preserve"> underlying </w:t>
      </w:r>
      <w:r w:rsidR="004914A9" w:rsidRPr="0013086F">
        <w:rPr>
          <w:rFonts w:ascii="Times New Roman" w:hAnsi="Times New Roman" w:cs="Times New Roman"/>
        </w:rPr>
        <w:t xml:space="preserve">substantive offences </w:t>
      </w:r>
      <w:r w:rsidR="00427EAC" w:rsidRPr="0013086F">
        <w:rPr>
          <w:rFonts w:ascii="Times New Roman" w:hAnsi="Times New Roman" w:cs="Times New Roman"/>
        </w:rPr>
        <w:t>in</w:t>
      </w:r>
      <w:r w:rsidR="004914A9" w:rsidRPr="0013086F">
        <w:rPr>
          <w:rFonts w:ascii="Times New Roman" w:hAnsi="Times New Roman" w:cs="Times New Roman"/>
        </w:rPr>
        <w:t xml:space="preserve"> international law.</w:t>
      </w:r>
      <w:r w:rsidR="00B65CE8" w:rsidRPr="0013086F">
        <w:rPr>
          <w:rFonts w:ascii="Times New Roman" w:hAnsi="Times New Roman" w:cs="Times New Roman"/>
        </w:rPr>
        <w:t xml:space="preserve"> </w:t>
      </w:r>
      <w:r w:rsidR="00EF4AF1" w:rsidRPr="0013086F">
        <w:rPr>
          <w:rFonts w:ascii="Times New Roman" w:hAnsi="Times New Roman" w:cs="Times New Roman"/>
        </w:rPr>
        <w:t>The Rome Statute of the International Criminal Court (ICC) expressly requires that the legal sources used by the Court must be interpreted consistently with internationally recognized human rights standards.</w:t>
      </w:r>
      <w:r w:rsidR="003809B7" w:rsidRPr="0013086F">
        <w:rPr>
          <w:rStyle w:val="FootnoteReference"/>
          <w:rFonts w:ascii="Times New Roman" w:hAnsi="Times New Roman" w:cs="Times New Roman"/>
        </w:rPr>
        <w:footnoteReference w:id="2"/>
      </w:r>
      <w:r w:rsidR="00EF4AF1" w:rsidRPr="0013086F">
        <w:rPr>
          <w:rFonts w:ascii="Times New Roman" w:hAnsi="Times New Roman" w:cs="Times New Roman"/>
        </w:rPr>
        <w:t xml:space="preserve">  </w:t>
      </w:r>
      <w:r w:rsidR="00795E41" w:rsidRPr="0013086F">
        <w:rPr>
          <w:rFonts w:ascii="Times New Roman" w:hAnsi="Times New Roman" w:cs="Times New Roman"/>
        </w:rPr>
        <w:t>The relevance of human rights law for international criminal trials has been implicitly acknowledged, but rarely studied or analyzed systematically.</w:t>
      </w:r>
    </w:p>
    <w:p w14:paraId="4A1D3C47" w14:textId="77777777" w:rsidR="00795E41" w:rsidRPr="0013086F" w:rsidRDefault="00795E41" w:rsidP="006066C4">
      <w:pPr>
        <w:spacing w:line="480" w:lineRule="auto"/>
        <w:jc w:val="both"/>
        <w:rPr>
          <w:rFonts w:ascii="Times New Roman" w:hAnsi="Times New Roman" w:cs="Times New Roman"/>
        </w:rPr>
      </w:pPr>
    </w:p>
    <w:p w14:paraId="535E438E" w14:textId="2C801E75" w:rsidR="00FE5412" w:rsidRPr="0013086F" w:rsidRDefault="00885790" w:rsidP="006066C4">
      <w:pPr>
        <w:spacing w:line="480" w:lineRule="auto"/>
        <w:jc w:val="both"/>
        <w:rPr>
          <w:rFonts w:ascii="Times New Roman" w:hAnsi="Times New Roman" w:cs="Times New Roman"/>
        </w:rPr>
      </w:pPr>
      <w:r w:rsidRPr="0013086F">
        <w:rPr>
          <w:rFonts w:ascii="Times New Roman" w:hAnsi="Times New Roman" w:cs="Times New Roman"/>
        </w:rPr>
        <w:t xml:space="preserve">However, can one </w:t>
      </w:r>
      <w:r w:rsidR="00EF4AF1" w:rsidRPr="0013086F">
        <w:rPr>
          <w:rFonts w:ascii="Times New Roman" w:hAnsi="Times New Roman" w:cs="Times New Roman"/>
        </w:rPr>
        <w:t xml:space="preserve">equate the ICC </w:t>
      </w:r>
      <w:r w:rsidRPr="0013086F">
        <w:rPr>
          <w:rFonts w:ascii="Times New Roman" w:hAnsi="Times New Roman" w:cs="Times New Roman"/>
        </w:rPr>
        <w:t xml:space="preserve">to a human rights body? </w:t>
      </w:r>
      <w:r w:rsidR="0046432C" w:rsidRPr="0013086F">
        <w:rPr>
          <w:rFonts w:ascii="Times New Roman" w:hAnsi="Times New Roman" w:cs="Times New Roman"/>
        </w:rPr>
        <w:t xml:space="preserve">To what extent does </w:t>
      </w:r>
      <w:r w:rsidR="00EE50EA" w:rsidRPr="0013086F">
        <w:rPr>
          <w:rFonts w:ascii="Times New Roman" w:hAnsi="Times New Roman" w:cs="Times New Roman"/>
        </w:rPr>
        <w:t>its mission</w:t>
      </w:r>
      <w:r w:rsidR="0046432C" w:rsidRPr="0013086F">
        <w:rPr>
          <w:rFonts w:ascii="Times New Roman" w:hAnsi="Times New Roman" w:cs="Times New Roman"/>
        </w:rPr>
        <w:t xml:space="preserve"> converge with the </w:t>
      </w:r>
      <w:r w:rsidR="00EE50EA" w:rsidRPr="0013086F">
        <w:rPr>
          <w:rFonts w:ascii="Times New Roman" w:hAnsi="Times New Roman" w:cs="Times New Roman"/>
        </w:rPr>
        <w:t>mandate</w:t>
      </w:r>
      <w:r w:rsidR="0046432C" w:rsidRPr="0013086F">
        <w:rPr>
          <w:rFonts w:ascii="Times New Roman" w:hAnsi="Times New Roman" w:cs="Times New Roman"/>
        </w:rPr>
        <w:t xml:space="preserve"> of its regional human rights counterparts – the European Court of Human Rights </w:t>
      </w:r>
      <w:r w:rsidR="00C03320" w:rsidRPr="0013086F">
        <w:rPr>
          <w:rFonts w:ascii="Times New Roman" w:hAnsi="Times New Roman" w:cs="Times New Roman"/>
        </w:rPr>
        <w:t xml:space="preserve">(ECtHR) </w:t>
      </w:r>
      <w:r w:rsidR="0046432C" w:rsidRPr="0013086F">
        <w:rPr>
          <w:rFonts w:ascii="Times New Roman" w:hAnsi="Times New Roman" w:cs="Times New Roman"/>
        </w:rPr>
        <w:t xml:space="preserve">and the Inter-American Court of Human Rights </w:t>
      </w:r>
      <w:r w:rsidR="00C03320" w:rsidRPr="0013086F">
        <w:rPr>
          <w:rFonts w:ascii="Times New Roman" w:hAnsi="Times New Roman" w:cs="Times New Roman"/>
        </w:rPr>
        <w:t xml:space="preserve">(IACtHR) </w:t>
      </w:r>
      <w:r w:rsidR="0046432C" w:rsidRPr="0013086F">
        <w:rPr>
          <w:rFonts w:ascii="Times New Roman" w:hAnsi="Times New Roman" w:cs="Times New Roman"/>
        </w:rPr>
        <w:t xml:space="preserve">– in </w:t>
      </w:r>
      <w:r w:rsidRPr="0013086F">
        <w:rPr>
          <w:rFonts w:ascii="Times New Roman" w:hAnsi="Times New Roman" w:cs="Times New Roman"/>
        </w:rPr>
        <w:t xml:space="preserve">upholding and </w:t>
      </w:r>
      <w:r w:rsidR="0046432C" w:rsidRPr="0013086F">
        <w:rPr>
          <w:rFonts w:ascii="Times New Roman" w:hAnsi="Times New Roman" w:cs="Times New Roman"/>
        </w:rPr>
        <w:t>reinforcing human rights?</w:t>
      </w:r>
      <w:r w:rsidR="005F7554" w:rsidRPr="0013086F">
        <w:rPr>
          <w:rFonts w:ascii="Times New Roman" w:hAnsi="Times New Roman" w:cs="Times New Roman"/>
        </w:rPr>
        <w:t xml:space="preserve"> </w:t>
      </w:r>
    </w:p>
    <w:p w14:paraId="4F3A9D05" w14:textId="77777777" w:rsidR="0046432C" w:rsidRPr="0013086F" w:rsidRDefault="0046432C" w:rsidP="006066C4">
      <w:pPr>
        <w:spacing w:line="480" w:lineRule="auto"/>
        <w:jc w:val="both"/>
        <w:rPr>
          <w:rFonts w:ascii="Times New Roman" w:hAnsi="Times New Roman" w:cs="Times New Roman"/>
        </w:rPr>
      </w:pPr>
    </w:p>
    <w:p w14:paraId="59854608" w14:textId="2136A20D" w:rsidR="000C46A3" w:rsidRPr="0013086F" w:rsidRDefault="00943247" w:rsidP="006066C4">
      <w:pPr>
        <w:spacing w:line="480" w:lineRule="auto"/>
        <w:jc w:val="both"/>
        <w:rPr>
          <w:rFonts w:ascii="Times New Roman" w:hAnsi="Times New Roman" w:cs="Times New Roman"/>
        </w:rPr>
      </w:pPr>
      <w:r w:rsidRPr="0013086F">
        <w:rPr>
          <w:rFonts w:ascii="Times New Roman" w:hAnsi="Times New Roman" w:cs="Times New Roman"/>
        </w:rPr>
        <w:t xml:space="preserve">The </w:t>
      </w:r>
      <w:r w:rsidR="00C916DC" w:rsidRPr="0013086F">
        <w:rPr>
          <w:rFonts w:ascii="Times New Roman" w:hAnsi="Times New Roman" w:cs="Times New Roman"/>
        </w:rPr>
        <w:t>article</w:t>
      </w:r>
      <w:r w:rsidR="00C1005D" w:rsidRPr="0013086F">
        <w:rPr>
          <w:rFonts w:ascii="Times New Roman" w:hAnsi="Times New Roman" w:cs="Times New Roman"/>
        </w:rPr>
        <w:t xml:space="preserve"> critically examines </w:t>
      </w:r>
      <w:r w:rsidR="003809B7" w:rsidRPr="0013086F">
        <w:rPr>
          <w:rFonts w:ascii="Times New Roman" w:hAnsi="Times New Roman" w:cs="Times New Roman"/>
        </w:rPr>
        <w:t xml:space="preserve">the pronouncement of the </w:t>
      </w:r>
      <w:r w:rsidR="003809B7" w:rsidRPr="0013086F">
        <w:rPr>
          <w:rFonts w:ascii="Times New Roman" w:hAnsi="Times New Roman" w:cs="Times New Roman"/>
          <w:i/>
        </w:rPr>
        <w:t>Al Senussi</w:t>
      </w:r>
      <w:r w:rsidR="003809B7" w:rsidRPr="0013086F">
        <w:rPr>
          <w:rFonts w:ascii="Times New Roman" w:hAnsi="Times New Roman" w:cs="Times New Roman"/>
        </w:rPr>
        <w:t xml:space="preserve"> Appeals Chamber that the ICC was not established to be an international court of human rights designed to adjudicate on the internal functioning of </w:t>
      </w:r>
      <w:r w:rsidR="000A0849" w:rsidRPr="0013086F">
        <w:rPr>
          <w:rFonts w:ascii="Times New Roman" w:hAnsi="Times New Roman" w:cs="Times New Roman"/>
        </w:rPr>
        <w:t>the domestic legal systems of s</w:t>
      </w:r>
      <w:r w:rsidR="003809B7" w:rsidRPr="0013086F">
        <w:rPr>
          <w:rFonts w:ascii="Times New Roman" w:hAnsi="Times New Roman" w:cs="Times New Roman"/>
        </w:rPr>
        <w:t>tates in relation to due process guarantees.</w:t>
      </w:r>
      <w:r w:rsidR="00FC47BA" w:rsidRPr="0013086F">
        <w:rPr>
          <w:rStyle w:val="FootnoteReference"/>
          <w:rFonts w:ascii="Times New Roman" w:hAnsi="Times New Roman" w:cs="Times New Roman"/>
        </w:rPr>
        <w:footnoteReference w:id="3"/>
      </w:r>
      <w:r w:rsidR="001057C9" w:rsidRPr="0013086F">
        <w:rPr>
          <w:rFonts w:ascii="Times New Roman" w:hAnsi="Times New Roman" w:cs="Times New Roman"/>
        </w:rPr>
        <w:t xml:space="preserve"> </w:t>
      </w:r>
      <w:r w:rsidR="0052054E" w:rsidRPr="0013086F">
        <w:rPr>
          <w:rFonts w:ascii="Times New Roman" w:hAnsi="Times New Roman" w:cs="Times New Roman"/>
        </w:rPr>
        <w:t xml:space="preserve">The </w:t>
      </w:r>
      <w:r w:rsidR="001441E4" w:rsidRPr="0013086F">
        <w:rPr>
          <w:rFonts w:ascii="Times New Roman" w:hAnsi="Times New Roman" w:cs="Times New Roman"/>
        </w:rPr>
        <w:t xml:space="preserve">appellate </w:t>
      </w:r>
      <w:r w:rsidR="0052054E" w:rsidRPr="0013086F">
        <w:rPr>
          <w:rFonts w:ascii="Times New Roman" w:hAnsi="Times New Roman" w:cs="Times New Roman"/>
        </w:rPr>
        <w:t>judges reinforced the view previously voice</w:t>
      </w:r>
      <w:r w:rsidR="000E407B" w:rsidRPr="0013086F">
        <w:rPr>
          <w:rFonts w:ascii="Times New Roman" w:hAnsi="Times New Roman" w:cs="Times New Roman"/>
        </w:rPr>
        <w:t xml:space="preserve">d by the Pre-Trial Chamber: </w:t>
      </w:r>
      <w:r w:rsidR="0052054E" w:rsidRPr="0013086F">
        <w:rPr>
          <w:rFonts w:ascii="Times New Roman" w:hAnsi="Times New Roman" w:cs="Times New Roman"/>
        </w:rPr>
        <w:t xml:space="preserve">Mr. Al Senussi’s lack of access to defence counsel during investigation proceedings in Libya </w:t>
      </w:r>
      <w:r w:rsidR="000E407B" w:rsidRPr="0013086F">
        <w:rPr>
          <w:rFonts w:ascii="Times New Roman" w:hAnsi="Times New Roman" w:cs="Times New Roman"/>
        </w:rPr>
        <w:t>in the context of the</w:t>
      </w:r>
      <w:r w:rsidR="0052054E" w:rsidRPr="0013086F">
        <w:rPr>
          <w:rFonts w:ascii="Times New Roman" w:hAnsi="Times New Roman" w:cs="Times New Roman"/>
        </w:rPr>
        <w:t xml:space="preserve"> fragile security situation</w:t>
      </w:r>
      <w:r w:rsidR="000E407B" w:rsidRPr="0013086F">
        <w:rPr>
          <w:rFonts w:ascii="Times New Roman" w:hAnsi="Times New Roman" w:cs="Times New Roman"/>
        </w:rPr>
        <w:t xml:space="preserve"> in the country</w:t>
      </w:r>
      <w:r w:rsidR="0052054E" w:rsidRPr="0013086F">
        <w:rPr>
          <w:rFonts w:ascii="Times New Roman" w:hAnsi="Times New Roman" w:cs="Times New Roman"/>
        </w:rPr>
        <w:t xml:space="preserve"> do not render the case admissible before the ICC. </w:t>
      </w:r>
      <w:r w:rsidR="004E0184" w:rsidRPr="0013086F">
        <w:rPr>
          <w:rFonts w:ascii="Times New Roman" w:hAnsi="Times New Roman" w:cs="Times New Roman"/>
        </w:rPr>
        <w:t xml:space="preserve">This position is consonant with the one voiced in the </w:t>
      </w:r>
      <w:r w:rsidR="004E0184" w:rsidRPr="0013086F">
        <w:rPr>
          <w:rFonts w:ascii="Times New Roman" w:hAnsi="Times New Roman" w:cs="Times New Roman"/>
          <w:i/>
        </w:rPr>
        <w:t xml:space="preserve">Kony </w:t>
      </w:r>
      <w:r w:rsidR="004E0184" w:rsidRPr="0013086F">
        <w:rPr>
          <w:rFonts w:ascii="Times New Roman" w:hAnsi="Times New Roman" w:cs="Times New Roman"/>
        </w:rPr>
        <w:t xml:space="preserve">admissibility proceedings whereby the Appeals Chamber </w:t>
      </w:r>
      <w:r w:rsidR="00035796" w:rsidRPr="0013086F">
        <w:rPr>
          <w:rFonts w:ascii="Times New Roman" w:hAnsi="Times New Roman" w:cs="Times New Roman"/>
        </w:rPr>
        <w:t>refuted Defence’s argument that a suspect is entitled to legal representation in the admissibility proceedings.</w:t>
      </w:r>
      <w:r w:rsidR="003A65B6" w:rsidRPr="0013086F">
        <w:rPr>
          <w:rFonts w:ascii="Times New Roman" w:hAnsi="Times New Roman" w:cs="Times New Roman"/>
        </w:rPr>
        <w:t xml:space="preserve"> The judges ruled that such right only exists </w:t>
      </w:r>
      <w:r w:rsidR="003A65B6" w:rsidRPr="0013086F">
        <w:rPr>
          <w:rFonts w:ascii="Times New Roman" w:hAnsi="Times New Roman" w:cs="Times New Roman"/>
          <w:i/>
        </w:rPr>
        <w:t>at the trial</w:t>
      </w:r>
      <w:r w:rsidR="003A65B6" w:rsidRPr="0013086F">
        <w:rPr>
          <w:rFonts w:ascii="Times New Roman" w:hAnsi="Times New Roman" w:cs="Times New Roman"/>
        </w:rPr>
        <w:t xml:space="preserve"> and in respect of persons appearing before the court, as opposed to those for whom the arrest warrant has been issued. Moreover, they stressed the limited applicability of human rights guarantees in the context of international criminal trial.</w:t>
      </w:r>
      <w:r w:rsidR="007979E0" w:rsidRPr="0013086F">
        <w:rPr>
          <w:rStyle w:val="FootnoteReference"/>
          <w:rFonts w:ascii="Times New Roman" w:hAnsi="Times New Roman" w:cs="Times New Roman"/>
        </w:rPr>
        <w:footnoteReference w:id="4"/>
      </w:r>
      <w:r w:rsidR="00035796" w:rsidRPr="0013086F">
        <w:rPr>
          <w:rFonts w:ascii="Times New Roman" w:hAnsi="Times New Roman" w:cs="Times New Roman"/>
        </w:rPr>
        <w:t xml:space="preserve"> </w:t>
      </w:r>
    </w:p>
    <w:p w14:paraId="71883313" w14:textId="77777777" w:rsidR="000C46A3" w:rsidRPr="0013086F" w:rsidRDefault="000C46A3" w:rsidP="006066C4">
      <w:pPr>
        <w:spacing w:line="480" w:lineRule="auto"/>
        <w:jc w:val="both"/>
        <w:rPr>
          <w:rFonts w:ascii="Times New Roman" w:hAnsi="Times New Roman" w:cs="Times New Roman"/>
        </w:rPr>
      </w:pPr>
    </w:p>
    <w:p w14:paraId="49838A77" w14:textId="144B656D" w:rsidR="00C20E7A" w:rsidRPr="0013086F" w:rsidRDefault="007040C8" w:rsidP="006066C4">
      <w:pPr>
        <w:spacing w:line="480" w:lineRule="auto"/>
        <w:jc w:val="both"/>
        <w:rPr>
          <w:rFonts w:ascii="Times New Roman" w:hAnsi="Times New Roman" w:cs="Times New Roman"/>
        </w:rPr>
      </w:pPr>
      <w:r w:rsidRPr="0013086F">
        <w:rPr>
          <w:rFonts w:ascii="Times New Roman" w:hAnsi="Times New Roman" w:cs="Times New Roman"/>
        </w:rPr>
        <w:t>This position could be contrasted with the</w:t>
      </w:r>
      <w:r w:rsidR="00F34236" w:rsidRPr="0013086F">
        <w:rPr>
          <w:rFonts w:ascii="Times New Roman" w:hAnsi="Times New Roman" w:cs="Times New Roman"/>
        </w:rPr>
        <w:t xml:space="preserve"> </w:t>
      </w:r>
      <w:r w:rsidR="00F34236" w:rsidRPr="0013086F">
        <w:rPr>
          <w:rFonts w:ascii="Times New Roman" w:hAnsi="Times New Roman" w:cs="Times New Roman"/>
          <w:i/>
        </w:rPr>
        <w:t xml:space="preserve">Katanga </w:t>
      </w:r>
      <w:r w:rsidR="00F34236" w:rsidRPr="0013086F">
        <w:rPr>
          <w:rFonts w:ascii="Times New Roman" w:hAnsi="Times New Roman" w:cs="Times New Roman"/>
        </w:rPr>
        <w:t>case,</w:t>
      </w:r>
      <w:r w:rsidRPr="0013086F">
        <w:rPr>
          <w:rFonts w:ascii="Times New Roman" w:hAnsi="Times New Roman" w:cs="Times New Roman"/>
        </w:rPr>
        <w:t xml:space="preserve"> where</w:t>
      </w:r>
      <w:r w:rsidR="00F34236" w:rsidRPr="0013086F">
        <w:rPr>
          <w:rFonts w:ascii="Times New Roman" w:hAnsi="Times New Roman" w:cs="Times New Roman"/>
        </w:rPr>
        <w:t xml:space="preserve"> judges ruled that the accused is entitled to the level of human rights protection </w:t>
      </w:r>
      <w:r w:rsidR="00F34236" w:rsidRPr="0013086F">
        <w:rPr>
          <w:rFonts w:ascii="Times New Roman" w:hAnsi="Times New Roman" w:cs="Times New Roman"/>
          <w:i/>
        </w:rPr>
        <w:t>higher</w:t>
      </w:r>
      <w:r w:rsidR="00F34236" w:rsidRPr="0013086F">
        <w:rPr>
          <w:rFonts w:ascii="Times New Roman" w:hAnsi="Times New Roman" w:cs="Times New Roman"/>
        </w:rPr>
        <w:t xml:space="preserve"> than that guaranteed under the European Convention of Human Rights (ECHR) or the International Covenant on Civil and Political Rights (ICCPR). The matter </w:t>
      </w:r>
      <w:r w:rsidR="000C377A" w:rsidRPr="0013086F">
        <w:rPr>
          <w:rFonts w:ascii="Times New Roman" w:hAnsi="Times New Roman" w:cs="Times New Roman"/>
        </w:rPr>
        <w:t>concerned</w:t>
      </w:r>
      <w:r w:rsidR="000C46A3" w:rsidRPr="0013086F">
        <w:rPr>
          <w:rFonts w:ascii="Times New Roman" w:hAnsi="Times New Roman" w:cs="Times New Roman"/>
        </w:rPr>
        <w:t xml:space="preserve"> the extent of the accused’s language competence required to meet the threshold of </w:t>
      </w:r>
      <w:r w:rsidR="000C377A" w:rsidRPr="0013086F">
        <w:rPr>
          <w:rFonts w:ascii="Times New Roman" w:hAnsi="Times New Roman" w:cs="Times New Roman"/>
        </w:rPr>
        <w:t xml:space="preserve">Article 67(1)(a) and (f) </w:t>
      </w:r>
      <w:r w:rsidR="000C46A3" w:rsidRPr="0013086F">
        <w:rPr>
          <w:rFonts w:ascii="Times New Roman" w:hAnsi="Times New Roman" w:cs="Times New Roman"/>
        </w:rPr>
        <w:t>of the Rome Statute. These provisio</w:t>
      </w:r>
      <w:r w:rsidR="003679C4" w:rsidRPr="0013086F">
        <w:rPr>
          <w:rFonts w:ascii="Times New Roman" w:hAnsi="Times New Roman" w:cs="Times New Roman"/>
        </w:rPr>
        <w:t>ns guarantee that the accused is</w:t>
      </w:r>
      <w:r w:rsidR="000C46A3" w:rsidRPr="0013086F">
        <w:rPr>
          <w:rFonts w:ascii="Times New Roman" w:hAnsi="Times New Roman" w:cs="Times New Roman"/>
        </w:rPr>
        <w:t xml:space="preserve"> properly informed about the charges against them and received legal assistance in the language that they</w:t>
      </w:r>
      <w:r w:rsidR="00A26562" w:rsidRPr="0013086F">
        <w:rPr>
          <w:rFonts w:ascii="Times New Roman" w:hAnsi="Times New Roman" w:cs="Times New Roman"/>
        </w:rPr>
        <w:t xml:space="preserve"> </w:t>
      </w:r>
      <w:r w:rsidR="00A26562" w:rsidRPr="0013086F">
        <w:rPr>
          <w:rFonts w:ascii="Times New Roman" w:hAnsi="Times New Roman" w:cs="Times New Roman"/>
          <w:i/>
        </w:rPr>
        <w:t>fully</w:t>
      </w:r>
      <w:r w:rsidR="000C46A3" w:rsidRPr="0013086F">
        <w:rPr>
          <w:rFonts w:ascii="Times New Roman" w:hAnsi="Times New Roman" w:cs="Times New Roman"/>
        </w:rPr>
        <w:t xml:space="preserve"> understand and </w:t>
      </w:r>
      <w:r w:rsidR="000C46A3" w:rsidRPr="0013086F">
        <w:rPr>
          <w:rFonts w:ascii="Times New Roman" w:hAnsi="Times New Roman" w:cs="Times New Roman"/>
          <w:i/>
        </w:rPr>
        <w:t>speak</w:t>
      </w:r>
      <w:r w:rsidR="000C46A3" w:rsidRPr="0013086F">
        <w:rPr>
          <w:rFonts w:ascii="Times New Roman" w:hAnsi="Times New Roman" w:cs="Times New Roman"/>
        </w:rPr>
        <w:t>.</w:t>
      </w:r>
      <w:r w:rsidR="006644AF" w:rsidRPr="0013086F">
        <w:rPr>
          <w:rStyle w:val="FootnoteReference"/>
          <w:rFonts w:ascii="Times New Roman" w:hAnsi="Times New Roman" w:cs="Times New Roman"/>
        </w:rPr>
        <w:footnoteReference w:id="5"/>
      </w:r>
      <w:r w:rsidR="00BD3E98" w:rsidRPr="0013086F">
        <w:rPr>
          <w:rFonts w:ascii="Times New Roman" w:hAnsi="Times New Roman" w:cs="Times New Roman"/>
        </w:rPr>
        <w:t xml:space="preserve"> The ECHR and the ICCPR stop short of this</w:t>
      </w:r>
      <w:r w:rsidR="00A1293F" w:rsidRPr="0013086F">
        <w:rPr>
          <w:rFonts w:ascii="Times New Roman" w:hAnsi="Times New Roman" w:cs="Times New Roman"/>
        </w:rPr>
        <w:t xml:space="preserve"> comprehensive</w:t>
      </w:r>
      <w:r w:rsidR="00BD3E98" w:rsidRPr="0013086F">
        <w:rPr>
          <w:rFonts w:ascii="Times New Roman" w:hAnsi="Times New Roman" w:cs="Times New Roman"/>
        </w:rPr>
        <w:t xml:space="preserve"> standard guaranteeing protection in the language which the person </w:t>
      </w:r>
      <w:r w:rsidR="00A1293F" w:rsidRPr="0013086F">
        <w:rPr>
          <w:rFonts w:ascii="Times New Roman" w:hAnsi="Times New Roman" w:cs="Times New Roman"/>
        </w:rPr>
        <w:t>charged with a criminal offence understands.</w:t>
      </w:r>
      <w:r w:rsidR="00A1293F" w:rsidRPr="0013086F">
        <w:rPr>
          <w:rStyle w:val="FootnoteReference"/>
          <w:rFonts w:ascii="Times New Roman" w:hAnsi="Times New Roman" w:cs="Times New Roman"/>
        </w:rPr>
        <w:footnoteReference w:id="6"/>
      </w:r>
      <w:r w:rsidR="00943247" w:rsidRPr="0013086F">
        <w:rPr>
          <w:rFonts w:ascii="Times New Roman" w:hAnsi="Times New Roman" w:cs="Times New Roman"/>
        </w:rPr>
        <w:t xml:space="preserve"> Admittedly, this ruling concerned the rights of persons be</w:t>
      </w:r>
      <w:r w:rsidR="00E647EA" w:rsidRPr="0013086F">
        <w:rPr>
          <w:rFonts w:ascii="Times New Roman" w:hAnsi="Times New Roman" w:cs="Times New Roman"/>
        </w:rPr>
        <w:t xml:space="preserve">fore the ICC Pre-Trial Chamber, rather than </w:t>
      </w:r>
      <w:r w:rsidR="007D40AD" w:rsidRPr="0013086F">
        <w:rPr>
          <w:rFonts w:ascii="Times New Roman" w:hAnsi="Times New Roman" w:cs="Times New Roman"/>
        </w:rPr>
        <w:t xml:space="preserve">the situation of the </w:t>
      </w:r>
      <w:r w:rsidR="00E647EA" w:rsidRPr="0013086F">
        <w:rPr>
          <w:rFonts w:ascii="Times New Roman" w:hAnsi="Times New Roman" w:cs="Times New Roman"/>
        </w:rPr>
        <w:t>suspects</w:t>
      </w:r>
      <w:r w:rsidR="00C96C41" w:rsidRPr="0013086F">
        <w:rPr>
          <w:rFonts w:ascii="Times New Roman" w:hAnsi="Times New Roman" w:cs="Times New Roman"/>
        </w:rPr>
        <w:t xml:space="preserve"> singled out for domestic </w:t>
      </w:r>
      <w:r w:rsidR="007D40AD" w:rsidRPr="0013086F">
        <w:rPr>
          <w:rFonts w:ascii="Times New Roman" w:hAnsi="Times New Roman" w:cs="Times New Roman"/>
        </w:rPr>
        <w:t>prosecutions and examined in the context of the admissibility</w:t>
      </w:r>
      <w:r w:rsidR="00E647EA" w:rsidRPr="0013086F">
        <w:rPr>
          <w:rFonts w:ascii="Times New Roman" w:hAnsi="Times New Roman" w:cs="Times New Roman"/>
        </w:rPr>
        <w:t xml:space="preserve"> proceedings.</w:t>
      </w:r>
    </w:p>
    <w:p w14:paraId="69C7AEF8" w14:textId="112FD433" w:rsidR="00943247" w:rsidRPr="0013086F" w:rsidRDefault="00943247" w:rsidP="006066C4">
      <w:pPr>
        <w:spacing w:line="480" w:lineRule="auto"/>
        <w:jc w:val="both"/>
        <w:rPr>
          <w:rFonts w:ascii="Times New Roman" w:hAnsi="Times New Roman" w:cs="Times New Roman"/>
        </w:rPr>
      </w:pPr>
    </w:p>
    <w:p w14:paraId="394E5C12" w14:textId="54FD0353" w:rsidR="008C586E" w:rsidRPr="0013086F" w:rsidRDefault="009A1130" w:rsidP="006066C4">
      <w:pPr>
        <w:widowControl w:val="0"/>
        <w:autoSpaceDE w:val="0"/>
        <w:autoSpaceDN w:val="0"/>
        <w:adjustRightInd w:val="0"/>
        <w:spacing w:line="480" w:lineRule="auto"/>
        <w:jc w:val="both"/>
        <w:rPr>
          <w:rFonts w:ascii="Times New Roman" w:hAnsi="Times New Roman" w:cs="Times New Roman"/>
        </w:rPr>
      </w:pPr>
      <w:r w:rsidRPr="0013086F">
        <w:rPr>
          <w:rFonts w:ascii="Times New Roman" w:hAnsi="Times New Roman" w:cs="Times New Roman"/>
        </w:rPr>
        <w:t xml:space="preserve">There are at least two explanations for the above contradiction. The </w:t>
      </w:r>
      <w:r w:rsidR="00471C5D" w:rsidRPr="0013086F">
        <w:rPr>
          <w:rFonts w:ascii="Times New Roman" w:hAnsi="Times New Roman" w:cs="Times New Roman"/>
        </w:rPr>
        <w:t xml:space="preserve">most obvious one is explicitly suggested by the </w:t>
      </w:r>
      <w:r w:rsidRPr="0013086F">
        <w:rPr>
          <w:rFonts w:ascii="Times New Roman" w:hAnsi="Times New Roman" w:cs="Times New Roman"/>
        </w:rPr>
        <w:t xml:space="preserve">judges in </w:t>
      </w:r>
      <w:r w:rsidRPr="0013086F">
        <w:rPr>
          <w:rFonts w:ascii="Times New Roman" w:hAnsi="Times New Roman" w:cs="Times New Roman"/>
          <w:i/>
        </w:rPr>
        <w:t>Al Senussi</w:t>
      </w:r>
      <w:r w:rsidRPr="0013086F">
        <w:rPr>
          <w:rFonts w:ascii="Times New Roman" w:hAnsi="Times New Roman" w:cs="Times New Roman"/>
        </w:rPr>
        <w:t xml:space="preserve"> and </w:t>
      </w:r>
      <w:r w:rsidRPr="0013086F">
        <w:rPr>
          <w:rFonts w:ascii="Times New Roman" w:hAnsi="Times New Roman" w:cs="Times New Roman"/>
          <w:i/>
        </w:rPr>
        <w:t>Kony</w:t>
      </w:r>
      <w:r w:rsidR="00471C5D" w:rsidRPr="0013086F">
        <w:rPr>
          <w:rFonts w:ascii="Times New Roman" w:hAnsi="Times New Roman" w:cs="Times New Roman"/>
        </w:rPr>
        <w:t xml:space="preserve">: </w:t>
      </w:r>
      <w:r w:rsidRPr="0013086F">
        <w:rPr>
          <w:rFonts w:ascii="Times New Roman" w:hAnsi="Times New Roman" w:cs="Times New Roman"/>
        </w:rPr>
        <w:t xml:space="preserve">the scope of the human rights protection guaranteed by the ICC depends on the stage of the proceedings and the exact role of the person seeking protection (suspect or accused). </w:t>
      </w:r>
      <w:r w:rsidR="00C03320" w:rsidRPr="0013086F">
        <w:rPr>
          <w:rFonts w:ascii="Times New Roman" w:hAnsi="Times New Roman" w:cs="Times New Roman"/>
        </w:rPr>
        <w:t xml:space="preserve">This compartmentalization </w:t>
      </w:r>
      <w:r w:rsidR="00095EEB" w:rsidRPr="0013086F">
        <w:rPr>
          <w:rFonts w:ascii="Times New Roman" w:hAnsi="Times New Roman" w:cs="Times New Roman"/>
        </w:rPr>
        <w:t>differs from the</w:t>
      </w:r>
      <w:r w:rsidR="00C03320" w:rsidRPr="0013086F">
        <w:rPr>
          <w:rFonts w:ascii="Times New Roman" w:hAnsi="Times New Roman" w:cs="Times New Roman"/>
        </w:rPr>
        <w:t xml:space="preserve"> </w:t>
      </w:r>
      <w:r w:rsidR="00095EEB" w:rsidRPr="0013086F">
        <w:rPr>
          <w:rFonts w:ascii="Times New Roman" w:hAnsi="Times New Roman" w:cs="Times New Roman"/>
        </w:rPr>
        <w:t xml:space="preserve">predominant </w:t>
      </w:r>
      <w:r w:rsidR="00C03320" w:rsidRPr="0013086F">
        <w:rPr>
          <w:rFonts w:ascii="Times New Roman" w:hAnsi="Times New Roman" w:cs="Times New Roman"/>
        </w:rPr>
        <w:t xml:space="preserve">approach of the ECtHR to assess individual </w:t>
      </w:r>
      <w:r w:rsidR="006E328B" w:rsidRPr="0013086F">
        <w:rPr>
          <w:rFonts w:ascii="Times New Roman" w:hAnsi="Times New Roman" w:cs="Times New Roman"/>
        </w:rPr>
        <w:t>due process</w:t>
      </w:r>
      <w:r w:rsidR="00C03320" w:rsidRPr="0013086F">
        <w:rPr>
          <w:rFonts w:ascii="Times New Roman" w:hAnsi="Times New Roman" w:cs="Times New Roman"/>
        </w:rPr>
        <w:t xml:space="preserve"> guarante</w:t>
      </w:r>
      <w:r w:rsidR="006E328B" w:rsidRPr="0013086F">
        <w:rPr>
          <w:rFonts w:ascii="Times New Roman" w:hAnsi="Times New Roman" w:cs="Times New Roman"/>
        </w:rPr>
        <w:t>es against the notion o</w:t>
      </w:r>
      <w:r w:rsidR="00471C5D" w:rsidRPr="0013086F">
        <w:rPr>
          <w:rFonts w:ascii="Times New Roman" w:hAnsi="Times New Roman" w:cs="Times New Roman"/>
        </w:rPr>
        <w:t>f the overall fairness of the proceedings.</w:t>
      </w:r>
      <w:r w:rsidR="00471C5D" w:rsidRPr="0013086F">
        <w:rPr>
          <w:rStyle w:val="FootnoteReference"/>
          <w:rFonts w:ascii="Times New Roman" w:hAnsi="Times New Roman" w:cs="Times New Roman"/>
        </w:rPr>
        <w:footnoteReference w:id="7"/>
      </w:r>
      <w:r w:rsidR="006E328B" w:rsidRPr="0013086F">
        <w:rPr>
          <w:rFonts w:ascii="Times New Roman" w:hAnsi="Times New Roman" w:cs="Times New Roman"/>
        </w:rPr>
        <w:t xml:space="preserve"> </w:t>
      </w:r>
      <w:r w:rsidR="00330D95" w:rsidRPr="0013086F">
        <w:rPr>
          <w:rFonts w:ascii="Times New Roman" w:hAnsi="Times New Roman" w:cs="Times New Roman"/>
        </w:rPr>
        <w:t xml:space="preserve">In </w:t>
      </w:r>
      <w:r w:rsidR="00330D95" w:rsidRPr="0013086F">
        <w:rPr>
          <w:rFonts w:ascii="Times New Roman" w:hAnsi="Times New Roman" w:cs="Times New Roman"/>
          <w:i/>
          <w:iCs/>
        </w:rPr>
        <w:t xml:space="preserve">Al-Khawaja and Tahery, </w:t>
      </w:r>
      <w:r w:rsidR="00330D95" w:rsidRPr="0013086F">
        <w:rPr>
          <w:rFonts w:ascii="Times New Roman" w:hAnsi="Times New Roman" w:cs="Times New Roman"/>
          <w:iCs/>
        </w:rPr>
        <w:t xml:space="preserve">the ECtHR </w:t>
      </w:r>
      <w:r w:rsidR="00095EEB" w:rsidRPr="0013086F">
        <w:rPr>
          <w:rFonts w:ascii="Times New Roman" w:hAnsi="Times New Roman" w:cs="Times New Roman"/>
          <w:iCs/>
        </w:rPr>
        <w:t>evaluated</w:t>
      </w:r>
      <w:r w:rsidR="00330D95" w:rsidRPr="0013086F">
        <w:rPr>
          <w:rFonts w:ascii="Times New Roman" w:hAnsi="Times New Roman" w:cs="Times New Roman"/>
          <w:iCs/>
        </w:rPr>
        <w:t xml:space="preserve"> the relationship between the general fair trial requirements under Article 6(1) of the ECHR and the specific guarantees for persons charged with a criminal offence under Article 6(3). It held that the latter are “</w:t>
      </w:r>
      <w:r w:rsidR="00330D95" w:rsidRPr="0013086F">
        <w:rPr>
          <w:rFonts w:ascii="Times New Roman" w:hAnsi="Times New Roman" w:cs="Times New Roman"/>
        </w:rPr>
        <w:t xml:space="preserve">specific aspects of the right to a fair hearing set forth in paragraph 1” and “the Court’s primary concern under Article 6(1) is to evaluate the </w:t>
      </w:r>
      <w:r w:rsidR="00330D95" w:rsidRPr="0013086F">
        <w:rPr>
          <w:rFonts w:ascii="Times New Roman" w:hAnsi="Times New Roman" w:cs="Times New Roman"/>
          <w:i/>
        </w:rPr>
        <w:t>overall</w:t>
      </w:r>
      <w:r w:rsidR="00330D95" w:rsidRPr="0013086F">
        <w:rPr>
          <w:rFonts w:ascii="Times New Roman" w:hAnsi="Times New Roman" w:cs="Times New Roman"/>
        </w:rPr>
        <w:t xml:space="preserve"> fairness of the criminal proceedings.”</w:t>
      </w:r>
      <w:r w:rsidR="00330D95" w:rsidRPr="0013086F">
        <w:rPr>
          <w:rStyle w:val="FootnoteReference"/>
          <w:rFonts w:ascii="Times New Roman" w:hAnsi="Times New Roman" w:cs="Times New Roman"/>
        </w:rPr>
        <w:footnoteReference w:id="8"/>
      </w:r>
    </w:p>
    <w:p w14:paraId="37496692" w14:textId="77777777" w:rsidR="007F1B22" w:rsidRPr="0013086F" w:rsidRDefault="007F1B22" w:rsidP="006066C4">
      <w:pPr>
        <w:widowControl w:val="0"/>
        <w:autoSpaceDE w:val="0"/>
        <w:autoSpaceDN w:val="0"/>
        <w:adjustRightInd w:val="0"/>
        <w:spacing w:line="480" w:lineRule="auto"/>
        <w:jc w:val="both"/>
        <w:rPr>
          <w:rFonts w:ascii="Times New Roman" w:hAnsi="Times New Roman" w:cs="Times New Roman"/>
        </w:rPr>
      </w:pPr>
    </w:p>
    <w:p w14:paraId="7E46BB71" w14:textId="4A493EBF" w:rsidR="00B55849" w:rsidRPr="0013086F" w:rsidRDefault="00330D95" w:rsidP="006066C4">
      <w:pPr>
        <w:widowControl w:val="0"/>
        <w:autoSpaceDE w:val="0"/>
        <w:autoSpaceDN w:val="0"/>
        <w:adjustRightInd w:val="0"/>
        <w:spacing w:line="480" w:lineRule="auto"/>
        <w:jc w:val="both"/>
        <w:rPr>
          <w:rFonts w:ascii="Times New Roman" w:eastAsia="Times New Roman" w:hAnsi="Times New Roman" w:cs="Times New Roman"/>
          <w:lang w:val="en-GB"/>
        </w:rPr>
      </w:pPr>
      <w:r w:rsidRPr="0013086F">
        <w:rPr>
          <w:rFonts w:ascii="Times New Roman" w:hAnsi="Times New Roman" w:cs="Times New Roman"/>
        </w:rPr>
        <w:t xml:space="preserve">The second possible explanation for diverging approaches to human rights protection </w:t>
      </w:r>
      <w:r w:rsidR="00427A91" w:rsidRPr="0013086F">
        <w:rPr>
          <w:rFonts w:ascii="Times New Roman" w:hAnsi="Times New Roman" w:cs="Times New Roman"/>
        </w:rPr>
        <w:t xml:space="preserve">on a case by case basis at the ICC </w:t>
      </w:r>
      <w:r w:rsidRPr="0013086F">
        <w:rPr>
          <w:rFonts w:ascii="Times New Roman" w:hAnsi="Times New Roman" w:cs="Times New Roman"/>
        </w:rPr>
        <w:t xml:space="preserve">could be the nature of rights at stake and the role of the party seeking protection. </w:t>
      </w:r>
      <w:r w:rsidR="00744774" w:rsidRPr="0013086F">
        <w:rPr>
          <w:rFonts w:ascii="Times New Roman" w:hAnsi="Times New Roman" w:cs="Times New Roman"/>
        </w:rPr>
        <w:t>Is it possible that victims’ rights receive higher degree of protection at the ICC than those of other part</w:t>
      </w:r>
      <w:r w:rsidR="00C9752E" w:rsidRPr="0013086F">
        <w:rPr>
          <w:rFonts w:ascii="Times New Roman" w:hAnsi="Times New Roman" w:cs="Times New Roman"/>
        </w:rPr>
        <w:t>ies? The Rome Statute reserves</w:t>
      </w:r>
      <w:r w:rsidR="00744774" w:rsidRPr="0013086F">
        <w:rPr>
          <w:rFonts w:ascii="Times New Roman" w:hAnsi="Times New Roman" w:cs="Times New Roman"/>
        </w:rPr>
        <w:t xml:space="preserve"> prominent role for</w:t>
      </w:r>
      <w:r w:rsidR="00B55849" w:rsidRPr="0013086F">
        <w:rPr>
          <w:rFonts w:ascii="Times New Roman" w:hAnsi="Times New Roman" w:cs="Times New Roman"/>
        </w:rPr>
        <w:t xml:space="preserve"> </w:t>
      </w:r>
      <w:r w:rsidR="00744774" w:rsidRPr="0013086F">
        <w:rPr>
          <w:rFonts w:ascii="Times New Roman" w:hAnsi="Times New Roman" w:cs="Times New Roman"/>
        </w:rPr>
        <w:t>victims in</w:t>
      </w:r>
      <w:r w:rsidR="00B55849" w:rsidRPr="0013086F">
        <w:rPr>
          <w:rFonts w:ascii="Times New Roman" w:hAnsi="Times New Roman" w:cs="Times New Roman"/>
        </w:rPr>
        <w:t xml:space="preserve"> the proceedings before the ICC. The </w:t>
      </w:r>
      <w:r w:rsidR="00744774" w:rsidRPr="0013086F">
        <w:rPr>
          <w:rFonts w:ascii="Times New Roman" w:hAnsi="Times New Roman" w:cs="Times New Roman"/>
        </w:rPr>
        <w:t xml:space="preserve">Preamble </w:t>
      </w:r>
      <w:r w:rsidR="00B55849" w:rsidRPr="0013086F">
        <w:rPr>
          <w:rFonts w:ascii="Times New Roman" w:hAnsi="Times New Roman" w:cs="Times New Roman"/>
        </w:rPr>
        <w:t xml:space="preserve">makes an emotional call to </w:t>
      </w:r>
      <w:r w:rsidR="00C9752E" w:rsidRPr="0013086F">
        <w:rPr>
          <w:rFonts w:ascii="Times New Roman" w:hAnsi="Times New Roman" w:cs="Times New Roman"/>
        </w:rPr>
        <w:t xml:space="preserve">ensure the recognition of </w:t>
      </w:r>
      <w:r w:rsidR="00B55849" w:rsidRPr="0013086F">
        <w:rPr>
          <w:rFonts w:ascii="Times New Roman" w:hAnsi="Times New Roman" w:cs="Times New Roman"/>
        </w:rPr>
        <w:t>suffering of “</w:t>
      </w:r>
      <w:r w:rsidR="00744774" w:rsidRPr="0013086F">
        <w:rPr>
          <w:rFonts w:ascii="Times New Roman" w:eastAsia="Times New Roman" w:hAnsi="Times New Roman" w:cs="Times New Roman"/>
          <w:lang w:val="en-GB"/>
        </w:rPr>
        <w:t xml:space="preserve">victims of unimaginable atrocities that deeply shock the conscience of humanity”. </w:t>
      </w:r>
      <w:r w:rsidR="00B55849" w:rsidRPr="0013086F">
        <w:rPr>
          <w:rFonts w:ascii="Times New Roman" w:eastAsia="Times New Roman" w:hAnsi="Times New Roman" w:cs="Times New Roman"/>
          <w:lang w:val="en-GB"/>
        </w:rPr>
        <w:t xml:space="preserve">In </w:t>
      </w:r>
      <w:r w:rsidR="00B55849" w:rsidRPr="0013086F">
        <w:rPr>
          <w:rFonts w:ascii="Times New Roman" w:eastAsia="Times New Roman" w:hAnsi="Times New Roman" w:cs="Times New Roman"/>
          <w:i/>
          <w:lang w:val="en-GB"/>
        </w:rPr>
        <w:t>Lubanga</w:t>
      </w:r>
      <w:r w:rsidR="00B55849" w:rsidRPr="0013086F">
        <w:rPr>
          <w:rFonts w:ascii="Times New Roman" w:eastAsia="Times New Roman" w:hAnsi="Times New Roman" w:cs="Times New Roman"/>
          <w:lang w:val="en-GB"/>
        </w:rPr>
        <w:t xml:space="preserve">, the ICC </w:t>
      </w:r>
      <w:r w:rsidR="00805392" w:rsidRPr="0013086F">
        <w:rPr>
          <w:rFonts w:ascii="Times New Roman" w:eastAsia="Times New Roman" w:hAnsi="Times New Roman" w:cs="Times New Roman"/>
          <w:lang w:val="en-GB"/>
        </w:rPr>
        <w:t>upheld the centrality of victim-related concerns by holding:</w:t>
      </w:r>
      <w:r w:rsidR="00B55849" w:rsidRPr="0013086F">
        <w:rPr>
          <w:rFonts w:ascii="Times New Roman" w:eastAsia="Times New Roman" w:hAnsi="Times New Roman" w:cs="Times New Roman"/>
          <w:lang w:val="en-GB"/>
        </w:rPr>
        <w:t xml:space="preserve"> </w:t>
      </w:r>
    </w:p>
    <w:p w14:paraId="6A4E3972" w14:textId="77777777" w:rsidR="00EB2EFA" w:rsidRPr="0013086F" w:rsidRDefault="00EB2EFA" w:rsidP="006066C4">
      <w:pPr>
        <w:widowControl w:val="0"/>
        <w:autoSpaceDE w:val="0"/>
        <w:autoSpaceDN w:val="0"/>
        <w:adjustRightInd w:val="0"/>
        <w:spacing w:line="480" w:lineRule="auto"/>
        <w:jc w:val="both"/>
        <w:rPr>
          <w:rFonts w:ascii="Times New Roman" w:eastAsia="Times New Roman" w:hAnsi="Times New Roman" w:cs="Times New Roman"/>
          <w:lang w:val="en-GB"/>
        </w:rPr>
      </w:pPr>
    </w:p>
    <w:p w14:paraId="6040E748" w14:textId="0B12A61D" w:rsidR="00B55849" w:rsidRPr="0013086F" w:rsidRDefault="00B55849" w:rsidP="006066C4">
      <w:pPr>
        <w:widowControl w:val="0"/>
        <w:autoSpaceDE w:val="0"/>
        <w:autoSpaceDN w:val="0"/>
        <w:adjustRightInd w:val="0"/>
        <w:spacing w:line="480" w:lineRule="auto"/>
        <w:ind w:left="567"/>
        <w:jc w:val="both"/>
        <w:rPr>
          <w:rFonts w:ascii="Times New Roman" w:hAnsi="Times New Roman" w:cs="Times New Roman"/>
        </w:rPr>
      </w:pPr>
      <w:r w:rsidRPr="0013086F">
        <w:rPr>
          <w:rFonts w:ascii="Times New Roman" w:hAnsi="Times New Roman" w:cs="Times New Roman"/>
        </w:rPr>
        <w:t>The Statute and the Rules introduce a system of reparations that reflects a growing recognition in international criminal law that there is a need to go beyond the notion of punitive justice, towards a solution which is more inclusive, encourages participation and recognizes the need to provide effective remedies for victims.</w:t>
      </w:r>
      <w:r w:rsidR="00805392" w:rsidRPr="0013086F">
        <w:rPr>
          <w:rStyle w:val="FootnoteReference"/>
          <w:rFonts w:ascii="Times New Roman" w:hAnsi="Times New Roman" w:cs="Times New Roman"/>
        </w:rPr>
        <w:footnoteReference w:id="9"/>
      </w:r>
    </w:p>
    <w:p w14:paraId="5BA1D3FB" w14:textId="77777777" w:rsidR="00EB2EFA" w:rsidRPr="0013086F" w:rsidRDefault="00EB2EFA" w:rsidP="006066C4">
      <w:pPr>
        <w:widowControl w:val="0"/>
        <w:autoSpaceDE w:val="0"/>
        <w:autoSpaceDN w:val="0"/>
        <w:adjustRightInd w:val="0"/>
        <w:spacing w:line="480" w:lineRule="auto"/>
        <w:ind w:left="567"/>
        <w:jc w:val="both"/>
        <w:rPr>
          <w:rFonts w:ascii="Times New Roman" w:hAnsi="Times New Roman" w:cs="Times New Roman"/>
        </w:rPr>
      </w:pPr>
    </w:p>
    <w:p w14:paraId="7D52FC46" w14:textId="3980C925" w:rsidR="00805392" w:rsidRPr="0013086F" w:rsidRDefault="00805392" w:rsidP="006066C4">
      <w:pPr>
        <w:spacing w:line="480" w:lineRule="auto"/>
        <w:jc w:val="both"/>
        <w:rPr>
          <w:rFonts w:ascii="Times New Roman" w:hAnsi="Times New Roman" w:cs="Times New Roman"/>
        </w:rPr>
      </w:pPr>
      <w:r w:rsidRPr="0013086F">
        <w:rPr>
          <w:rFonts w:ascii="Times New Roman" w:eastAsia="Times New Roman" w:hAnsi="Times New Roman" w:cs="Times New Roman"/>
          <w:lang w:val="en-GB"/>
        </w:rPr>
        <w:t xml:space="preserve">The question of the prevalence of certain rights over the others is particularly relevant when these rights come into conflict with each other. </w:t>
      </w:r>
      <w:r w:rsidR="00B65CE8" w:rsidRPr="0013086F">
        <w:rPr>
          <w:rFonts w:ascii="Times New Roman" w:hAnsi="Times New Roman" w:cs="Times New Roman"/>
        </w:rPr>
        <w:t xml:space="preserve">Judge Odio Benito in her separate and dissenting opinion to the </w:t>
      </w:r>
      <w:r w:rsidR="00B65CE8" w:rsidRPr="0013086F">
        <w:rPr>
          <w:rFonts w:ascii="Times New Roman" w:hAnsi="Times New Roman" w:cs="Times New Roman"/>
          <w:i/>
        </w:rPr>
        <w:t>Lubanga</w:t>
      </w:r>
      <w:r w:rsidR="00B65CE8" w:rsidRPr="0013086F">
        <w:rPr>
          <w:rFonts w:ascii="Times New Roman" w:hAnsi="Times New Roman" w:cs="Times New Roman"/>
        </w:rPr>
        <w:t xml:space="preserve"> </w:t>
      </w:r>
      <w:r w:rsidRPr="0013086F">
        <w:rPr>
          <w:rFonts w:ascii="Times New Roman" w:hAnsi="Times New Roman" w:cs="Times New Roman"/>
        </w:rPr>
        <w:t>judgment</w:t>
      </w:r>
      <w:r w:rsidR="00B65CE8" w:rsidRPr="0013086F">
        <w:rPr>
          <w:rFonts w:ascii="Times New Roman" w:hAnsi="Times New Roman" w:cs="Times New Roman"/>
        </w:rPr>
        <w:t xml:space="preserve"> argued that it is incumbent on the ICC to regard the interests of victims, and, as a result, provide comprehensive legal definitions that go beyond the circumstances of each individual case.</w:t>
      </w:r>
      <w:r w:rsidR="00B65CE8" w:rsidRPr="0013086F">
        <w:rPr>
          <w:rStyle w:val="FootnoteReference"/>
          <w:rFonts w:ascii="Times New Roman" w:hAnsi="Times New Roman" w:cs="Times New Roman"/>
        </w:rPr>
        <w:footnoteReference w:id="10"/>
      </w:r>
      <w:r w:rsidR="00B65CE8" w:rsidRPr="0013086F">
        <w:rPr>
          <w:rFonts w:ascii="Times New Roman" w:hAnsi="Times New Roman" w:cs="Times New Roman"/>
        </w:rPr>
        <w:t xml:space="preserve"> </w:t>
      </w:r>
      <w:r w:rsidR="00825766" w:rsidRPr="0013086F">
        <w:rPr>
          <w:rFonts w:ascii="Times New Roman" w:hAnsi="Times New Roman" w:cs="Times New Roman"/>
        </w:rPr>
        <w:t xml:space="preserve">She referred to the elements of the crime of enlisting, enlisting and conscripting the use of children under the age of fifteen not directly relevant to the case at issue. </w:t>
      </w:r>
      <w:r w:rsidR="00B65CE8" w:rsidRPr="0013086F">
        <w:rPr>
          <w:rFonts w:ascii="Times New Roman" w:hAnsi="Times New Roman" w:cs="Times New Roman"/>
        </w:rPr>
        <w:t>This view seems to extend the powers of the Trial Chamber beyond those envisaged in Article 64(2) of the Rome Statute.</w:t>
      </w:r>
      <w:r w:rsidR="00B65CE8" w:rsidRPr="0013086F">
        <w:rPr>
          <w:rStyle w:val="FootnoteReference"/>
          <w:rFonts w:ascii="Times New Roman" w:hAnsi="Times New Roman" w:cs="Times New Roman"/>
        </w:rPr>
        <w:footnoteReference w:id="11"/>
      </w:r>
      <w:r w:rsidR="00B65CE8" w:rsidRPr="0013086F">
        <w:rPr>
          <w:rFonts w:ascii="Times New Roman" w:hAnsi="Times New Roman" w:cs="Times New Roman"/>
        </w:rPr>
        <w:t xml:space="preserve"> </w:t>
      </w:r>
      <w:r w:rsidRPr="0013086F">
        <w:rPr>
          <w:rFonts w:ascii="Times New Roman" w:hAnsi="Times New Roman" w:cs="Times New Roman"/>
        </w:rPr>
        <w:t>The</w:t>
      </w:r>
      <w:r w:rsidR="00B65CE8" w:rsidRPr="0013086F">
        <w:rPr>
          <w:rFonts w:ascii="Times New Roman" w:hAnsi="Times New Roman" w:cs="Times New Roman"/>
        </w:rPr>
        <w:t xml:space="preserve"> overexpansive legal definitions are at odds with the rights of the accused, in particular the</w:t>
      </w:r>
      <w:r w:rsidR="00C9752E" w:rsidRPr="0013086F">
        <w:rPr>
          <w:rFonts w:ascii="Times New Roman" w:hAnsi="Times New Roman" w:cs="Times New Roman"/>
        </w:rPr>
        <w:t>ir</w:t>
      </w:r>
      <w:r w:rsidR="00B65CE8" w:rsidRPr="0013086F">
        <w:rPr>
          <w:rFonts w:ascii="Times New Roman" w:hAnsi="Times New Roman" w:cs="Times New Roman"/>
        </w:rPr>
        <w:t xml:space="preserve"> right to be informed about the charges, to have adequate time for preparation and to be tried without delay.</w:t>
      </w:r>
      <w:r w:rsidR="00B65CE8" w:rsidRPr="0013086F">
        <w:rPr>
          <w:rStyle w:val="FootnoteReference"/>
          <w:rFonts w:ascii="Times New Roman" w:hAnsi="Times New Roman" w:cs="Times New Roman"/>
        </w:rPr>
        <w:footnoteReference w:id="12"/>
      </w:r>
      <w:r w:rsidR="00B65CE8" w:rsidRPr="0013086F">
        <w:rPr>
          <w:rFonts w:ascii="Times New Roman" w:hAnsi="Times New Roman" w:cs="Times New Roman"/>
        </w:rPr>
        <w:t xml:space="preserve"> </w:t>
      </w:r>
    </w:p>
    <w:p w14:paraId="5899996B" w14:textId="77777777" w:rsidR="00526681" w:rsidRPr="0013086F" w:rsidRDefault="00526681" w:rsidP="006066C4">
      <w:pPr>
        <w:spacing w:line="480" w:lineRule="auto"/>
        <w:jc w:val="both"/>
        <w:rPr>
          <w:rFonts w:ascii="Times New Roman" w:hAnsi="Times New Roman" w:cs="Times New Roman"/>
        </w:rPr>
      </w:pPr>
    </w:p>
    <w:p w14:paraId="297C3E75" w14:textId="1CB160B1" w:rsidR="00E33193" w:rsidRPr="0013086F" w:rsidRDefault="004438E4" w:rsidP="006066C4">
      <w:pPr>
        <w:spacing w:line="480" w:lineRule="auto"/>
        <w:jc w:val="both"/>
        <w:rPr>
          <w:rFonts w:ascii="Times New Roman" w:hAnsi="Times New Roman" w:cs="Times New Roman"/>
        </w:rPr>
      </w:pPr>
      <w:r w:rsidRPr="0013086F">
        <w:rPr>
          <w:rFonts w:ascii="Times New Roman" w:hAnsi="Times New Roman" w:cs="Times New Roman"/>
        </w:rPr>
        <w:t xml:space="preserve">This </w:t>
      </w:r>
      <w:r w:rsidR="00C916DC" w:rsidRPr="0013086F">
        <w:rPr>
          <w:rFonts w:ascii="Times New Roman" w:hAnsi="Times New Roman" w:cs="Times New Roman"/>
        </w:rPr>
        <w:t>article</w:t>
      </w:r>
      <w:r w:rsidRPr="0013086F">
        <w:rPr>
          <w:rFonts w:ascii="Times New Roman" w:hAnsi="Times New Roman" w:cs="Times New Roman"/>
        </w:rPr>
        <w:t xml:space="preserve"> </w:t>
      </w:r>
      <w:r w:rsidR="00594D87" w:rsidRPr="0013086F">
        <w:rPr>
          <w:rFonts w:ascii="Times New Roman" w:hAnsi="Times New Roman" w:cs="Times New Roman"/>
        </w:rPr>
        <w:t xml:space="preserve">argues for the third type of explanation </w:t>
      </w:r>
      <w:r w:rsidR="004E77D9" w:rsidRPr="0013086F">
        <w:rPr>
          <w:rFonts w:ascii="Times New Roman" w:hAnsi="Times New Roman" w:cs="Times New Roman"/>
        </w:rPr>
        <w:t xml:space="preserve">as to why the degree of human rights protection differs </w:t>
      </w:r>
      <w:r w:rsidR="00FD03E3" w:rsidRPr="0013086F">
        <w:rPr>
          <w:rFonts w:ascii="Times New Roman" w:hAnsi="Times New Roman" w:cs="Times New Roman"/>
        </w:rPr>
        <w:t xml:space="preserve">from case to case. This explanation is </w:t>
      </w:r>
      <w:r w:rsidR="00594D87" w:rsidRPr="0013086F">
        <w:rPr>
          <w:rFonts w:ascii="Times New Roman" w:hAnsi="Times New Roman" w:cs="Times New Roman"/>
        </w:rPr>
        <w:t xml:space="preserve">rooted in the nature of judicial discretion. </w:t>
      </w:r>
      <w:r w:rsidR="00B42093" w:rsidRPr="0013086F">
        <w:rPr>
          <w:rFonts w:ascii="Times New Roman" w:hAnsi="Times New Roman" w:cs="Times New Roman"/>
        </w:rPr>
        <w:t xml:space="preserve">It is </w:t>
      </w:r>
      <w:r w:rsidR="00E33193" w:rsidRPr="0013086F">
        <w:rPr>
          <w:rFonts w:ascii="Times New Roman" w:hAnsi="Times New Roman" w:cs="Times New Roman"/>
        </w:rPr>
        <w:t>maintained that</w:t>
      </w:r>
      <w:r w:rsidR="00B42093" w:rsidRPr="0013086F">
        <w:rPr>
          <w:rFonts w:ascii="Times New Roman" w:hAnsi="Times New Roman" w:cs="Times New Roman"/>
        </w:rPr>
        <w:t xml:space="preserve"> discretion is an essential tool </w:t>
      </w:r>
      <w:r w:rsidR="00E33193" w:rsidRPr="0013086F">
        <w:rPr>
          <w:rFonts w:ascii="Times New Roman" w:hAnsi="Times New Roman" w:cs="Times New Roman"/>
        </w:rPr>
        <w:t xml:space="preserve"> ‘moderating</w:t>
      </w:r>
      <w:r w:rsidR="00B42093" w:rsidRPr="0013086F">
        <w:rPr>
          <w:rFonts w:ascii="Times New Roman" w:hAnsi="Times New Roman" w:cs="Times New Roman"/>
        </w:rPr>
        <w:t>’ human rights guarantees in</w:t>
      </w:r>
      <w:r w:rsidR="007E0537" w:rsidRPr="0013086F">
        <w:rPr>
          <w:rFonts w:ascii="Times New Roman" w:hAnsi="Times New Roman" w:cs="Times New Roman"/>
        </w:rPr>
        <w:t xml:space="preserve"> an</w:t>
      </w:r>
      <w:r w:rsidR="00B42093" w:rsidRPr="0013086F">
        <w:rPr>
          <w:rFonts w:ascii="Times New Roman" w:hAnsi="Times New Roman" w:cs="Times New Roman"/>
        </w:rPr>
        <w:t xml:space="preserve"> international criminal process. </w:t>
      </w:r>
      <w:r w:rsidR="00426533" w:rsidRPr="0013086F">
        <w:rPr>
          <w:rFonts w:ascii="Times New Roman" w:hAnsi="Times New Roman" w:cs="Times New Roman"/>
        </w:rPr>
        <w:t>Discretion is largely subjective</w:t>
      </w:r>
      <w:r w:rsidR="00427A91" w:rsidRPr="0013086F">
        <w:rPr>
          <w:rFonts w:ascii="Times New Roman" w:hAnsi="Times New Roman" w:cs="Times New Roman"/>
        </w:rPr>
        <w:t xml:space="preserve"> and accounts for particular circumstances of the case</w:t>
      </w:r>
      <w:r w:rsidR="00426533" w:rsidRPr="0013086F">
        <w:rPr>
          <w:rFonts w:ascii="Times New Roman" w:hAnsi="Times New Roman" w:cs="Times New Roman"/>
        </w:rPr>
        <w:t xml:space="preserve">, thus </w:t>
      </w:r>
      <w:r w:rsidR="007E0537" w:rsidRPr="0013086F">
        <w:rPr>
          <w:rFonts w:ascii="Times New Roman" w:hAnsi="Times New Roman" w:cs="Times New Roman"/>
        </w:rPr>
        <w:t>shaping the argument</w:t>
      </w:r>
      <w:r w:rsidR="007372E6" w:rsidRPr="0013086F">
        <w:rPr>
          <w:rFonts w:ascii="Times New Roman" w:hAnsi="Times New Roman" w:cs="Times New Roman"/>
        </w:rPr>
        <w:t xml:space="preserve"> by tilting it into a certain direction within</w:t>
      </w:r>
      <w:r w:rsidR="00426533" w:rsidRPr="0013086F">
        <w:rPr>
          <w:rFonts w:ascii="Times New Roman" w:hAnsi="Times New Roman" w:cs="Times New Roman"/>
        </w:rPr>
        <w:t xml:space="preserve"> legal boundaries set by the Rome Statute and the Rules of Evidence and Procedure. </w:t>
      </w:r>
    </w:p>
    <w:p w14:paraId="01BDFACA" w14:textId="77777777" w:rsidR="00E33193" w:rsidRPr="0013086F" w:rsidRDefault="00E33193" w:rsidP="006066C4">
      <w:pPr>
        <w:spacing w:line="480" w:lineRule="auto"/>
        <w:jc w:val="both"/>
        <w:rPr>
          <w:rFonts w:ascii="Times New Roman" w:hAnsi="Times New Roman" w:cs="Times New Roman"/>
        </w:rPr>
      </w:pPr>
    </w:p>
    <w:p w14:paraId="3DFED387" w14:textId="7F283302" w:rsidR="00B65CE8" w:rsidRPr="0013086F" w:rsidRDefault="000D7AB6" w:rsidP="006066C4">
      <w:pPr>
        <w:spacing w:line="480" w:lineRule="auto"/>
        <w:jc w:val="both"/>
        <w:rPr>
          <w:rFonts w:ascii="Times New Roman" w:hAnsi="Times New Roman" w:cs="Times New Roman"/>
        </w:rPr>
      </w:pPr>
      <w:r w:rsidRPr="0013086F">
        <w:rPr>
          <w:rFonts w:ascii="Times New Roman" w:hAnsi="Times New Roman" w:cs="Times New Roman"/>
        </w:rPr>
        <w:t xml:space="preserve">The first part of the </w:t>
      </w:r>
      <w:r w:rsidR="00C916DC" w:rsidRPr="0013086F">
        <w:rPr>
          <w:rFonts w:ascii="Times New Roman" w:hAnsi="Times New Roman" w:cs="Times New Roman"/>
        </w:rPr>
        <w:t>article</w:t>
      </w:r>
      <w:r w:rsidRPr="0013086F">
        <w:rPr>
          <w:rFonts w:ascii="Times New Roman" w:hAnsi="Times New Roman" w:cs="Times New Roman"/>
        </w:rPr>
        <w:t xml:space="preserve"> explores the place of human rights law in the archi</w:t>
      </w:r>
      <w:r w:rsidR="00A2404B" w:rsidRPr="0013086F">
        <w:rPr>
          <w:rFonts w:ascii="Times New Roman" w:hAnsi="Times New Roman" w:cs="Times New Roman"/>
        </w:rPr>
        <w:t xml:space="preserve">tecture of the ICC. Section two </w:t>
      </w:r>
      <w:r w:rsidR="00F73B83" w:rsidRPr="0013086F">
        <w:rPr>
          <w:rFonts w:ascii="Times New Roman" w:hAnsi="Times New Roman" w:cs="Times New Roman"/>
        </w:rPr>
        <w:t xml:space="preserve">discusses </w:t>
      </w:r>
      <w:r w:rsidR="00CE5F57" w:rsidRPr="0013086F">
        <w:rPr>
          <w:rFonts w:ascii="Times New Roman" w:hAnsi="Times New Roman" w:cs="Times New Roman"/>
        </w:rPr>
        <w:t xml:space="preserve">in detail the nature of arguments underlying the </w:t>
      </w:r>
      <w:r w:rsidR="00CE5F57" w:rsidRPr="0013086F">
        <w:rPr>
          <w:rFonts w:ascii="Times New Roman" w:hAnsi="Times New Roman" w:cs="Times New Roman"/>
          <w:i/>
        </w:rPr>
        <w:t xml:space="preserve">Al Senussi </w:t>
      </w:r>
      <w:r w:rsidR="00CE5F57" w:rsidRPr="0013086F">
        <w:rPr>
          <w:rFonts w:ascii="Times New Roman" w:hAnsi="Times New Roman" w:cs="Times New Roman"/>
        </w:rPr>
        <w:t xml:space="preserve">admissibility </w:t>
      </w:r>
      <w:r w:rsidR="001350F3" w:rsidRPr="0013086F">
        <w:rPr>
          <w:rFonts w:ascii="Times New Roman" w:hAnsi="Times New Roman" w:cs="Times New Roman"/>
        </w:rPr>
        <w:t>judgment.</w:t>
      </w:r>
      <w:r w:rsidR="001350F3" w:rsidRPr="0013086F">
        <w:rPr>
          <w:rStyle w:val="FootnoteReference"/>
          <w:rFonts w:ascii="Times New Roman" w:hAnsi="Times New Roman" w:cs="Times New Roman"/>
        </w:rPr>
        <w:footnoteReference w:id="13"/>
      </w:r>
      <w:r w:rsidR="00CE5F57" w:rsidRPr="0013086F">
        <w:rPr>
          <w:rFonts w:ascii="Times New Roman" w:hAnsi="Times New Roman" w:cs="Times New Roman"/>
        </w:rPr>
        <w:t xml:space="preserve"> The aim is to</w:t>
      </w:r>
      <w:r w:rsidR="00F73B83" w:rsidRPr="0013086F">
        <w:rPr>
          <w:rFonts w:ascii="Times New Roman" w:hAnsi="Times New Roman" w:cs="Times New Roman"/>
        </w:rPr>
        <w:t xml:space="preserve"> examine the ‘compartmentalization’ thesis, whereby human rights issues get lesser degree of exposure before the commencement of trial.</w:t>
      </w:r>
      <w:r w:rsidR="00D409AE" w:rsidRPr="0013086F">
        <w:rPr>
          <w:rFonts w:ascii="Times New Roman" w:hAnsi="Times New Roman" w:cs="Times New Roman"/>
        </w:rPr>
        <w:t xml:space="preserve"> </w:t>
      </w:r>
      <w:r w:rsidR="00526681" w:rsidRPr="0013086F">
        <w:rPr>
          <w:rFonts w:ascii="Times New Roman" w:hAnsi="Times New Roman" w:cs="Times New Roman"/>
        </w:rPr>
        <w:t xml:space="preserve">The final part argues that discretion is the </w:t>
      </w:r>
      <w:r w:rsidR="00CE5F57" w:rsidRPr="0013086F">
        <w:rPr>
          <w:rFonts w:ascii="Times New Roman" w:hAnsi="Times New Roman" w:cs="Times New Roman"/>
        </w:rPr>
        <w:t xml:space="preserve">primary </w:t>
      </w:r>
      <w:r w:rsidR="00526681" w:rsidRPr="0013086F">
        <w:rPr>
          <w:rFonts w:ascii="Times New Roman" w:hAnsi="Times New Roman" w:cs="Times New Roman"/>
        </w:rPr>
        <w:t xml:space="preserve">vehicle behind human rights discourse at the ICC. </w:t>
      </w:r>
    </w:p>
    <w:p w14:paraId="2DA19D97" w14:textId="77777777" w:rsidR="00426533" w:rsidRPr="0013086F" w:rsidRDefault="00426533" w:rsidP="006066C4">
      <w:pPr>
        <w:spacing w:line="480" w:lineRule="auto"/>
        <w:jc w:val="both"/>
        <w:rPr>
          <w:rFonts w:ascii="Times New Roman" w:hAnsi="Times New Roman" w:cs="Times New Roman"/>
        </w:rPr>
      </w:pPr>
    </w:p>
    <w:p w14:paraId="614ACB81" w14:textId="65269A68" w:rsidR="005F7554" w:rsidRPr="0013086F" w:rsidRDefault="000002C9" w:rsidP="006066C4">
      <w:pPr>
        <w:spacing w:line="480" w:lineRule="auto"/>
        <w:jc w:val="both"/>
        <w:rPr>
          <w:rFonts w:ascii="Times New Roman" w:hAnsi="Times New Roman" w:cs="Times New Roman"/>
          <w:b/>
        </w:rPr>
      </w:pPr>
      <w:r w:rsidRPr="0013086F">
        <w:rPr>
          <w:rFonts w:ascii="Times New Roman" w:hAnsi="Times New Roman" w:cs="Times New Roman"/>
          <w:b/>
        </w:rPr>
        <w:t>1.</w:t>
      </w:r>
      <w:r w:rsidR="005F7554" w:rsidRPr="0013086F">
        <w:rPr>
          <w:rFonts w:ascii="Times New Roman" w:hAnsi="Times New Roman" w:cs="Times New Roman"/>
          <w:b/>
        </w:rPr>
        <w:t xml:space="preserve"> </w:t>
      </w:r>
      <w:r w:rsidR="00B65CE8" w:rsidRPr="0013086F">
        <w:rPr>
          <w:rFonts w:ascii="Times New Roman" w:hAnsi="Times New Roman" w:cs="Times New Roman"/>
          <w:b/>
        </w:rPr>
        <w:t>Place of the Human Rights Law in the ICC Architecture</w:t>
      </w:r>
    </w:p>
    <w:p w14:paraId="281693F3" w14:textId="77777777" w:rsidR="00B65CE8" w:rsidRPr="0013086F" w:rsidRDefault="00B65CE8" w:rsidP="006066C4">
      <w:pPr>
        <w:spacing w:line="480" w:lineRule="auto"/>
        <w:jc w:val="both"/>
        <w:rPr>
          <w:rFonts w:ascii="Times New Roman" w:hAnsi="Times New Roman" w:cs="Times New Roman"/>
          <w:b/>
        </w:rPr>
      </w:pPr>
    </w:p>
    <w:p w14:paraId="05A7083D" w14:textId="4CCD9D71" w:rsidR="003B200B" w:rsidRPr="0013086F" w:rsidRDefault="00B65CE8" w:rsidP="006066C4">
      <w:pPr>
        <w:spacing w:line="480" w:lineRule="auto"/>
        <w:jc w:val="both"/>
        <w:rPr>
          <w:rFonts w:ascii="Times New Roman" w:hAnsi="Times New Roman" w:cs="Times New Roman"/>
        </w:rPr>
      </w:pPr>
      <w:r w:rsidRPr="0013086F">
        <w:rPr>
          <w:rFonts w:ascii="Times New Roman" w:hAnsi="Times New Roman" w:cs="Times New Roman"/>
        </w:rPr>
        <w:t xml:space="preserve">There are a number of ways in which human rights law affects international criminal trials. </w:t>
      </w:r>
      <w:r w:rsidR="00825766" w:rsidRPr="0013086F">
        <w:rPr>
          <w:rFonts w:ascii="Times New Roman" w:hAnsi="Times New Roman" w:cs="Times New Roman"/>
        </w:rPr>
        <w:t xml:space="preserve">First, human rights law </w:t>
      </w:r>
      <w:r w:rsidR="006B2069" w:rsidRPr="0013086F">
        <w:rPr>
          <w:rFonts w:ascii="Times New Roman" w:hAnsi="Times New Roman" w:cs="Times New Roman"/>
        </w:rPr>
        <w:t xml:space="preserve">informs the procedure at the ICC. The Rome Statute comprises 128 articles that do not only regulate the substantive issues such as sentencing or elements of crimes, but also the conduct the proceedings at different stages. </w:t>
      </w:r>
      <w:r w:rsidR="009D7ADB" w:rsidRPr="0013086F">
        <w:rPr>
          <w:rFonts w:ascii="Times New Roman" w:hAnsi="Times New Roman" w:cs="Times New Roman"/>
        </w:rPr>
        <w:t>For example, article 40 of the Rome Statute is dedicated in its entirety to the independence of judges. It requires that judges are independent in the performance of their functions, shall not engage in activity likely to interfere with these functions or affect confidence in their independence, and shall devote their full time to judging, not engaging in any other professional occupation. This provision regulates judicial activity so as to ensure the overall fairness of the criminal process</w:t>
      </w:r>
      <w:r w:rsidR="00095EEB" w:rsidRPr="0013086F">
        <w:rPr>
          <w:rFonts w:ascii="Times New Roman" w:hAnsi="Times New Roman" w:cs="Times New Roman"/>
        </w:rPr>
        <w:t>.</w:t>
      </w:r>
      <w:r w:rsidR="0053043A" w:rsidRPr="0013086F">
        <w:rPr>
          <w:rFonts w:ascii="Times New Roman" w:hAnsi="Times New Roman" w:cs="Times New Roman"/>
        </w:rPr>
        <w:t xml:space="preserve"> </w:t>
      </w:r>
    </w:p>
    <w:p w14:paraId="67772002" w14:textId="77777777" w:rsidR="006B2069" w:rsidRPr="0013086F" w:rsidRDefault="006B2069" w:rsidP="006066C4">
      <w:pPr>
        <w:spacing w:line="480" w:lineRule="auto"/>
        <w:jc w:val="both"/>
        <w:rPr>
          <w:rFonts w:ascii="Times New Roman" w:hAnsi="Times New Roman" w:cs="Times New Roman"/>
        </w:rPr>
      </w:pPr>
    </w:p>
    <w:p w14:paraId="4B259F26" w14:textId="27E07596" w:rsidR="00473AB6" w:rsidRPr="0013086F" w:rsidRDefault="006B2069" w:rsidP="006066C4">
      <w:pPr>
        <w:spacing w:line="480" w:lineRule="auto"/>
        <w:jc w:val="both"/>
        <w:rPr>
          <w:rFonts w:ascii="Times New Roman" w:hAnsi="Times New Roman" w:cs="Times New Roman"/>
        </w:rPr>
      </w:pPr>
      <w:r w:rsidRPr="0013086F">
        <w:rPr>
          <w:rFonts w:ascii="Times New Roman" w:hAnsi="Times New Roman" w:cs="Times New Roman"/>
        </w:rPr>
        <w:t xml:space="preserve">Secondly, </w:t>
      </w:r>
      <w:r w:rsidR="008B773F" w:rsidRPr="0013086F">
        <w:rPr>
          <w:rFonts w:ascii="Times New Roman" w:hAnsi="Times New Roman" w:cs="Times New Roman"/>
        </w:rPr>
        <w:t xml:space="preserve">one of the defining features of the Rome Statute is the explicit requirement enshrined in Article 21(3) of the Rome Statute to interpret applicable law in a manner consistent with internationally recognized human rights. </w:t>
      </w:r>
      <w:r w:rsidR="00886B79" w:rsidRPr="0013086F">
        <w:rPr>
          <w:rFonts w:ascii="Times New Roman" w:hAnsi="Times New Roman" w:cs="Times New Roman"/>
        </w:rPr>
        <w:t xml:space="preserve">This provision reflected the </w:t>
      </w:r>
      <w:r w:rsidR="008B773F" w:rsidRPr="0013086F">
        <w:rPr>
          <w:rFonts w:ascii="Times New Roman" w:hAnsi="Times New Roman" w:cs="Times New Roman"/>
        </w:rPr>
        <w:t xml:space="preserve">rise of the human rights </w:t>
      </w:r>
      <w:r w:rsidR="00886B79" w:rsidRPr="0013086F">
        <w:rPr>
          <w:rFonts w:ascii="Times New Roman" w:hAnsi="Times New Roman" w:cs="Times New Roman"/>
        </w:rPr>
        <w:t>consciousness</w:t>
      </w:r>
      <w:r w:rsidR="008B773F" w:rsidRPr="0013086F">
        <w:rPr>
          <w:rFonts w:ascii="Times New Roman" w:hAnsi="Times New Roman" w:cs="Times New Roman"/>
        </w:rPr>
        <w:t xml:space="preserve"> </w:t>
      </w:r>
      <w:r w:rsidR="00886B79" w:rsidRPr="0013086F">
        <w:rPr>
          <w:rFonts w:ascii="Times New Roman" w:hAnsi="Times New Roman" w:cs="Times New Roman"/>
        </w:rPr>
        <w:t xml:space="preserve">characteristic for the time of the adoption of the Rome Statute. </w:t>
      </w:r>
      <w:r w:rsidR="001B3FCE" w:rsidRPr="0013086F">
        <w:rPr>
          <w:rFonts w:ascii="Times New Roman" w:hAnsi="Times New Roman" w:cs="Times New Roman"/>
        </w:rPr>
        <w:t>E</w:t>
      </w:r>
      <w:r w:rsidR="008B773F" w:rsidRPr="0013086F">
        <w:rPr>
          <w:rFonts w:ascii="Times New Roman" w:hAnsi="Times New Roman" w:cs="Times New Roman"/>
        </w:rPr>
        <w:t>arly case law of the ICC repeatedly referenced this Article.</w:t>
      </w:r>
      <w:r w:rsidR="00BA0608" w:rsidRPr="0013086F">
        <w:rPr>
          <w:rStyle w:val="FootnoteReference"/>
          <w:rFonts w:ascii="Times New Roman" w:hAnsi="Times New Roman" w:cs="Times New Roman"/>
        </w:rPr>
        <w:footnoteReference w:id="14"/>
      </w:r>
      <w:r w:rsidR="008B773F" w:rsidRPr="0013086F">
        <w:rPr>
          <w:rFonts w:ascii="Times New Roman" w:hAnsi="Times New Roman" w:cs="Times New Roman"/>
        </w:rPr>
        <w:t xml:space="preserve">  Its potential is immense for it opens the door </w:t>
      </w:r>
      <w:r w:rsidR="00DB4B82" w:rsidRPr="0013086F">
        <w:rPr>
          <w:rFonts w:ascii="Times New Roman" w:hAnsi="Times New Roman" w:cs="Times New Roman"/>
        </w:rPr>
        <w:t>to</w:t>
      </w:r>
      <w:r w:rsidR="00886B79" w:rsidRPr="0013086F">
        <w:rPr>
          <w:rFonts w:ascii="Times New Roman" w:hAnsi="Times New Roman" w:cs="Times New Roman"/>
        </w:rPr>
        <w:t xml:space="preserve"> </w:t>
      </w:r>
      <w:r w:rsidR="008B773F" w:rsidRPr="0013086F">
        <w:rPr>
          <w:rFonts w:ascii="Times New Roman" w:hAnsi="Times New Roman" w:cs="Times New Roman"/>
        </w:rPr>
        <w:t xml:space="preserve">expanding </w:t>
      </w:r>
      <w:r w:rsidR="00DB4B82" w:rsidRPr="0013086F">
        <w:rPr>
          <w:rFonts w:ascii="Times New Roman" w:hAnsi="Times New Roman" w:cs="Times New Roman"/>
        </w:rPr>
        <w:t>assurances</w:t>
      </w:r>
      <w:r w:rsidR="008B773F" w:rsidRPr="0013086F">
        <w:rPr>
          <w:rFonts w:ascii="Times New Roman" w:hAnsi="Times New Roman" w:cs="Times New Roman"/>
        </w:rPr>
        <w:t xml:space="preserve"> contained in other provisions of the Statute.</w:t>
      </w:r>
      <w:r w:rsidR="00BA0608" w:rsidRPr="0013086F">
        <w:rPr>
          <w:rStyle w:val="FootnoteReference"/>
          <w:rFonts w:ascii="Times New Roman" w:hAnsi="Times New Roman" w:cs="Times New Roman"/>
        </w:rPr>
        <w:footnoteReference w:id="15"/>
      </w:r>
      <w:r w:rsidR="008B773F" w:rsidRPr="0013086F">
        <w:rPr>
          <w:rFonts w:ascii="Times New Roman" w:hAnsi="Times New Roman" w:cs="Times New Roman"/>
        </w:rPr>
        <w:t xml:space="preserve"> </w:t>
      </w:r>
    </w:p>
    <w:p w14:paraId="1B176E9B" w14:textId="77777777" w:rsidR="00473AB6" w:rsidRPr="0013086F" w:rsidRDefault="00473AB6" w:rsidP="006066C4">
      <w:pPr>
        <w:spacing w:line="480" w:lineRule="auto"/>
        <w:jc w:val="both"/>
        <w:rPr>
          <w:rFonts w:ascii="Times New Roman" w:hAnsi="Times New Roman" w:cs="Times New Roman"/>
        </w:rPr>
      </w:pPr>
    </w:p>
    <w:p w14:paraId="6CFAEB6D" w14:textId="74FE10BD" w:rsidR="00473AB6" w:rsidRPr="0013086F" w:rsidRDefault="00473AB6" w:rsidP="006066C4">
      <w:pPr>
        <w:spacing w:line="480" w:lineRule="auto"/>
        <w:jc w:val="both"/>
        <w:rPr>
          <w:rFonts w:ascii="Times New Roman" w:hAnsi="Times New Roman" w:cs="Times New Roman"/>
        </w:rPr>
      </w:pPr>
      <w:r w:rsidRPr="0013086F">
        <w:rPr>
          <w:rFonts w:ascii="Times New Roman" w:hAnsi="Times New Roman" w:cs="Times New Roman"/>
        </w:rPr>
        <w:t xml:space="preserve">Thirdly, </w:t>
      </w:r>
      <w:r w:rsidR="00E93759" w:rsidRPr="0013086F">
        <w:rPr>
          <w:rFonts w:ascii="Times New Roman" w:hAnsi="Times New Roman" w:cs="Times New Roman"/>
        </w:rPr>
        <w:t xml:space="preserve">human rights law underpins </w:t>
      </w:r>
      <w:r w:rsidRPr="0013086F">
        <w:rPr>
          <w:rFonts w:ascii="Times New Roman" w:hAnsi="Times New Roman" w:cs="Times New Roman"/>
        </w:rPr>
        <w:t xml:space="preserve">specific guarantees </w:t>
      </w:r>
      <w:r w:rsidR="008D674B" w:rsidRPr="0013086F">
        <w:rPr>
          <w:rFonts w:ascii="Times New Roman" w:hAnsi="Times New Roman" w:cs="Times New Roman"/>
        </w:rPr>
        <w:t>afforded to</w:t>
      </w:r>
      <w:r w:rsidRPr="0013086F">
        <w:rPr>
          <w:rFonts w:ascii="Times New Roman" w:hAnsi="Times New Roman" w:cs="Times New Roman"/>
        </w:rPr>
        <w:t xml:space="preserve"> </w:t>
      </w:r>
      <w:r w:rsidR="000D1CF7" w:rsidRPr="0013086F">
        <w:rPr>
          <w:rFonts w:ascii="Times New Roman" w:hAnsi="Times New Roman" w:cs="Times New Roman"/>
        </w:rPr>
        <w:t xml:space="preserve">different </w:t>
      </w:r>
      <w:r w:rsidRPr="0013086F">
        <w:rPr>
          <w:rFonts w:ascii="Times New Roman" w:hAnsi="Times New Roman" w:cs="Times New Roman"/>
        </w:rPr>
        <w:t>parties</w:t>
      </w:r>
      <w:r w:rsidR="000D1CF7" w:rsidRPr="0013086F">
        <w:rPr>
          <w:rFonts w:ascii="Times New Roman" w:hAnsi="Times New Roman" w:cs="Times New Roman"/>
        </w:rPr>
        <w:t xml:space="preserve"> in the process</w:t>
      </w:r>
      <w:r w:rsidR="00E93759" w:rsidRPr="0013086F">
        <w:rPr>
          <w:rFonts w:ascii="Times New Roman" w:hAnsi="Times New Roman" w:cs="Times New Roman"/>
        </w:rPr>
        <w:t xml:space="preserve">. </w:t>
      </w:r>
      <w:r w:rsidR="00E534DC" w:rsidRPr="0013086F">
        <w:rPr>
          <w:rFonts w:ascii="Times New Roman" w:hAnsi="Times New Roman" w:cs="Times New Roman"/>
        </w:rPr>
        <w:t xml:space="preserve">Article 67 of </w:t>
      </w:r>
      <w:r w:rsidR="002B0F0A" w:rsidRPr="0013086F">
        <w:rPr>
          <w:rFonts w:ascii="Times New Roman" w:hAnsi="Times New Roman" w:cs="Times New Roman"/>
        </w:rPr>
        <w:t>t</w:t>
      </w:r>
      <w:r w:rsidR="00E534DC" w:rsidRPr="0013086F">
        <w:rPr>
          <w:rFonts w:ascii="Times New Roman" w:hAnsi="Times New Roman" w:cs="Times New Roman"/>
        </w:rPr>
        <w:t>he Rome Statute contains a list of the fair trial guarantees for the accused</w:t>
      </w:r>
      <w:r w:rsidR="00524932" w:rsidRPr="0013086F">
        <w:rPr>
          <w:rFonts w:ascii="Times New Roman" w:hAnsi="Times New Roman" w:cs="Times New Roman"/>
        </w:rPr>
        <w:t>, which is</w:t>
      </w:r>
      <w:r w:rsidR="00E534DC" w:rsidRPr="0013086F">
        <w:rPr>
          <w:rFonts w:ascii="Times New Roman" w:hAnsi="Times New Roman" w:cs="Times New Roman"/>
        </w:rPr>
        <w:t xml:space="preserve"> not only richer in detail than its analogues </w:t>
      </w:r>
      <w:r w:rsidR="008D674B" w:rsidRPr="0013086F">
        <w:rPr>
          <w:rFonts w:ascii="Times New Roman" w:hAnsi="Times New Roman" w:cs="Times New Roman"/>
        </w:rPr>
        <w:t xml:space="preserve">in the statutes of the ad hoc tribunals </w:t>
      </w:r>
      <w:r w:rsidR="00E534DC" w:rsidRPr="0013086F">
        <w:rPr>
          <w:rFonts w:ascii="Times New Roman" w:hAnsi="Times New Roman" w:cs="Times New Roman"/>
        </w:rPr>
        <w:t xml:space="preserve">but also </w:t>
      </w:r>
      <w:r w:rsidR="00A4433F" w:rsidRPr="0013086F">
        <w:rPr>
          <w:rFonts w:ascii="Times New Roman" w:hAnsi="Times New Roman" w:cs="Times New Roman"/>
        </w:rPr>
        <w:t>extends the scope of</w:t>
      </w:r>
      <w:r w:rsidR="00524932" w:rsidRPr="0013086F">
        <w:rPr>
          <w:rFonts w:ascii="Times New Roman" w:hAnsi="Times New Roman" w:cs="Times New Roman"/>
        </w:rPr>
        <w:t xml:space="preserve"> </w:t>
      </w:r>
      <w:r w:rsidR="008D674B" w:rsidRPr="0013086F">
        <w:rPr>
          <w:rFonts w:ascii="Times New Roman" w:hAnsi="Times New Roman" w:cs="Times New Roman"/>
        </w:rPr>
        <w:t>rights</w:t>
      </w:r>
      <w:r w:rsidR="00A4433F" w:rsidRPr="0013086F">
        <w:rPr>
          <w:rFonts w:ascii="Times New Roman" w:hAnsi="Times New Roman" w:cs="Times New Roman"/>
        </w:rPr>
        <w:t xml:space="preserve"> traditionally protected by </w:t>
      </w:r>
      <w:r w:rsidR="008D674B" w:rsidRPr="0013086F">
        <w:rPr>
          <w:rFonts w:ascii="Times New Roman" w:hAnsi="Times New Roman" w:cs="Times New Roman"/>
        </w:rPr>
        <w:t>human rights courts</w:t>
      </w:r>
      <w:r w:rsidR="00524932" w:rsidRPr="0013086F">
        <w:rPr>
          <w:rFonts w:ascii="Times New Roman" w:hAnsi="Times New Roman" w:cs="Times New Roman"/>
        </w:rPr>
        <w:t>.</w:t>
      </w:r>
      <w:r w:rsidR="00524932" w:rsidRPr="0013086F">
        <w:rPr>
          <w:rStyle w:val="FootnoteReference"/>
          <w:rFonts w:ascii="Times New Roman" w:hAnsi="Times New Roman" w:cs="Times New Roman"/>
        </w:rPr>
        <w:footnoteReference w:id="16"/>
      </w:r>
      <w:r w:rsidR="00E534DC" w:rsidRPr="0013086F">
        <w:rPr>
          <w:rFonts w:ascii="Times New Roman" w:hAnsi="Times New Roman" w:cs="Times New Roman"/>
        </w:rPr>
        <w:t xml:space="preserve">  </w:t>
      </w:r>
      <w:r w:rsidR="00395C34" w:rsidRPr="0013086F">
        <w:rPr>
          <w:rFonts w:ascii="Times New Roman" w:hAnsi="Times New Roman" w:cs="Times New Roman"/>
        </w:rPr>
        <w:t xml:space="preserve">The presumption of innocence is hosted by a separate provision (Article 66) and so do the rights of persons during the investigations (Article 55). </w:t>
      </w:r>
      <w:r w:rsidR="000D1CF7" w:rsidRPr="0013086F">
        <w:rPr>
          <w:rFonts w:ascii="Times New Roman" w:hAnsi="Times New Roman" w:cs="Times New Roman"/>
        </w:rPr>
        <w:t>Article 75 of the Rome Statute instructs the Court to develop principles of reparations to the victims. Article 54 lists duties and powers of the Prosecutor with respect to investigations, including the duty to fully respect the rights of persons arising under the Statute.</w:t>
      </w:r>
      <w:r w:rsidR="000D1CF7" w:rsidRPr="0013086F">
        <w:rPr>
          <w:rStyle w:val="FootnoteReference"/>
          <w:rFonts w:ascii="Times New Roman" w:hAnsi="Times New Roman" w:cs="Times New Roman"/>
        </w:rPr>
        <w:footnoteReference w:id="17"/>
      </w:r>
    </w:p>
    <w:p w14:paraId="1200180F" w14:textId="77777777" w:rsidR="006B2069" w:rsidRPr="0013086F" w:rsidRDefault="006B2069" w:rsidP="006066C4">
      <w:pPr>
        <w:spacing w:line="480" w:lineRule="auto"/>
        <w:jc w:val="both"/>
        <w:rPr>
          <w:rFonts w:ascii="Times New Roman" w:hAnsi="Times New Roman" w:cs="Times New Roman"/>
        </w:rPr>
      </w:pPr>
    </w:p>
    <w:p w14:paraId="26898CA3" w14:textId="74743A66" w:rsidR="008D702D" w:rsidRPr="0013086F" w:rsidRDefault="00473AB6" w:rsidP="006066C4">
      <w:pPr>
        <w:spacing w:line="480" w:lineRule="auto"/>
        <w:jc w:val="both"/>
        <w:rPr>
          <w:rFonts w:ascii="Times New Roman" w:hAnsi="Times New Roman" w:cs="Times New Roman"/>
        </w:rPr>
      </w:pPr>
      <w:r w:rsidRPr="0013086F">
        <w:rPr>
          <w:rFonts w:ascii="Times New Roman" w:hAnsi="Times New Roman" w:cs="Times New Roman"/>
        </w:rPr>
        <w:t>Fourthly</w:t>
      </w:r>
      <w:r w:rsidR="006B2069" w:rsidRPr="0013086F">
        <w:rPr>
          <w:rFonts w:ascii="Times New Roman" w:hAnsi="Times New Roman" w:cs="Times New Roman"/>
        </w:rPr>
        <w:t>, human rights law serves as a source of customary law before the ad hoc tribunals, and, less so, at the ICC. For example, the International Criminal Tribunal for the Former Yugoslavia (ICTY) relied in</w:t>
      </w:r>
      <w:r w:rsidR="00A4433F" w:rsidRPr="0013086F">
        <w:rPr>
          <w:rFonts w:ascii="Times New Roman" w:hAnsi="Times New Roman" w:cs="Times New Roman"/>
        </w:rPr>
        <w:t xml:space="preserve"> its early jurisprudence on </w:t>
      </w:r>
      <w:r w:rsidR="006B2069" w:rsidRPr="0013086F">
        <w:rPr>
          <w:rFonts w:ascii="Times New Roman" w:hAnsi="Times New Roman" w:cs="Times New Roman"/>
        </w:rPr>
        <w:t>international treaty rules on human rights banning torture to expand its subject matter jurisdiction and define the parameters of this offence in international criminal law.</w:t>
      </w:r>
      <w:r w:rsidR="006B2069" w:rsidRPr="0013086F">
        <w:rPr>
          <w:rStyle w:val="FootnoteReference"/>
          <w:rFonts w:ascii="Times New Roman" w:hAnsi="Times New Roman" w:cs="Times New Roman"/>
        </w:rPr>
        <w:footnoteReference w:id="18"/>
      </w:r>
      <w:r w:rsidR="006B2069" w:rsidRPr="0013086F">
        <w:rPr>
          <w:rFonts w:ascii="Times New Roman" w:hAnsi="Times New Roman" w:cs="Times New Roman"/>
        </w:rPr>
        <w:t xml:space="preserve"> </w:t>
      </w:r>
      <w:r w:rsidR="002161D5" w:rsidRPr="0013086F">
        <w:rPr>
          <w:rFonts w:ascii="Times New Roman" w:hAnsi="Times New Roman" w:cs="Times New Roman"/>
        </w:rPr>
        <w:t xml:space="preserve">The Special Court for Sierra Leone </w:t>
      </w:r>
      <w:r w:rsidR="001135B5" w:rsidRPr="0013086F">
        <w:rPr>
          <w:rFonts w:ascii="Times New Roman" w:hAnsi="Times New Roman" w:cs="Times New Roman"/>
        </w:rPr>
        <w:t>referred to the jurisprudence of the IACtHR when declaring</w:t>
      </w:r>
      <w:r w:rsidR="002161D5" w:rsidRPr="0013086F">
        <w:rPr>
          <w:rFonts w:ascii="Times New Roman" w:hAnsi="Times New Roman" w:cs="Times New Roman"/>
        </w:rPr>
        <w:t xml:space="preserve"> without effect the Lomé Peace Accords, granting absolute pardon to all combatants for anything done by them in pursuit of their objectives.</w:t>
      </w:r>
      <w:r w:rsidR="002161D5" w:rsidRPr="0013086F">
        <w:rPr>
          <w:rStyle w:val="FootnoteReference"/>
          <w:rFonts w:ascii="Times New Roman" w:hAnsi="Times New Roman" w:cs="Times New Roman"/>
        </w:rPr>
        <w:footnoteReference w:id="19"/>
      </w:r>
      <w:r w:rsidR="002161D5" w:rsidRPr="0013086F">
        <w:rPr>
          <w:rFonts w:ascii="Times New Roman" w:hAnsi="Times New Roman" w:cs="Times New Roman"/>
        </w:rPr>
        <w:t xml:space="preserve"> </w:t>
      </w:r>
      <w:r w:rsidR="008D702D" w:rsidRPr="0013086F">
        <w:rPr>
          <w:rFonts w:ascii="Times New Roman" w:hAnsi="Times New Roman" w:cs="Times New Roman"/>
          <w:lang w:val="en-GB"/>
        </w:rPr>
        <w:t>The Inter-American Commission on Human Rights declared amnesty laws of El Salvador, Uruguay and Argentina incompatible with the American Convention on Human rights because they deprive the victims of their right to an effective investigation and prosecution.</w:t>
      </w:r>
      <w:r w:rsidR="008D702D" w:rsidRPr="0013086F">
        <w:rPr>
          <w:rStyle w:val="FootnoteReference"/>
          <w:rFonts w:ascii="Times New Roman" w:hAnsi="Times New Roman" w:cs="Times New Roman"/>
          <w:lang w:val="en-GB"/>
        </w:rPr>
        <w:footnoteReference w:id="20"/>
      </w:r>
      <w:r w:rsidR="008D702D" w:rsidRPr="0013086F">
        <w:rPr>
          <w:rFonts w:ascii="Times New Roman" w:hAnsi="Times New Roman" w:cs="Times New Roman"/>
          <w:lang w:val="en-GB"/>
        </w:rPr>
        <w:t xml:space="preserve"> The Inter-American Court of Human Rights continued striking down blanket amnesties for the same reason.</w:t>
      </w:r>
      <w:r w:rsidR="008D702D" w:rsidRPr="0013086F">
        <w:rPr>
          <w:rStyle w:val="FootnoteReference"/>
          <w:rFonts w:ascii="Times New Roman" w:hAnsi="Times New Roman" w:cs="Times New Roman"/>
          <w:lang w:val="en-GB"/>
        </w:rPr>
        <w:footnoteReference w:id="21"/>
      </w:r>
    </w:p>
    <w:p w14:paraId="26C4FE97" w14:textId="77777777" w:rsidR="00B578DE" w:rsidRPr="0013086F" w:rsidRDefault="00B578DE" w:rsidP="006066C4">
      <w:pPr>
        <w:spacing w:line="480" w:lineRule="auto"/>
        <w:jc w:val="both"/>
        <w:rPr>
          <w:rFonts w:ascii="Times New Roman" w:hAnsi="Times New Roman" w:cs="Times New Roman"/>
        </w:rPr>
      </w:pPr>
    </w:p>
    <w:p w14:paraId="40440EFB" w14:textId="4FAD1DF2" w:rsidR="00D21B27" w:rsidRPr="0013086F" w:rsidRDefault="00B578DE" w:rsidP="006066C4">
      <w:pPr>
        <w:widowControl w:val="0"/>
        <w:autoSpaceDE w:val="0"/>
        <w:autoSpaceDN w:val="0"/>
        <w:adjustRightInd w:val="0"/>
        <w:spacing w:line="480" w:lineRule="auto"/>
        <w:jc w:val="both"/>
        <w:rPr>
          <w:rFonts w:ascii="Times New Roman" w:hAnsi="Times New Roman" w:cs="Times New Roman"/>
          <w:lang w:val="en-GB"/>
        </w:rPr>
      </w:pPr>
      <w:r w:rsidRPr="0013086F">
        <w:rPr>
          <w:rFonts w:ascii="Times New Roman" w:hAnsi="Times New Roman" w:cs="Times New Roman"/>
        </w:rPr>
        <w:t>The</w:t>
      </w:r>
      <w:r w:rsidR="006B2069" w:rsidRPr="0013086F">
        <w:rPr>
          <w:rFonts w:ascii="Times New Roman" w:hAnsi="Times New Roman" w:cs="Times New Roman"/>
        </w:rPr>
        <w:t xml:space="preserve"> feature of human rights law</w:t>
      </w:r>
      <w:r w:rsidR="002161D5" w:rsidRPr="0013086F">
        <w:rPr>
          <w:rFonts w:ascii="Times New Roman" w:hAnsi="Times New Roman" w:cs="Times New Roman"/>
        </w:rPr>
        <w:t xml:space="preserve"> as an ‘informant’ of international criminal law</w:t>
      </w:r>
      <w:r w:rsidR="006B2069" w:rsidRPr="0013086F">
        <w:rPr>
          <w:rFonts w:ascii="Times New Roman" w:hAnsi="Times New Roman" w:cs="Times New Roman"/>
        </w:rPr>
        <w:t xml:space="preserve"> is particularly relevant for the category of crimes not comprehensively codified in treaty law, such as crimes agai</w:t>
      </w:r>
      <w:r w:rsidR="001715ED" w:rsidRPr="0013086F">
        <w:rPr>
          <w:rFonts w:ascii="Times New Roman" w:hAnsi="Times New Roman" w:cs="Times New Roman"/>
        </w:rPr>
        <w:t>nst humanity.</w:t>
      </w:r>
      <w:r w:rsidR="00094674" w:rsidRPr="0013086F">
        <w:rPr>
          <w:rStyle w:val="FootnoteReference"/>
          <w:rFonts w:ascii="Times New Roman" w:hAnsi="Times New Roman" w:cs="Times New Roman"/>
        </w:rPr>
        <w:footnoteReference w:id="22"/>
      </w:r>
      <w:r w:rsidR="001715ED" w:rsidRPr="0013086F">
        <w:rPr>
          <w:rFonts w:ascii="Times New Roman" w:hAnsi="Times New Roman" w:cs="Times New Roman"/>
        </w:rPr>
        <w:t xml:space="preserve"> </w:t>
      </w:r>
      <w:r w:rsidRPr="0013086F">
        <w:rPr>
          <w:rFonts w:ascii="Times New Roman" w:hAnsi="Times New Roman" w:cs="Times New Roman"/>
        </w:rPr>
        <w:t xml:space="preserve">In this instance, human rights law also serves a normative foundation for the whole category of international offences. The logic of human rights underlies both the definitions of various elements of </w:t>
      </w:r>
      <w:r w:rsidR="00A4433F" w:rsidRPr="0013086F">
        <w:rPr>
          <w:rFonts w:ascii="Times New Roman" w:hAnsi="Times New Roman" w:cs="Times New Roman"/>
        </w:rPr>
        <w:t>crimes against</w:t>
      </w:r>
      <w:r w:rsidRPr="0013086F">
        <w:rPr>
          <w:rFonts w:ascii="Times New Roman" w:hAnsi="Times New Roman" w:cs="Times New Roman"/>
        </w:rPr>
        <w:t xml:space="preserve"> humanity and justifies the existe</w:t>
      </w:r>
      <w:r w:rsidR="00284DB1" w:rsidRPr="0013086F">
        <w:rPr>
          <w:rFonts w:ascii="Times New Roman" w:hAnsi="Times New Roman" w:cs="Times New Roman"/>
        </w:rPr>
        <w:t>nce of the category in general</w:t>
      </w:r>
      <w:r w:rsidR="00D21B27" w:rsidRPr="0013086F">
        <w:rPr>
          <w:rFonts w:ascii="Times New Roman" w:hAnsi="Times New Roman" w:cs="Times New Roman"/>
          <w:lang w:val="en-GB"/>
        </w:rPr>
        <w:t xml:space="preserve">. </w:t>
      </w:r>
      <w:r w:rsidR="000919F1" w:rsidRPr="0013086F">
        <w:rPr>
          <w:rFonts w:ascii="Times New Roman" w:hAnsi="Times New Roman" w:cs="Times New Roman"/>
          <w:lang w:val="en-GB"/>
        </w:rPr>
        <w:t xml:space="preserve">Arguably, the special character of crimes against humanity as a legal category stems from their role as </w:t>
      </w:r>
      <w:r w:rsidR="00DD7BDB" w:rsidRPr="0013086F">
        <w:rPr>
          <w:rFonts w:ascii="Times New Roman" w:hAnsi="Times New Roman" w:cs="Times New Roman"/>
          <w:lang w:val="en-GB"/>
        </w:rPr>
        <w:t xml:space="preserve">a </w:t>
      </w:r>
      <w:r w:rsidR="000919F1" w:rsidRPr="0013086F">
        <w:rPr>
          <w:rFonts w:ascii="Times New Roman" w:hAnsi="Times New Roman" w:cs="Times New Roman"/>
          <w:lang w:val="en-GB"/>
        </w:rPr>
        <w:t>guardian against the most egregious human rights abuses either committed or overlooked by the state. The legal criteria that they are perpetrated as a part of the widespread or systematic attack against civilian population establishes certain level of severity required for triggering the feeling of collective repulsion across borders.</w:t>
      </w:r>
      <w:r w:rsidR="000919F1" w:rsidRPr="0013086F">
        <w:rPr>
          <w:rStyle w:val="FootnoteReference"/>
          <w:rFonts w:ascii="Times New Roman" w:hAnsi="Times New Roman" w:cs="Times New Roman"/>
          <w:lang w:val="en-GB"/>
        </w:rPr>
        <w:footnoteReference w:id="23"/>
      </w:r>
      <w:r w:rsidR="00D21B27" w:rsidRPr="0013086F">
        <w:rPr>
          <w:rFonts w:ascii="Times New Roman" w:hAnsi="Times New Roman" w:cs="Times New Roman"/>
          <w:lang w:val="en-GB"/>
        </w:rPr>
        <w:t xml:space="preserve"> The Rome Statute of the ICC expressly requires that crimes against humanity be perpetrated</w:t>
      </w:r>
      <w:r w:rsidR="00D21B27" w:rsidRPr="0013086F">
        <w:rPr>
          <w:rFonts w:ascii="Times New Roman" w:hAnsi="Times New Roman" w:cs="Times New Roman"/>
        </w:rPr>
        <w:t xml:space="preserve"> </w:t>
      </w:r>
      <w:r w:rsidR="00D21B27" w:rsidRPr="0013086F">
        <w:rPr>
          <w:rFonts w:ascii="Times New Roman" w:hAnsi="Times New Roman" w:cs="Times New Roman"/>
          <w:lang w:val="en-GB"/>
        </w:rPr>
        <w:t>in furtherance of a state or organizational policy.</w:t>
      </w:r>
      <w:r w:rsidR="00D21B27" w:rsidRPr="0013086F">
        <w:rPr>
          <w:rStyle w:val="FootnoteReference"/>
          <w:rFonts w:ascii="Times New Roman" w:hAnsi="Times New Roman" w:cs="Times New Roman"/>
          <w:lang w:val="en-GB"/>
        </w:rPr>
        <w:footnoteReference w:id="24"/>
      </w:r>
      <w:r w:rsidR="00D21B27" w:rsidRPr="0013086F">
        <w:rPr>
          <w:rFonts w:ascii="Times New Roman" w:hAnsi="Times New Roman" w:cs="Times New Roman"/>
          <w:lang w:val="en-GB"/>
        </w:rPr>
        <w:t xml:space="preserve"> The Majority in the ICC Kenya case interpreted ‘organization’ broadly as a group with “the capability to perform acts which infringe on basic human values.</w:t>
      </w:r>
      <w:r w:rsidR="00D21B27" w:rsidRPr="0013086F">
        <w:rPr>
          <w:rStyle w:val="FootnoteReference"/>
          <w:rFonts w:ascii="Times New Roman" w:hAnsi="Times New Roman" w:cs="Times New Roman"/>
          <w:lang w:val="en-GB"/>
        </w:rPr>
        <w:footnoteReference w:id="25"/>
      </w:r>
      <w:r w:rsidR="00D21B27" w:rsidRPr="0013086F">
        <w:rPr>
          <w:rFonts w:ascii="Times New Roman" w:hAnsi="Times New Roman" w:cs="Times New Roman"/>
          <w:lang w:val="en-GB"/>
        </w:rPr>
        <w:t xml:space="preserve"> The Chamber held that the formal nature of the group and its level of organization are not the defining criterion.</w:t>
      </w:r>
      <w:r w:rsidR="00D21B27" w:rsidRPr="0013086F">
        <w:rPr>
          <w:rStyle w:val="FootnoteReference"/>
          <w:rFonts w:ascii="Times New Roman" w:hAnsi="Times New Roman" w:cs="Times New Roman"/>
          <w:lang w:val="en-GB"/>
        </w:rPr>
        <w:footnoteReference w:id="26"/>
      </w:r>
      <w:r w:rsidR="00D21B27" w:rsidRPr="0013086F">
        <w:rPr>
          <w:rFonts w:ascii="Times New Roman" w:hAnsi="Times New Roman" w:cs="Times New Roman"/>
          <w:lang w:val="en-GB"/>
        </w:rPr>
        <w:t xml:space="preserve"> Human rights law also informs specific types of crimes against humanity: the </w:t>
      </w:r>
      <w:r w:rsidR="00D21B27" w:rsidRPr="0013086F">
        <w:rPr>
          <w:rFonts w:ascii="Times New Roman" w:hAnsi="Times New Roman" w:cs="Times New Roman"/>
          <w:i/>
          <w:lang w:val="en-GB"/>
        </w:rPr>
        <w:t>Tadi</w:t>
      </w:r>
      <w:r w:rsidR="00D21B27" w:rsidRPr="0013086F">
        <w:rPr>
          <w:rFonts w:ascii="Times New Roman" w:hAnsi="Times New Roman" w:cs="Times New Roman"/>
          <w:i/>
        </w:rPr>
        <w:t xml:space="preserve">ć </w:t>
      </w:r>
      <w:r w:rsidR="00D21B27" w:rsidRPr="0013086F">
        <w:rPr>
          <w:rFonts w:ascii="Times New Roman" w:hAnsi="Times New Roman" w:cs="Times New Roman"/>
          <w:lang w:val="en-GB"/>
        </w:rPr>
        <w:t>Trial Chamber explained that ‘persecution’ type crimes against humanity (as opposed to the ‘murder’ type) imply some form of discrimination that results in an infringement of an individual’s fundamental rights</w:t>
      </w:r>
      <w:r w:rsidR="00D21B27" w:rsidRPr="0013086F">
        <w:rPr>
          <w:rStyle w:val="FootnoteReference"/>
          <w:rFonts w:ascii="Times New Roman" w:hAnsi="Times New Roman" w:cs="Times New Roman"/>
          <w:lang w:val="en-GB"/>
        </w:rPr>
        <w:t xml:space="preserve"> </w:t>
      </w:r>
      <w:r w:rsidR="00D21B27" w:rsidRPr="0013086F">
        <w:rPr>
          <w:rFonts w:ascii="Times New Roman" w:hAnsi="Times New Roman" w:cs="Times New Roman"/>
          <w:lang w:val="en-GB"/>
        </w:rPr>
        <w:t>.</w:t>
      </w:r>
      <w:r w:rsidR="00D21B27" w:rsidRPr="0013086F">
        <w:rPr>
          <w:rStyle w:val="FootnoteReference"/>
          <w:rFonts w:ascii="Times New Roman" w:hAnsi="Times New Roman" w:cs="Times New Roman"/>
          <w:lang w:val="en-GB"/>
        </w:rPr>
        <w:footnoteReference w:id="27"/>
      </w:r>
      <w:r w:rsidR="00D21B27" w:rsidRPr="0013086F">
        <w:rPr>
          <w:rFonts w:ascii="Times New Roman" w:hAnsi="Times New Roman" w:cs="Times New Roman"/>
          <w:lang w:val="en-GB"/>
        </w:rPr>
        <w:t xml:space="preserve"> </w:t>
      </w:r>
    </w:p>
    <w:p w14:paraId="2B02C900" w14:textId="77777777" w:rsidR="00B65CE8" w:rsidRPr="0013086F" w:rsidRDefault="00B65CE8" w:rsidP="006066C4">
      <w:pPr>
        <w:spacing w:line="480" w:lineRule="auto"/>
        <w:jc w:val="both"/>
        <w:rPr>
          <w:rFonts w:ascii="Times New Roman" w:hAnsi="Times New Roman" w:cs="Times New Roman"/>
          <w:b/>
        </w:rPr>
      </w:pPr>
    </w:p>
    <w:p w14:paraId="32D45AAC" w14:textId="1B62E1CE" w:rsidR="00B65CE8" w:rsidRPr="0013086F" w:rsidRDefault="00B65CE8" w:rsidP="006066C4">
      <w:pPr>
        <w:spacing w:line="480" w:lineRule="auto"/>
        <w:jc w:val="both"/>
        <w:rPr>
          <w:rFonts w:ascii="Times New Roman" w:eastAsia="Times New Roman" w:hAnsi="Times New Roman" w:cs="Times New Roman"/>
          <w:lang w:val="en-GB"/>
        </w:rPr>
      </w:pPr>
      <w:r w:rsidRPr="0013086F">
        <w:rPr>
          <w:rFonts w:ascii="Times New Roman" w:hAnsi="Times New Roman" w:cs="Times New Roman"/>
        </w:rPr>
        <w:t>Lastly, it is essential to acknowledge the importance of human rights bodies in the fact-finding work of the ICC. The recent report issued by the Office of the Prosecutor in relation to violence allegedly committed following the coup d’état in Honduras in June 2009 finding lack of a reasonable basis to proceed to investigation stage relied almost exclusively on the sources assembled by the human rights agencies – the Inter-American Commission on Human Rights, the UN Office of the High Commissioner for Human Rights, and other UN agencies, various reports from domestic civil society organisations and international non-governmental organisations including, Human Rights Watch, International Federation for Human Rights, and Amnesty International.</w:t>
      </w:r>
      <w:r w:rsidRPr="0013086F">
        <w:rPr>
          <w:rStyle w:val="FootnoteReference"/>
          <w:rFonts w:ascii="Times New Roman" w:hAnsi="Times New Roman" w:cs="Times New Roman"/>
        </w:rPr>
        <w:footnoteReference w:id="28"/>
      </w:r>
      <w:r w:rsidRPr="0013086F">
        <w:rPr>
          <w:rFonts w:ascii="Times New Roman" w:hAnsi="Times New Roman" w:cs="Times New Roman"/>
        </w:rPr>
        <w:t xml:space="preserve"> </w:t>
      </w:r>
    </w:p>
    <w:p w14:paraId="1EC2D0E3" w14:textId="77777777" w:rsidR="00B65CE8" w:rsidRPr="0013086F" w:rsidRDefault="00B65CE8" w:rsidP="006066C4">
      <w:pPr>
        <w:spacing w:line="480" w:lineRule="auto"/>
        <w:jc w:val="both"/>
        <w:rPr>
          <w:rFonts w:ascii="Times New Roman" w:hAnsi="Times New Roman" w:cs="Times New Roman"/>
          <w:b/>
        </w:rPr>
      </w:pPr>
    </w:p>
    <w:p w14:paraId="07C457E1" w14:textId="036043F9" w:rsidR="00EE50EA" w:rsidRPr="0013086F" w:rsidRDefault="000002C9" w:rsidP="006066C4">
      <w:pPr>
        <w:spacing w:line="480" w:lineRule="auto"/>
        <w:jc w:val="both"/>
        <w:rPr>
          <w:rFonts w:ascii="Times New Roman" w:hAnsi="Times New Roman" w:cs="Times New Roman"/>
          <w:b/>
        </w:rPr>
      </w:pPr>
      <w:r w:rsidRPr="0013086F">
        <w:rPr>
          <w:rFonts w:ascii="Times New Roman" w:hAnsi="Times New Roman" w:cs="Times New Roman"/>
          <w:b/>
        </w:rPr>
        <w:t xml:space="preserve">2. </w:t>
      </w:r>
      <w:r w:rsidR="000D1773" w:rsidRPr="0013086F">
        <w:rPr>
          <w:rFonts w:ascii="Times New Roman" w:hAnsi="Times New Roman" w:cs="Times New Roman"/>
          <w:b/>
        </w:rPr>
        <w:t xml:space="preserve"> </w:t>
      </w:r>
      <w:r w:rsidR="00AF1BC2" w:rsidRPr="0013086F">
        <w:rPr>
          <w:rFonts w:ascii="Times New Roman" w:hAnsi="Times New Roman" w:cs="Times New Roman"/>
          <w:b/>
        </w:rPr>
        <w:t xml:space="preserve">Case Study: </w:t>
      </w:r>
      <w:r w:rsidR="00EE50EA" w:rsidRPr="0013086F">
        <w:rPr>
          <w:rFonts w:ascii="Times New Roman" w:hAnsi="Times New Roman" w:cs="Times New Roman"/>
          <w:b/>
          <w:i/>
        </w:rPr>
        <w:t>Al Senussi Admissibility Proceedings</w:t>
      </w:r>
    </w:p>
    <w:p w14:paraId="302F31CA" w14:textId="77777777" w:rsidR="00155DAE" w:rsidRPr="0013086F" w:rsidRDefault="00155DAE" w:rsidP="006066C4">
      <w:pPr>
        <w:spacing w:line="480" w:lineRule="auto"/>
        <w:jc w:val="both"/>
        <w:rPr>
          <w:rFonts w:ascii="Times New Roman" w:hAnsi="Times New Roman" w:cs="Times New Roman"/>
        </w:rPr>
      </w:pPr>
    </w:p>
    <w:p w14:paraId="39792E30" w14:textId="41D88641" w:rsidR="004219CD" w:rsidRPr="0013086F" w:rsidRDefault="00F74FA3" w:rsidP="006066C4">
      <w:pPr>
        <w:spacing w:line="480" w:lineRule="auto"/>
        <w:jc w:val="both"/>
        <w:rPr>
          <w:rFonts w:ascii="Times New Roman" w:hAnsi="Times New Roman" w:cs="Times New Roman"/>
        </w:rPr>
      </w:pPr>
      <w:r w:rsidRPr="0013086F">
        <w:rPr>
          <w:rFonts w:ascii="Times New Roman" w:hAnsi="Times New Roman" w:cs="Times New Roman"/>
        </w:rPr>
        <w:t>The situation in Libya has been referred to the ICC by the UN Security Council in February 2011</w:t>
      </w:r>
      <w:r w:rsidR="002B41E0" w:rsidRPr="0013086F">
        <w:rPr>
          <w:rFonts w:ascii="Times New Roman" w:hAnsi="Times New Roman" w:cs="Times New Roman"/>
        </w:rPr>
        <w:t>,</w:t>
      </w:r>
      <w:r w:rsidRPr="0013086F">
        <w:rPr>
          <w:rFonts w:ascii="Times New Roman" w:hAnsi="Times New Roman" w:cs="Times New Roman"/>
        </w:rPr>
        <w:t xml:space="preserve"> following reports about murders and persecutions of civilians taking part in demonstrations in the weeks preceding the fall of the Gaddafi regime.</w:t>
      </w:r>
      <w:r w:rsidRPr="0013086F">
        <w:rPr>
          <w:rStyle w:val="FootnoteReference"/>
          <w:rFonts w:ascii="Times New Roman" w:hAnsi="Times New Roman" w:cs="Times New Roman"/>
        </w:rPr>
        <w:footnoteReference w:id="29"/>
      </w:r>
      <w:r w:rsidRPr="0013086F">
        <w:rPr>
          <w:rStyle w:val="FootnoteReference"/>
          <w:rFonts w:ascii="Times New Roman" w:hAnsi="Times New Roman" w:cs="Times New Roman"/>
        </w:rPr>
        <w:t xml:space="preserve"> </w:t>
      </w:r>
      <w:r w:rsidRPr="0013086F">
        <w:rPr>
          <w:rFonts w:ascii="Times New Roman" w:hAnsi="Times New Roman" w:cs="Times New Roman"/>
        </w:rPr>
        <w:t xml:space="preserve"> Four month later, </w:t>
      </w:r>
      <w:r w:rsidR="0030174C" w:rsidRPr="0013086F">
        <w:rPr>
          <w:rFonts w:ascii="Times New Roman" w:hAnsi="Times New Roman" w:cs="Times New Roman"/>
        </w:rPr>
        <w:t>the Pre-Trial Chamber issued three arrest warrants against</w:t>
      </w:r>
      <w:r w:rsidRPr="0013086F">
        <w:rPr>
          <w:rFonts w:ascii="Times New Roman" w:hAnsi="Times New Roman" w:cs="Times New Roman"/>
        </w:rPr>
        <w:t xml:space="preserve"> the former Prime Minster</w:t>
      </w:r>
      <w:r w:rsidR="0030174C" w:rsidRPr="0013086F">
        <w:rPr>
          <w:rFonts w:ascii="Times New Roman" w:hAnsi="Times New Roman" w:cs="Times New Roman"/>
        </w:rPr>
        <w:t xml:space="preserve"> Muammar Mohammed Abu Minyar Gaddafi, </w:t>
      </w:r>
      <w:r w:rsidRPr="0013086F">
        <w:rPr>
          <w:rFonts w:ascii="Times New Roman" w:hAnsi="Times New Roman" w:cs="Times New Roman"/>
        </w:rPr>
        <w:t xml:space="preserve">his son </w:t>
      </w:r>
      <w:r w:rsidR="0030174C" w:rsidRPr="0013086F">
        <w:rPr>
          <w:rFonts w:ascii="Times New Roman" w:hAnsi="Times New Roman" w:cs="Times New Roman"/>
        </w:rPr>
        <w:t>Saif Al-Islam Gaddafi and</w:t>
      </w:r>
      <w:r w:rsidRPr="0013086F">
        <w:rPr>
          <w:rFonts w:ascii="Times New Roman" w:hAnsi="Times New Roman" w:cs="Times New Roman"/>
        </w:rPr>
        <w:t xml:space="preserve"> the former head of the Libyan military intelligence</w:t>
      </w:r>
      <w:r w:rsidR="0030174C" w:rsidRPr="0013086F">
        <w:rPr>
          <w:rFonts w:ascii="Times New Roman" w:hAnsi="Times New Roman" w:cs="Times New Roman"/>
        </w:rPr>
        <w:t xml:space="preserve"> Abdullah Al-Senussi.</w:t>
      </w:r>
      <w:r w:rsidR="0030174C" w:rsidRPr="0013086F">
        <w:rPr>
          <w:rStyle w:val="FootnoteReference"/>
          <w:rFonts w:ascii="Times New Roman" w:hAnsi="Times New Roman" w:cs="Times New Roman"/>
        </w:rPr>
        <w:footnoteReference w:id="30"/>
      </w:r>
      <w:r w:rsidR="0030174C" w:rsidRPr="0013086F">
        <w:rPr>
          <w:rFonts w:ascii="Times New Roman" w:hAnsi="Times New Roman" w:cs="Times New Roman"/>
        </w:rPr>
        <w:t xml:space="preserve"> </w:t>
      </w:r>
      <w:r w:rsidRPr="0013086F">
        <w:rPr>
          <w:rFonts w:ascii="Times New Roman" w:hAnsi="Times New Roman" w:cs="Times New Roman"/>
        </w:rPr>
        <w:t>The case against Muammar Gaddafi was later terminated due to his death, while the other two cases proceeded to the admissibility stage. Libya insisted on</w:t>
      </w:r>
      <w:r w:rsidR="00C4614B" w:rsidRPr="0013086F">
        <w:rPr>
          <w:rFonts w:ascii="Times New Roman" w:hAnsi="Times New Roman" w:cs="Times New Roman"/>
        </w:rPr>
        <w:t xml:space="preserve"> trying both </w:t>
      </w:r>
      <w:r w:rsidR="00DD7BDB" w:rsidRPr="0013086F">
        <w:rPr>
          <w:rFonts w:ascii="Times New Roman" w:hAnsi="Times New Roman" w:cs="Times New Roman"/>
        </w:rPr>
        <w:t>individuals</w:t>
      </w:r>
      <w:r w:rsidR="00C4614B" w:rsidRPr="0013086F">
        <w:rPr>
          <w:rFonts w:ascii="Times New Roman" w:hAnsi="Times New Roman" w:cs="Times New Roman"/>
        </w:rPr>
        <w:t xml:space="preserve"> domestically.</w:t>
      </w:r>
    </w:p>
    <w:p w14:paraId="54C34AF7" w14:textId="77777777" w:rsidR="004219CD" w:rsidRPr="0013086F" w:rsidRDefault="004219CD" w:rsidP="006066C4">
      <w:pPr>
        <w:spacing w:line="480" w:lineRule="auto"/>
        <w:jc w:val="both"/>
        <w:rPr>
          <w:rFonts w:ascii="Times New Roman" w:hAnsi="Times New Roman" w:cs="Times New Roman"/>
        </w:rPr>
      </w:pPr>
    </w:p>
    <w:p w14:paraId="47F3BF9E" w14:textId="28B5444B" w:rsidR="0030174C" w:rsidRPr="0013086F" w:rsidRDefault="004219CD" w:rsidP="006066C4">
      <w:pPr>
        <w:spacing w:line="480" w:lineRule="auto"/>
        <w:jc w:val="both"/>
        <w:rPr>
          <w:rFonts w:ascii="Times New Roman" w:eastAsia="Times New Roman" w:hAnsi="Times New Roman" w:cs="Times New Roman"/>
          <w:lang w:val="en-GB"/>
        </w:rPr>
      </w:pPr>
      <w:r w:rsidRPr="0013086F">
        <w:rPr>
          <w:rFonts w:ascii="Times New Roman" w:eastAsia="Times New Roman" w:hAnsi="Times New Roman" w:cs="Times New Roman"/>
          <w:lang w:val="en-GB"/>
        </w:rPr>
        <w:t xml:space="preserve">The Rome Statute upholds the primacy of states in handling cases. Thus, a case comes within the purview of the Court only if the crimes are of sufficient gravity and the country in question is </w:t>
      </w:r>
      <w:r w:rsidR="00261B95" w:rsidRPr="0013086F">
        <w:rPr>
          <w:rFonts w:ascii="Times New Roman" w:hAnsi="Times New Roman" w:cs="Times New Roman"/>
        </w:rPr>
        <w:t>“</w:t>
      </w:r>
      <w:r w:rsidRPr="0013086F">
        <w:rPr>
          <w:rFonts w:ascii="Times New Roman" w:hAnsi="Times New Roman" w:cs="Times New Roman"/>
        </w:rPr>
        <w:t>unwilling or unable genuinely to carry out the investigation or prosecution.</w:t>
      </w:r>
      <w:r w:rsidR="00261B95" w:rsidRPr="0013086F">
        <w:rPr>
          <w:rFonts w:ascii="Times New Roman" w:hAnsi="Times New Roman" w:cs="Times New Roman"/>
        </w:rPr>
        <w:t>”</w:t>
      </w:r>
      <w:r w:rsidRPr="0013086F">
        <w:rPr>
          <w:rStyle w:val="FootnoteReference"/>
          <w:rFonts w:ascii="Times New Roman" w:hAnsi="Times New Roman" w:cs="Times New Roman"/>
        </w:rPr>
        <w:footnoteReference w:id="31"/>
      </w:r>
      <w:r w:rsidRPr="0013086F">
        <w:rPr>
          <w:rFonts w:ascii="Times New Roman" w:hAnsi="Times New Roman" w:cs="Times New Roman"/>
        </w:rPr>
        <w:t xml:space="preserve"> </w:t>
      </w:r>
      <w:r w:rsidRPr="0013086F">
        <w:rPr>
          <w:rFonts w:ascii="Times New Roman" w:eastAsia="Times New Roman" w:hAnsi="Times New Roman" w:cs="Times New Roman"/>
          <w:lang w:val="en-GB"/>
        </w:rPr>
        <w:t xml:space="preserve"> It is important that the offences allegedly prosecuted and investigated </w:t>
      </w:r>
      <w:r w:rsidR="002B41E0" w:rsidRPr="0013086F">
        <w:rPr>
          <w:rFonts w:ascii="Times New Roman" w:eastAsia="Times New Roman" w:hAnsi="Times New Roman" w:cs="Times New Roman"/>
          <w:lang w:val="en-GB"/>
        </w:rPr>
        <w:t>at</w:t>
      </w:r>
      <w:r w:rsidRPr="0013086F">
        <w:rPr>
          <w:rFonts w:ascii="Times New Roman" w:eastAsia="Times New Roman" w:hAnsi="Times New Roman" w:cs="Times New Roman"/>
          <w:lang w:val="en-GB"/>
        </w:rPr>
        <w:t xml:space="preserve"> a national level cover substantially the same conduct as those charged by the ICC, while legal characterization of the underlying incidents matters less.</w:t>
      </w:r>
      <w:r w:rsidRPr="0013086F">
        <w:rPr>
          <w:rStyle w:val="FootnoteReference"/>
          <w:rFonts w:ascii="Times New Roman" w:eastAsia="Times New Roman" w:hAnsi="Times New Roman" w:cs="Times New Roman"/>
          <w:lang w:val="en-GB"/>
        </w:rPr>
        <w:footnoteReference w:id="32"/>
      </w:r>
      <w:r w:rsidRPr="0013086F">
        <w:rPr>
          <w:rFonts w:ascii="Times New Roman" w:eastAsia="Times New Roman" w:hAnsi="Times New Roman" w:cs="Times New Roman"/>
          <w:lang w:val="en-GB"/>
        </w:rPr>
        <w:t xml:space="preserve"> The state is ‘unwilling’ if it initiates the proceedings with an unjustified delay or with the purpose of shielding the person concerned from criminal responsibility </w:t>
      </w:r>
      <w:r w:rsidR="002F1B5C" w:rsidRPr="0013086F">
        <w:rPr>
          <w:rFonts w:ascii="Times New Roman" w:eastAsia="Times New Roman" w:hAnsi="Times New Roman" w:cs="Times New Roman"/>
          <w:lang w:val="en-GB"/>
        </w:rPr>
        <w:t>or</w:t>
      </w:r>
      <w:r w:rsidRPr="0013086F">
        <w:rPr>
          <w:rFonts w:ascii="Times New Roman" w:eastAsia="Times New Roman" w:hAnsi="Times New Roman" w:cs="Times New Roman"/>
          <w:lang w:val="en-GB"/>
        </w:rPr>
        <w:t xml:space="preserve"> fails to conduct the proceedings independently or impartially – all of which signals lack of intent to bring the person concerned to justice.</w:t>
      </w:r>
      <w:r w:rsidRPr="0013086F">
        <w:rPr>
          <w:rStyle w:val="FootnoteReference"/>
          <w:rFonts w:ascii="Times New Roman" w:eastAsia="Times New Roman" w:hAnsi="Times New Roman" w:cs="Times New Roman"/>
          <w:lang w:val="en-GB"/>
        </w:rPr>
        <w:footnoteReference w:id="33"/>
      </w:r>
      <w:r w:rsidRPr="0013086F">
        <w:rPr>
          <w:rFonts w:ascii="Times New Roman" w:eastAsia="Times New Roman" w:hAnsi="Times New Roman" w:cs="Times New Roman"/>
          <w:lang w:val="en-GB"/>
        </w:rPr>
        <w:t xml:space="preserve"> </w:t>
      </w:r>
    </w:p>
    <w:p w14:paraId="296B1EAD" w14:textId="77777777" w:rsidR="004219CD" w:rsidRPr="0013086F" w:rsidRDefault="004219CD" w:rsidP="006066C4">
      <w:pPr>
        <w:spacing w:line="480" w:lineRule="auto"/>
        <w:jc w:val="both"/>
        <w:rPr>
          <w:rFonts w:ascii="Times New Roman" w:hAnsi="Times New Roman" w:cs="Times New Roman"/>
        </w:rPr>
      </w:pPr>
    </w:p>
    <w:p w14:paraId="4DE65514" w14:textId="515DBF04" w:rsidR="00E8488B" w:rsidRPr="0013086F" w:rsidRDefault="004219CD" w:rsidP="006066C4">
      <w:pPr>
        <w:spacing w:line="480" w:lineRule="auto"/>
        <w:jc w:val="both"/>
        <w:rPr>
          <w:rFonts w:ascii="Times New Roman" w:hAnsi="Times New Roman" w:cs="Times New Roman"/>
        </w:rPr>
      </w:pPr>
      <w:r w:rsidRPr="0013086F">
        <w:rPr>
          <w:rFonts w:ascii="Times New Roman" w:hAnsi="Times New Roman" w:cs="Times New Roman"/>
        </w:rPr>
        <w:t xml:space="preserve">The Pre-Trial Chamber in </w:t>
      </w:r>
      <w:r w:rsidRPr="0013086F">
        <w:rPr>
          <w:rFonts w:ascii="Times New Roman" w:hAnsi="Times New Roman" w:cs="Times New Roman"/>
          <w:i/>
        </w:rPr>
        <w:t>Al Senussi</w:t>
      </w:r>
      <w:r w:rsidRPr="0013086F">
        <w:rPr>
          <w:rFonts w:ascii="Times New Roman" w:hAnsi="Times New Roman" w:cs="Times New Roman"/>
        </w:rPr>
        <w:t xml:space="preserve"> assessed </w:t>
      </w:r>
      <w:r w:rsidR="005F1711" w:rsidRPr="0013086F">
        <w:rPr>
          <w:rFonts w:ascii="Times New Roman" w:hAnsi="Times New Roman" w:cs="Times New Roman"/>
        </w:rPr>
        <w:t>both whether Libya is investigating the ‘same case’</w:t>
      </w:r>
      <w:r w:rsidRPr="0013086F">
        <w:rPr>
          <w:rFonts w:ascii="Times New Roman" w:hAnsi="Times New Roman" w:cs="Times New Roman"/>
        </w:rPr>
        <w:t xml:space="preserve"> and</w:t>
      </w:r>
      <w:r w:rsidR="005F1711" w:rsidRPr="0013086F">
        <w:rPr>
          <w:rFonts w:ascii="Times New Roman" w:hAnsi="Times New Roman" w:cs="Times New Roman"/>
        </w:rPr>
        <w:t xml:space="preserve"> whether it is not ‘unable and unwilling’. The Pre-Trial Chamber</w:t>
      </w:r>
      <w:r w:rsidRPr="0013086F">
        <w:rPr>
          <w:rFonts w:ascii="Times New Roman" w:hAnsi="Times New Roman" w:cs="Times New Roman"/>
        </w:rPr>
        <w:t xml:space="preserve"> unanimously rendered the case inadmissible.</w:t>
      </w:r>
      <w:r w:rsidRPr="0013086F">
        <w:rPr>
          <w:rStyle w:val="FootnoteReference"/>
          <w:rFonts w:ascii="Times New Roman" w:hAnsi="Times New Roman" w:cs="Times New Roman"/>
        </w:rPr>
        <w:footnoteReference w:id="34"/>
      </w:r>
      <w:r w:rsidRPr="0013086F">
        <w:rPr>
          <w:rFonts w:ascii="Times New Roman" w:hAnsi="Times New Roman" w:cs="Times New Roman"/>
        </w:rPr>
        <w:t xml:space="preserve"> </w:t>
      </w:r>
      <w:r w:rsidR="00E8488B" w:rsidRPr="0013086F">
        <w:rPr>
          <w:rFonts w:ascii="Times New Roman" w:hAnsi="Times New Roman" w:cs="Times New Roman"/>
        </w:rPr>
        <w:t>This is in contrast with the connected cas</w:t>
      </w:r>
      <w:r w:rsidR="00F671A0" w:rsidRPr="0013086F">
        <w:rPr>
          <w:rFonts w:ascii="Times New Roman" w:hAnsi="Times New Roman" w:cs="Times New Roman"/>
        </w:rPr>
        <w:t xml:space="preserve">e against Saif Al-Islam Gaddafi, which </w:t>
      </w:r>
      <w:r w:rsidR="00E8488B" w:rsidRPr="0013086F">
        <w:rPr>
          <w:rFonts w:ascii="Times New Roman" w:hAnsi="Times New Roman" w:cs="Times New Roman"/>
        </w:rPr>
        <w:t>was found to be admissible before the ICC</w:t>
      </w:r>
      <w:r w:rsidR="00C86833" w:rsidRPr="0013086F">
        <w:rPr>
          <w:rFonts w:ascii="Times New Roman" w:hAnsi="Times New Roman" w:cs="Times New Roman"/>
        </w:rPr>
        <w:t xml:space="preserve"> on the ground that Libya had not been investigating the same case</w:t>
      </w:r>
      <w:r w:rsidR="00F671A0" w:rsidRPr="0013086F">
        <w:rPr>
          <w:rFonts w:ascii="Times New Roman" w:hAnsi="Times New Roman" w:cs="Times New Roman"/>
        </w:rPr>
        <w:t>.</w:t>
      </w:r>
      <w:r w:rsidR="00F671A0" w:rsidRPr="0013086F">
        <w:rPr>
          <w:rStyle w:val="FootnoteReference"/>
          <w:rFonts w:ascii="Times New Roman" w:hAnsi="Times New Roman" w:cs="Times New Roman"/>
        </w:rPr>
        <w:footnoteReference w:id="35"/>
      </w:r>
      <w:r w:rsidR="00F671A0" w:rsidRPr="0013086F">
        <w:rPr>
          <w:rFonts w:ascii="Times New Roman" w:hAnsi="Times New Roman" w:cs="Times New Roman"/>
        </w:rPr>
        <w:t xml:space="preserve"> </w:t>
      </w:r>
      <w:r w:rsidR="00081CA7" w:rsidRPr="0013086F">
        <w:rPr>
          <w:rFonts w:ascii="Times New Roman" w:hAnsi="Times New Roman" w:cs="Times New Roman"/>
        </w:rPr>
        <w:t xml:space="preserve">The Defence of Mr. Al Senussi attempted to draw parallels between the two cases by pointing to a contradiction between the findings in the </w:t>
      </w:r>
      <w:r w:rsidR="00081CA7" w:rsidRPr="0013086F">
        <w:rPr>
          <w:rFonts w:ascii="Times New Roman" w:hAnsi="Times New Roman" w:cs="Times New Roman"/>
          <w:i/>
        </w:rPr>
        <w:t>Al Senussi</w:t>
      </w:r>
      <w:r w:rsidR="00081CA7" w:rsidRPr="0013086F">
        <w:rPr>
          <w:rFonts w:ascii="Times New Roman" w:hAnsi="Times New Roman" w:cs="Times New Roman"/>
        </w:rPr>
        <w:t xml:space="preserve"> and </w:t>
      </w:r>
      <w:r w:rsidR="00081CA7" w:rsidRPr="0013086F">
        <w:rPr>
          <w:rFonts w:ascii="Times New Roman" w:hAnsi="Times New Roman" w:cs="Times New Roman"/>
          <w:i/>
        </w:rPr>
        <w:t>Gaddafi</w:t>
      </w:r>
      <w:r w:rsidR="00081CA7" w:rsidRPr="0013086F">
        <w:rPr>
          <w:rFonts w:ascii="Times New Roman" w:hAnsi="Times New Roman" w:cs="Times New Roman"/>
        </w:rPr>
        <w:t xml:space="preserve"> cases.</w:t>
      </w:r>
      <w:r w:rsidR="00081CA7" w:rsidRPr="0013086F">
        <w:rPr>
          <w:rStyle w:val="FootnoteReference"/>
          <w:rFonts w:ascii="Times New Roman" w:hAnsi="Times New Roman" w:cs="Times New Roman"/>
        </w:rPr>
        <w:footnoteReference w:id="36"/>
      </w:r>
      <w:r w:rsidR="00081CA7" w:rsidRPr="0013086F">
        <w:rPr>
          <w:rFonts w:ascii="Times New Roman" w:hAnsi="Times New Roman" w:cs="Times New Roman"/>
        </w:rPr>
        <w:t xml:space="preserve"> The Appeals Chamber in </w:t>
      </w:r>
      <w:r w:rsidR="00081CA7" w:rsidRPr="0013086F">
        <w:rPr>
          <w:rFonts w:ascii="Times New Roman" w:hAnsi="Times New Roman" w:cs="Times New Roman"/>
          <w:i/>
        </w:rPr>
        <w:t>Al Senussi</w:t>
      </w:r>
      <w:r w:rsidR="00081CA7" w:rsidRPr="0013086F">
        <w:rPr>
          <w:rFonts w:ascii="Times New Roman" w:hAnsi="Times New Roman" w:cs="Times New Roman"/>
        </w:rPr>
        <w:t xml:space="preserve"> refuted this argument by claiming that the case is distinct from </w:t>
      </w:r>
      <w:r w:rsidR="00081CA7" w:rsidRPr="0013086F">
        <w:rPr>
          <w:rFonts w:ascii="Times New Roman" w:hAnsi="Times New Roman" w:cs="Times New Roman"/>
          <w:i/>
        </w:rPr>
        <w:t xml:space="preserve">Gaddafi </w:t>
      </w:r>
      <w:r w:rsidR="00081CA7" w:rsidRPr="0013086F">
        <w:rPr>
          <w:rFonts w:ascii="Times New Roman" w:hAnsi="Times New Roman" w:cs="Times New Roman"/>
        </w:rPr>
        <w:t xml:space="preserve">because </w:t>
      </w:r>
      <w:r w:rsidR="00C86833" w:rsidRPr="0013086F">
        <w:rPr>
          <w:rFonts w:ascii="Times New Roman" w:hAnsi="Times New Roman" w:cs="Times New Roman"/>
        </w:rPr>
        <w:t xml:space="preserve">it </w:t>
      </w:r>
      <w:r w:rsidR="00081CA7" w:rsidRPr="0013086F">
        <w:rPr>
          <w:rFonts w:ascii="Times New Roman" w:hAnsi="Times New Roman" w:cs="Times New Roman"/>
        </w:rPr>
        <w:t>had attracted more evidence and its scope had been more limited, both geographically and temporarily.</w:t>
      </w:r>
      <w:r w:rsidR="00081CA7" w:rsidRPr="0013086F">
        <w:rPr>
          <w:rStyle w:val="FootnoteReference"/>
          <w:rFonts w:ascii="Times New Roman" w:hAnsi="Times New Roman" w:cs="Times New Roman"/>
        </w:rPr>
        <w:footnoteReference w:id="37"/>
      </w:r>
      <w:r w:rsidR="00081CA7" w:rsidRPr="0013086F">
        <w:rPr>
          <w:rFonts w:ascii="Times New Roman" w:hAnsi="Times New Roman" w:cs="Times New Roman"/>
        </w:rPr>
        <w:t xml:space="preserve"> </w:t>
      </w:r>
    </w:p>
    <w:p w14:paraId="6E12336A" w14:textId="77777777" w:rsidR="00E8488B" w:rsidRPr="0013086F" w:rsidRDefault="00E8488B" w:rsidP="006066C4">
      <w:pPr>
        <w:spacing w:line="480" w:lineRule="auto"/>
        <w:jc w:val="both"/>
        <w:rPr>
          <w:rFonts w:ascii="Times New Roman" w:hAnsi="Times New Roman" w:cs="Times New Roman"/>
        </w:rPr>
      </w:pPr>
    </w:p>
    <w:p w14:paraId="6341A820" w14:textId="351DF931" w:rsidR="003C6170" w:rsidRPr="0013086F" w:rsidRDefault="0070340B" w:rsidP="006066C4">
      <w:pPr>
        <w:spacing w:line="480" w:lineRule="auto"/>
        <w:jc w:val="both"/>
        <w:rPr>
          <w:rFonts w:ascii="Times New Roman" w:hAnsi="Times New Roman" w:cs="Times New Roman"/>
        </w:rPr>
      </w:pPr>
      <w:r w:rsidRPr="0013086F">
        <w:rPr>
          <w:rFonts w:ascii="Times New Roman" w:hAnsi="Times New Roman" w:cs="Times New Roman"/>
        </w:rPr>
        <w:t xml:space="preserve">The </w:t>
      </w:r>
      <w:r w:rsidR="00C86833" w:rsidRPr="0013086F">
        <w:rPr>
          <w:rFonts w:ascii="Times New Roman" w:hAnsi="Times New Roman" w:cs="Times New Roman"/>
        </w:rPr>
        <w:t xml:space="preserve">‘same case’ issue aside, the bulk of the arguments furnished by the </w:t>
      </w:r>
      <w:r w:rsidR="005D4D2B" w:rsidRPr="0013086F">
        <w:rPr>
          <w:rFonts w:ascii="Times New Roman" w:hAnsi="Times New Roman" w:cs="Times New Roman"/>
        </w:rPr>
        <w:t>Defence team</w:t>
      </w:r>
      <w:r w:rsidRPr="0013086F">
        <w:rPr>
          <w:rFonts w:ascii="Times New Roman" w:hAnsi="Times New Roman" w:cs="Times New Roman"/>
        </w:rPr>
        <w:t xml:space="preserve"> of Mr. Al Senussi</w:t>
      </w:r>
      <w:r w:rsidR="005D4D2B" w:rsidRPr="0013086F">
        <w:rPr>
          <w:rFonts w:ascii="Times New Roman" w:hAnsi="Times New Roman" w:cs="Times New Roman"/>
        </w:rPr>
        <w:t xml:space="preserve"> and</w:t>
      </w:r>
      <w:r w:rsidR="001910EE" w:rsidRPr="0013086F">
        <w:rPr>
          <w:rFonts w:ascii="Times New Roman" w:hAnsi="Times New Roman" w:cs="Times New Roman"/>
        </w:rPr>
        <w:t>, to a certain extent,</w:t>
      </w:r>
      <w:r w:rsidR="005D4D2B" w:rsidRPr="0013086F">
        <w:rPr>
          <w:rFonts w:ascii="Times New Roman" w:hAnsi="Times New Roman" w:cs="Times New Roman"/>
        </w:rPr>
        <w:t xml:space="preserve"> the representatives for Victims</w:t>
      </w:r>
      <w:r w:rsidR="00922481" w:rsidRPr="0013086F">
        <w:rPr>
          <w:rFonts w:ascii="Times New Roman" w:hAnsi="Times New Roman" w:cs="Times New Roman"/>
        </w:rPr>
        <w:t>,</w:t>
      </w:r>
      <w:r w:rsidR="005D4D2B" w:rsidRPr="0013086F">
        <w:rPr>
          <w:rFonts w:ascii="Times New Roman" w:hAnsi="Times New Roman" w:cs="Times New Roman"/>
        </w:rPr>
        <w:t xml:space="preserve"> </w:t>
      </w:r>
      <w:r w:rsidR="00C86833" w:rsidRPr="0013086F">
        <w:rPr>
          <w:rFonts w:ascii="Times New Roman" w:hAnsi="Times New Roman" w:cs="Times New Roman"/>
        </w:rPr>
        <w:t>rested</w:t>
      </w:r>
      <w:r w:rsidR="003C6170" w:rsidRPr="0013086F">
        <w:rPr>
          <w:rFonts w:ascii="Times New Roman" w:hAnsi="Times New Roman" w:cs="Times New Roman"/>
        </w:rPr>
        <w:t xml:space="preserve"> on major human rights concerns, including </w:t>
      </w:r>
      <w:r w:rsidR="00363E0F" w:rsidRPr="0013086F">
        <w:rPr>
          <w:rFonts w:ascii="Times New Roman" w:hAnsi="Times New Roman" w:cs="Times New Roman"/>
        </w:rPr>
        <w:t xml:space="preserve">the </w:t>
      </w:r>
      <w:r w:rsidR="003C6170" w:rsidRPr="0013086F">
        <w:rPr>
          <w:rFonts w:ascii="Times New Roman" w:hAnsi="Times New Roman" w:cs="Times New Roman"/>
        </w:rPr>
        <w:t xml:space="preserve">lack of legal </w:t>
      </w:r>
      <w:r w:rsidR="00250A65" w:rsidRPr="0013086F">
        <w:rPr>
          <w:rFonts w:ascii="Times New Roman" w:hAnsi="Times New Roman" w:cs="Times New Roman"/>
        </w:rPr>
        <w:t>representation</w:t>
      </w:r>
      <w:r w:rsidR="003C6170" w:rsidRPr="0013086F">
        <w:rPr>
          <w:rFonts w:ascii="Times New Roman" w:hAnsi="Times New Roman" w:cs="Times New Roman"/>
        </w:rPr>
        <w:t>.</w:t>
      </w:r>
      <w:r w:rsidR="00C86833" w:rsidRPr="0013086F">
        <w:rPr>
          <w:rFonts w:ascii="Times New Roman" w:hAnsi="Times New Roman" w:cs="Times New Roman"/>
        </w:rPr>
        <w:t xml:space="preserve"> Their </w:t>
      </w:r>
      <w:r w:rsidR="00EE0FAB" w:rsidRPr="0013086F">
        <w:rPr>
          <w:rFonts w:ascii="Times New Roman" w:hAnsi="Times New Roman" w:cs="Times New Roman"/>
        </w:rPr>
        <w:t xml:space="preserve">overarching </w:t>
      </w:r>
      <w:r w:rsidR="00C86833" w:rsidRPr="0013086F">
        <w:rPr>
          <w:rFonts w:ascii="Times New Roman" w:hAnsi="Times New Roman" w:cs="Times New Roman"/>
        </w:rPr>
        <w:t xml:space="preserve">position, </w:t>
      </w:r>
      <w:r w:rsidR="00BC5743" w:rsidRPr="0013086F">
        <w:rPr>
          <w:rFonts w:ascii="Times New Roman" w:hAnsi="Times New Roman" w:cs="Times New Roman"/>
        </w:rPr>
        <w:t xml:space="preserve">heavily supported by </w:t>
      </w:r>
      <w:r w:rsidR="00922481" w:rsidRPr="0013086F">
        <w:rPr>
          <w:rFonts w:ascii="Times New Roman" w:hAnsi="Times New Roman" w:cs="Times New Roman"/>
        </w:rPr>
        <w:t xml:space="preserve">the </w:t>
      </w:r>
      <w:r w:rsidR="00BC5743" w:rsidRPr="0013086F">
        <w:rPr>
          <w:rFonts w:ascii="Times New Roman" w:hAnsi="Times New Roman" w:cs="Times New Roman"/>
        </w:rPr>
        <w:t>human rights jurisprudence</w:t>
      </w:r>
      <w:r w:rsidR="00C86833" w:rsidRPr="0013086F">
        <w:rPr>
          <w:rFonts w:ascii="Times New Roman" w:hAnsi="Times New Roman" w:cs="Times New Roman"/>
        </w:rPr>
        <w:t>,</w:t>
      </w:r>
      <w:r w:rsidR="00BC5743" w:rsidRPr="0013086F">
        <w:rPr>
          <w:rFonts w:ascii="Times New Roman" w:hAnsi="Times New Roman" w:cs="Times New Roman"/>
        </w:rPr>
        <w:t xml:space="preserve"> </w:t>
      </w:r>
      <w:r w:rsidR="005F1711" w:rsidRPr="0013086F">
        <w:rPr>
          <w:rFonts w:ascii="Times New Roman" w:hAnsi="Times New Roman" w:cs="Times New Roman"/>
        </w:rPr>
        <w:t>was that the case must be tried at the</w:t>
      </w:r>
      <w:r w:rsidR="004217E9" w:rsidRPr="0013086F">
        <w:rPr>
          <w:rFonts w:ascii="Times New Roman" w:hAnsi="Times New Roman" w:cs="Times New Roman"/>
        </w:rPr>
        <w:t xml:space="preserve"> ICC because Libya cannot guarantee du</w:t>
      </w:r>
      <w:r w:rsidR="00C86833" w:rsidRPr="0013086F">
        <w:rPr>
          <w:rFonts w:ascii="Times New Roman" w:hAnsi="Times New Roman" w:cs="Times New Roman"/>
        </w:rPr>
        <w:t>e process rights to the suspect, rendering the country unable or unwilling.</w:t>
      </w:r>
      <w:r w:rsidR="004217E9" w:rsidRPr="0013086F">
        <w:rPr>
          <w:rFonts w:ascii="Times New Roman" w:hAnsi="Times New Roman" w:cs="Times New Roman"/>
        </w:rPr>
        <w:t xml:space="preserve"> </w:t>
      </w:r>
      <w:r w:rsidR="003C6170" w:rsidRPr="0013086F">
        <w:rPr>
          <w:rFonts w:ascii="Times New Roman" w:hAnsi="Times New Roman" w:cs="Times New Roman"/>
        </w:rPr>
        <w:t>The nature of these objections brought human rights issues into the focus and prompted first the Pre-Trial Chamber and then the Appeals Chamber to consider the extent to which the ICC is ready to engage with the issue of the suspect’s fair trial guarantees.</w:t>
      </w:r>
    </w:p>
    <w:p w14:paraId="64FBDFA6" w14:textId="77777777" w:rsidR="00250A65" w:rsidRPr="0013086F" w:rsidRDefault="00250A65" w:rsidP="006066C4">
      <w:pPr>
        <w:spacing w:line="480" w:lineRule="auto"/>
        <w:jc w:val="both"/>
        <w:rPr>
          <w:rFonts w:ascii="Times New Roman" w:hAnsi="Times New Roman" w:cs="Times New Roman"/>
        </w:rPr>
      </w:pPr>
    </w:p>
    <w:p w14:paraId="28231EC6" w14:textId="181B7A74" w:rsidR="004219CD" w:rsidRPr="0013086F" w:rsidRDefault="003C6170" w:rsidP="006066C4">
      <w:pPr>
        <w:widowControl w:val="0"/>
        <w:autoSpaceDE w:val="0"/>
        <w:autoSpaceDN w:val="0"/>
        <w:adjustRightInd w:val="0"/>
        <w:spacing w:after="240" w:line="480" w:lineRule="auto"/>
        <w:jc w:val="both"/>
        <w:rPr>
          <w:rFonts w:ascii="Times New Roman" w:hAnsi="Times New Roman" w:cs="Times New Roman"/>
        </w:rPr>
      </w:pPr>
      <w:r w:rsidRPr="0013086F">
        <w:rPr>
          <w:rFonts w:ascii="Times New Roman" w:hAnsi="Times New Roman" w:cs="Times New Roman"/>
        </w:rPr>
        <w:t xml:space="preserve">Raising human rights concerns </w:t>
      </w:r>
      <w:r w:rsidR="00250A65" w:rsidRPr="0013086F">
        <w:rPr>
          <w:rFonts w:ascii="Times New Roman" w:hAnsi="Times New Roman" w:cs="Times New Roman"/>
        </w:rPr>
        <w:t>as an obstacle to the domestic handling of the case was</w:t>
      </w:r>
      <w:r w:rsidRPr="0013086F">
        <w:rPr>
          <w:rFonts w:ascii="Times New Roman" w:hAnsi="Times New Roman" w:cs="Times New Roman"/>
        </w:rPr>
        <w:t xml:space="preserve"> not an unexpected move:</w:t>
      </w:r>
      <w:r w:rsidR="00BC5743" w:rsidRPr="0013086F">
        <w:rPr>
          <w:rFonts w:ascii="Times New Roman" w:hAnsi="Times New Roman" w:cs="Times New Roman"/>
        </w:rPr>
        <w:t xml:space="preserve"> the</w:t>
      </w:r>
      <w:r w:rsidR="00AB7599" w:rsidRPr="0013086F">
        <w:rPr>
          <w:rFonts w:ascii="Times New Roman" w:hAnsi="Times New Roman" w:cs="Times New Roman"/>
        </w:rPr>
        <w:t xml:space="preserve"> Rules of Evidence and Procedure p</w:t>
      </w:r>
      <w:r w:rsidR="00250A65" w:rsidRPr="0013086F">
        <w:rPr>
          <w:rFonts w:ascii="Times New Roman" w:hAnsi="Times New Roman" w:cs="Times New Roman"/>
        </w:rPr>
        <w:t xml:space="preserve">rovide </w:t>
      </w:r>
      <w:r w:rsidR="00AB7599" w:rsidRPr="0013086F">
        <w:rPr>
          <w:rFonts w:ascii="Times New Roman" w:hAnsi="Times New Roman" w:cs="Times New Roman"/>
        </w:rPr>
        <w:t>that</w:t>
      </w:r>
      <w:r w:rsidR="00BC5743" w:rsidRPr="0013086F">
        <w:rPr>
          <w:rFonts w:ascii="Times New Roman" w:hAnsi="Times New Roman" w:cs="Times New Roman"/>
        </w:rPr>
        <w:t xml:space="preserve"> unwillingness of the State may be assessed </w:t>
      </w:r>
      <w:r w:rsidR="006027B2" w:rsidRPr="0013086F">
        <w:rPr>
          <w:rFonts w:ascii="Times New Roman" w:hAnsi="Times New Roman" w:cs="Times New Roman"/>
        </w:rPr>
        <w:t xml:space="preserve">in the light of evidence </w:t>
      </w:r>
      <w:r w:rsidR="00EE0FAB" w:rsidRPr="0013086F">
        <w:rPr>
          <w:rFonts w:ascii="Times New Roman" w:hAnsi="Times New Roman" w:cs="Times New Roman"/>
        </w:rPr>
        <w:t xml:space="preserve">pertaining to national courts </w:t>
      </w:r>
      <w:r w:rsidRPr="0013086F">
        <w:rPr>
          <w:rFonts w:ascii="Times New Roman" w:hAnsi="Times New Roman" w:cs="Times New Roman"/>
        </w:rPr>
        <w:t xml:space="preserve">compatibility with </w:t>
      </w:r>
      <w:r w:rsidR="006027B2" w:rsidRPr="0013086F">
        <w:rPr>
          <w:rFonts w:ascii="Times New Roman" w:hAnsi="Times New Roman" w:cs="Times New Roman"/>
        </w:rPr>
        <w:t>internationally recognized human rights standards.</w:t>
      </w:r>
      <w:r w:rsidR="006027B2" w:rsidRPr="0013086F">
        <w:rPr>
          <w:rStyle w:val="FootnoteReference"/>
          <w:rFonts w:ascii="Times New Roman" w:hAnsi="Times New Roman" w:cs="Times New Roman"/>
        </w:rPr>
        <w:footnoteReference w:id="38"/>
      </w:r>
      <w:r w:rsidR="00BC5743" w:rsidRPr="0013086F">
        <w:rPr>
          <w:rFonts w:ascii="Times New Roman" w:hAnsi="Times New Roman" w:cs="Times New Roman"/>
        </w:rPr>
        <w:t xml:space="preserve"> </w:t>
      </w:r>
      <w:r w:rsidR="00250A65" w:rsidRPr="0013086F">
        <w:rPr>
          <w:rFonts w:ascii="Times New Roman" w:hAnsi="Times New Roman" w:cs="Times New Roman"/>
        </w:rPr>
        <w:t>The</w:t>
      </w:r>
      <w:r w:rsidRPr="0013086F">
        <w:rPr>
          <w:rFonts w:ascii="Times New Roman" w:hAnsi="Times New Roman" w:cs="Times New Roman"/>
        </w:rPr>
        <w:t xml:space="preserve"> </w:t>
      </w:r>
      <w:r w:rsidRPr="0013086F">
        <w:rPr>
          <w:rFonts w:ascii="Times New Roman" w:hAnsi="Times New Roman" w:cs="Times New Roman"/>
          <w:i/>
        </w:rPr>
        <w:t>chapeaux</w:t>
      </w:r>
      <w:r w:rsidRPr="0013086F">
        <w:rPr>
          <w:rFonts w:ascii="Times New Roman" w:hAnsi="Times New Roman" w:cs="Times New Roman"/>
        </w:rPr>
        <w:t xml:space="preserve"> of Article 17(2) prescribes that in determining unwillingness the Court must have regard to the principles of due process recognized by international law and subparagraph (c) of the same provision ensures that domestic proceedings are conducted independently and impartially.</w:t>
      </w:r>
      <w:r w:rsidRPr="0013086F">
        <w:rPr>
          <w:rStyle w:val="FootnoteReference"/>
          <w:rFonts w:ascii="Times New Roman" w:hAnsi="Times New Roman" w:cs="Times New Roman"/>
        </w:rPr>
        <w:footnoteReference w:id="39"/>
      </w:r>
      <w:r w:rsidRPr="0013086F">
        <w:rPr>
          <w:rFonts w:ascii="Times New Roman" w:hAnsi="Times New Roman" w:cs="Times New Roman"/>
        </w:rPr>
        <w:t xml:space="preserve"> Moreover, Article 55(2)(c) of the Rome Statute expressly grants the right to legal assistance to persons questioned during investigation by national authorities. Therefore, normative framework of the ICC allowed certain room for manouevre when it comes to assessing Libya’s unwillingness in the light of the lack of legal representation and other procedural shortcomings.</w:t>
      </w:r>
    </w:p>
    <w:p w14:paraId="64638182" w14:textId="02876318" w:rsidR="00B9543E" w:rsidRPr="0013086F" w:rsidRDefault="00962A01" w:rsidP="006066C4">
      <w:pPr>
        <w:widowControl w:val="0"/>
        <w:autoSpaceDE w:val="0"/>
        <w:autoSpaceDN w:val="0"/>
        <w:adjustRightInd w:val="0"/>
        <w:spacing w:after="240" w:line="480" w:lineRule="auto"/>
        <w:jc w:val="both"/>
        <w:rPr>
          <w:rFonts w:ascii="Times New Roman" w:hAnsi="Times New Roman" w:cs="Times New Roman"/>
        </w:rPr>
      </w:pPr>
      <w:r w:rsidRPr="0013086F">
        <w:rPr>
          <w:rFonts w:ascii="Times New Roman" w:hAnsi="Times New Roman" w:cs="Times New Roman"/>
        </w:rPr>
        <w:t xml:space="preserve">Kevin Heller </w:t>
      </w:r>
      <w:r w:rsidR="00BC5466" w:rsidRPr="0013086F">
        <w:rPr>
          <w:rFonts w:ascii="Times New Roman" w:hAnsi="Times New Roman" w:cs="Times New Roman"/>
        </w:rPr>
        <w:t>suggested</w:t>
      </w:r>
      <w:r w:rsidRPr="0013086F">
        <w:rPr>
          <w:rFonts w:ascii="Times New Roman" w:hAnsi="Times New Roman" w:cs="Times New Roman"/>
        </w:rPr>
        <w:t xml:space="preserve"> that plain reading of Article 17 and, in particular, subparagraph (c) </w:t>
      </w:r>
      <w:r w:rsidR="00816F0D" w:rsidRPr="0013086F">
        <w:rPr>
          <w:rFonts w:ascii="Times New Roman" w:hAnsi="Times New Roman" w:cs="Times New Roman"/>
        </w:rPr>
        <w:t>does not support what he</w:t>
      </w:r>
      <w:r w:rsidRPr="0013086F">
        <w:rPr>
          <w:rFonts w:ascii="Times New Roman" w:hAnsi="Times New Roman" w:cs="Times New Roman"/>
        </w:rPr>
        <w:t xml:space="preserve"> refers to as</w:t>
      </w:r>
      <w:r w:rsidR="00A74CF4" w:rsidRPr="0013086F">
        <w:rPr>
          <w:rFonts w:ascii="Times New Roman" w:hAnsi="Times New Roman" w:cs="Times New Roman"/>
        </w:rPr>
        <w:t xml:space="preserve"> the</w:t>
      </w:r>
      <w:r w:rsidRPr="0013086F">
        <w:rPr>
          <w:rFonts w:ascii="Times New Roman" w:hAnsi="Times New Roman" w:cs="Times New Roman"/>
        </w:rPr>
        <w:t xml:space="preserve"> ‘due process thesis’, or the possibility to declare a case admissible to the ICC in </w:t>
      </w:r>
      <w:r w:rsidR="00BC5466" w:rsidRPr="0013086F">
        <w:rPr>
          <w:rFonts w:ascii="Times New Roman" w:hAnsi="Times New Roman" w:cs="Times New Roman"/>
        </w:rPr>
        <w:t xml:space="preserve">instances </w:t>
      </w:r>
      <w:r w:rsidRPr="0013086F">
        <w:rPr>
          <w:rFonts w:ascii="Times New Roman" w:hAnsi="Times New Roman" w:cs="Times New Roman"/>
        </w:rPr>
        <w:t xml:space="preserve">when national jurisdiction cannot guarantee due process rights for the accused. He argued that the due process aspects of Article 17 only come into play in situations when domestic legal systems make it difficult to convict the accused, </w:t>
      </w:r>
      <w:r w:rsidR="00277E9B">
        <w:rPr>
          <w:rFonts w:ascii="Times New Roman" w:hAnsi="Times New Roman" w:cs="Times New Roman"/>
        </w:rPr>
        <w:t>indicating</w:t>
      </w:r>
      <w:r w:rsidR="00BC5466" w:rsidRPr="0013086F">
        <w:rPr>
          <w:rFonts w:ascii="Times New Roman" w:hAnsi="Times New Roman" w:cs="Times New Roman"/>
        </w:rPr>
        <w:t xml:space="preserve"> lack of intent, </w:t>
      </w:r>
      <w:r w:rsidRPr="0013086F">
        <w:rPr>
          <w:rFonts w:ascii="Times New Roman" w:hAnsi="Times New Roman" w:cs="Times New Roman"/>
        </w:rPr>
        <w:t xml:space="preserve">rather than when </w:t>
      </w:r>
      <w:r w:rsidR="00BC5466" w:rsidRPr="0013086F">
        <w:rPr>
          <w:rFonts w:ascii="Times New Roman" w:hAnsi="Times New Roman" w:cs="Times New Roman"/>
        </w:rPr>
        <w:t>national law makes it</w:t>
      </w:r>
      <w:r w:rsidRPr="0013086F">
        <w:rPr>
          <w:rFonts w:ascii="Times New Roman" w:hAnsi="Times New Roman" w:cs="Times New Roman"/>
        </w:rPr>
        <w:t xml:space="preserve"> easy</w:t>
      </w:r>
      <w:r w:rsidR="00BC5466" w:rsidRPr="0013086F">
        <w:rPr>
          <w:rFonts w:ascii="Times New Roman" w:hAnsi="Times New Roman" w:cs="Times New Roman"/>
        </w:rPr>
        <w:t xml:space="preserve"> to convict an individual</w:t>
      </w:r>
      <w:r w:rsidRPr="0013086F">
        <w:rPr>
          <w:rFonts w:ascii="Times New Roman" w:hAnsi="Times New Roman" w:cs="Times New Roman"/>
        </w:rPr>
        <w:t>.</w:t>
      </w:r>
      <w:r w:rsidR="00816F0D" w:rsidRPr="0013086F">
        <w:rPr>
          <w:rStyle w:val="FootnoteReference"/>
          <w:rFonts w:ascii="Times New Roman" w:hAnsi="Times New Roman" w:cs="Times New Roman"/>
        </w:rPr>
        <w:footnoteReference w:id="40"/>
      </w:r>
      <w:r w:rsidRPr="0013086F">
        <w:rPr>
          <w:rFonts w:ascii="Times New Roman" w:hAnsi="Times New Roman" w:cs="Times New Roman"/>
        </w:rPr>
        <w:t xml:space="preserve"> Heller mainly bases this conclusion on the fact that </w:t>
      </w:r>
      <w:r w:rsidR="00BC5466" w:rsidRPr="0013086F">
        <w:rPr>
          <w:rFonts w:ascii="Times New Roman" w:hAnsi="Times New Roman" w:cs="Times New Roman"/>
        </w:rPr>
        <w:t xml:space="preserve">the requirements of </w:t>
      </w:r>
      <w:r w:rsidRPr="0013086F">
        <w:rPr>
          <w:rFonts w:ascii="Times New Roman" w:hAnsi="Times New Roman" w:cs="Times New Roman"/>
        </w:rPr>
        <w:t>Article 17(2)(c)</w:t>
      </w:r>
      <w:r w:rsidR="00A74CF4" w:rsidRPr="0013086F">
        <w:rPr>
          <w:rFonts w:ascii="Times New Roman" w:hAnsi="Times New Roman" w:cs="Times New Roman"/>
        </w:rPr>
        <w:t xml:space="preserve"> are conjunctive, and not </w:t>
      </w:r>
      <w:r w:rsidR="00D20697">
        <w:rPr>
          <w:rFonts w:ascii="Times New Roman" w:hAnsi="Times New Roman" w:cs="Times New Roman"/>
        </w:rPr>
        <w:t xml:space="preserve">disjunctive - unwillingness is established if </w:t>
      </w:r>
      <w:r w:rsidR="00BC5466" w:rsidRPr="0013086F">
        <w:rPr>
          <w:rFonts w:ascii="Times" w:eastAsia="Times New Roman" w:hAnsi="Times" w:cs="Times New Roman"/>
          <w:lang w:val="en-GB"/>
        </w:rPr>
        <w:t xml:space="preserve">‘[t]he proceedings were not or are not being conducted independently or impartially, </w:t>
      </w:r>
      <w:r w:rsidR="00BC5466" w:rsidRPr="0013086F">
        <w:rPr>
          <w:rFonts w:ascii="Times" w:eastAsia="Times New Roman" w:hAnsi="Times" w:cs="Times New Roman"/>
          <w:i/>
          <w:lang w:val="en-GB"/>
        </w:rPr>
        <w:t>and</w:t>
      </w:r>
      <w:r w:rsidR="00BC5466" w:rsidRPr="0013086F">
        <w:rPr>
          <w:rFonts w:ascii="Times" w:eastAsia="Times New Roman" w:hAnsi="Times" w:cs="Times New Roman"/>
          <w:lang w:val="en-GB"/>
        </w:rPr>
        <w:t xml:space="preserve"> they were or are being conducted in a manner which, in the circumstances, is inconsistent with an intent to bring the person concerned to justice.’</w:t>
      </w:r>
      <w:r w:rsidR="00816F0D" w:rsidRPr="0013086F">
        <w:rPr>
          <w:rStyle w:val="FootnoteReference"/>
          <w:rFonts w:ascii="Times" w:eastAsia="Times New Roman" w:hAnsi="Times" w:cs="Times New Roman"/>
          <w:lang w:val="en-GB"/>
        </w:rPr>
        <w:footnoteReference w:id="41"/>
      </w:r>
      <w:r w:rsidR="00B9543E" w:rsidRPr="0013086F">
        <w:rPr>
          <w:rFonts w:ascii="Times" w:eastAsia="Times New Roman" w:hAnsi="Times" w:cs="Times New Roman"/>
          <w:lang w:val="en-GB"/>
        </w:rPr>
        <w:t xml:space="preserve"> </w:t>
      </w:r>
      <w:r w:rsidR="00A74CF4" w:rsidRPr="0013086F">
        <w:rPr>
          <w:rFonts w:ascii="Times" w:eastAsia="Times New Roman" w:hAnsi="Times" w:cs="Times New Roman"/>
          <w:lang w:val="en-GB"/>
        </w:rPr>
        <w:t>Therefore, it is not enough that domestic proceedings are not impartial or independent to render a case admissible to the ICC; they must also be aimed at shielding an individual from justice. Heller further</w:t>
      </w:r>
      <w:r w:rsidR="00B9543E" w:rsidRPr="0013086F">
        <w:rPr>
          <w:rFonts w:ascii="Times" w:eastAsia="Times New Roman" w:hAnsi="Times" w:cs="Times New Roman"/>
          <w:lang w:val="en-GB"/>
        </w:rPr>
        <w:t xml:space="preserve"> </w:t>
      </w:r>
      <w:r w:rsidR="00A96B21" w:rsidRPr="0013086F">
        <w:rPr>
          <w:rFonts w:ascii="Times" w:eastAsia="Times New Roman" w:hAnsi="Times" w:cs="Times New Roman"/>
          <w:lang w:val="en-GB"/>
        </w:rPr>
        <w:t xml:space="preserve">noted </w:t>
      </w:r>
      <w:r w:rsidR="00B9543E" w:rsidRPr="0013086F">
        <w:rPr>
          <w:rFonts w:ascii="Times" w:eastAsia="Times New Roman" w:hAnsi="Times" w:cs="Times New Roman"/>
          <w:lang w:val="en-GB"/>
        </w:rPr>
        <w:t xml:space="preserve">that the </w:t>
      </w:r>
      <w:r w:rsidR="00B9543E" w:rsidRPr="0013086F">
        <w:rPr>
          <w:rFonts w:ascii="Times New Roman" w:hAnsi="Times New Roman" w:cs="Times New Roman"/>
          <w:i/>
        </w:rPr>
        <w:t>chapeaux</w:t>
      </w:r>
      <w:r w:rsidR="00B9543E" w:rsidRPr="0013086F">
        <w:rPr>
          <w:rFonts w:ascii="Times New Roman" w:hAnsi="Times New Roman" w:cs="Times New Roman"/>
        </w:rPr>
        <w:t xml:space="preserve"> of Article 17(2)</w:t>
      </w:r>
      <w:r w:rsidR="0070536C" w:rsidRPr="0013086F">
        <w:rPr>
          <w:rFonts w:ascii="Times New Roman" w:hAnsi="Times New Roman" w:cs="Times New Roman"/>
        </w:rPr>
        <w:t xml:space="preserve">, </w:t>
      </w:r>
      <w:r w:rsidR="00B9543E" w:rsidRPr="0013086F">
        <w:rPr>
          <w:rFonts w:ascii="Times New Roman" w:hAnsi="Times New Roman" w:cs="Times New Roman"/>
        </w:rPr>
        <w:t>containing the requir</w:t>
      </w:r>
      <w:r w:rsidR="0070536C" w:rsidRPr="0013086F">
        <w:rPr>
          <w:rFonts w:ascii="Times New Roman" w:hAnsi="Times New Roman" w:cs="Times New Roman"/>
        </w:rPr>
        <w:t xml:space="preserve">ement of due process, is not </w:t>
      </w:r>
      <w:r w:rsidR="00CC0868">
        <w:rPr>
          <w:rFonts w:ascii="Times New Roman" w:hAnsi="Times New Roman" w:cs="Times New Roman"/>
        </w:rPr>
        <w:t xml:space="preserve">an </w:t>
      </w:r>
      <w:r w:rsidR="00B9543E" w:rsidRPr="0013086F">
        <w:rPr>
          <w:rFonts w:ascii="Times New Roman" w:hAnsi="Times New Roman" w:cs="Times New Roman"/>
        </w:rPr>
        <w:t xml:space="preserve">independent </w:t>
      </w:r>
      <w:r w:rsidR="00CC0868">
        <w:rPr>
          <w:rFonts w:ascii="Times New Roman" w:hAnsi="Times New Roman" w:cs="Times New Roman"/>
        </w:rPr>
        <w:t xml:space="preserve">clause </w:t>
      </w:r>
      <w:r w:rsidR="00B9543E" w:rsidRPr="0013086F">
        <w:rPr>
          <w:rFonts w:ascii="Times New Roman" w:hAnsi="Times New Roman" w:cs="Times New Roman"/>
        </w:rPr>
        <w:t xml:space="preserve">and is subordinated to the following specific </w:t>
      </w:r>
      <w:r w:rsidR="00CC0868">
        <w:rPr>
          <w:rFonts w:ascii="Times New Roman" w:hAnsi="Times New Roman" w:cs="Times New Roman"/>
        </w:rPr>
        <w:t>provisions</w:t>
      </w:r>
      <w:r w:rsidR="00B9543E" w:rsidRPr="0013086F">
        <w:rPr>
          <w:rFonts w:ascii="Times New Roman" w:hAnsi="Times New Roman" w:cs="Times New Roman"/>
        </w:rPr>
        <w:t>.</w:t>
      </w:r>
      <w:r w:rsidR="00B9543E" w:rsidRPr="0013086F">
        <w:rPr>
          <w:rStyle w:val="FootnoteReference"/>
          <w:rFonts w:ascii="Times" w:eastAsia="Times New Roman" w:hAnsi="Times" w:cs="Times New Roman"/>
          <w:lang w:val="en-GB"/>
        </w:rPr>
        <w:footnoteReference w:id="42"/>
      </w:r>
      <w:r w:rsidR="00B9543E" w:rsidRPr="0013086F">
        <w:rPr>
          <w:rFonts w:ascii="Times New Roman" w:hAnsi="Times New Roman" w:cs="Times New Roman"/>
        </w:rPr>
        <w:t xml:space="preserve"> </w:t>
      </w:r>
    </w:p>
    <w:p w14:paraId="5A1B99AE" w14:textId="41B10252" w:rsidR="00BC5466" w:rsidRPr="0013086F" w:rsidRDefault="00B9543E" w:rsidP="006066C4">
      <w:pPr>
        <w:widowControl w:val="0"/>
        <w:autoSpaceDE w:val="0"/>
        <w:autoSpaceDN w:val="0"/>
        <w:adjustRightInd w:val="0"/>
        <w:spacing w:after="240" w:line="480" w:lineRule="auto"/>
        <w:jc w:val="both"/>
        <w:rPr>
          <w:rFonts w:ascii="Times New Roman" w:hAnsi="Times New Roman" w:cs="Times New Roman"/>
        </w:rPr>
      </w:pPr>
      <w:r w:rsidRPr="0013086F">
        <w:rPr>
          <w:rFonts w:ascii="Times New Roman" w:hAnsi="Times New Roman" w:cs="Times New Roman"/>
        </w:rPr>
        <w:t>There is clear merit in reading Article 17 in accordance with grammar rules</w:t>
      </w:r>
      <w:r w:rsidR="00CF2E3C" w:rsidRPr="0013086F">
        <w:rPr>
          <w:rFonts w:ascii="Times New Roman" w:hAnsi="Times New Roman" w:cs="Times New Roman"/>
        </w:rPr>
        <w:t xml:space="preserve"> and attempting to discern the meaning that the drafters intended to give it. In my view, however, plain reading of Article 17 does not automatically lead to the </w:t>
      </w:r>
      <w:r w:rsidRPr="0013086F">
        <w:rPr>
          <w:rFonts w:ascii="Times New Roman" w:hAnsi="Times New Roman" w:cs="Times New Roman"/>
        </w:rPr>
        <w:t>denial of the ‘due process thesis’</w:t>
      </w:r>
      <w:r w:rsidR="00CF2E3C" w:rsidRPr="0013086F">
        <w:rPr>
          <w:rFonts w:ascii="Times New Roman" w:hAnsi="Times New Roman" w:cs="Times New Roman"/>
        </w:rPr>
        <w:t xml:space="preserve"> and</w:t>
      </w:r>
      <w:r w:rsidRPr="0013086F">
        <w:rPr>
          <w:rFonts w:ascii="Times New Roman" w:hAnsi="Times New Roman" w:cs="Times New Roman"/>
        </w:rPr>
        <w:t xml:space="preserve"> l</w:t>
      </w:r>
      <w:r w:rsidR="008906A9" w:rsidRPr="0013086F">
        <w:rPr>
          <w:rFonts w:ascii="Times New Roman" w:hAnsi="Times New Roman" w:cs="Times New Roman"/>
        </w:rPr>
        <w:t>eaves enough wiggle room for</w:t>
      </w:r>
      <w:r w:rsidR="00E41A8D" w:rsidRPr="0013086F">
        <w:rPr>
          <w:rFonts w:ascii="Times New Roman" w:hAnsi="Times New Roman" w:cs="Times New Roman"/>
        </w:rPr>
        <w:t xml:space="preserve"> </w:t>
      </w:r>
      <w:r w:rsidR="007B5F5A">
        <w:rPr>
          <w:rFonts w:ascii="Times New Roman" w:hAnsi="Times New Roman" w:cs="Times New Roman"/>
        </w:rPr>
        <w:t>ruling on admissibility</w:t>
      </w:r>
      <w:r w:rsidR="00E41A8D" w:rsidRPr="0013086F">
        <w:rPr>
          <w:rFonts w:ascii="Times New Roman" w:hAnsi="Times New Roman" w:cs="Times New Roman"/>
        </w:rPr>
        <w:t xml:space="preserve"> in instances</w:t>
      </w:r>
      <w:r w:rsidR="008906A9" w:rsidRPr="0013086F">
        <w:rPr>
          <w:rFonts w:ascii="Times New Roman" w:hAnsi="Times New Roman" w:cs="Times New Roman"/>
        </w:rPr>
        <w:t xml:space="preserve"> </w:t>
      </w:r>
      <w:r w:rsidRPr="0013086F">
        <w:rPr>
          <w:rFonts w:ascii="Times New Roman" w:hAnsi="Times New Roman" w:cs="Times New Roman"/>
        </w:rPr>
        <w:t xml:space="preserve">when national law makes it easier </w:t>
      </w:r>
      <w:r w:rsidR="008906A9" w:rsidRPr="0013086F">
        <w:rPr>
          <w:rFonts w:ascii="Times New Roman" w:hAnsi="Times New Roman" w:cs="Times New Roman"/>
          <w:i/>
        </w:rPr>
        <w:t>or</w:t>
      </w:r>
      <w:r w:rsidRPr="0013086F">
        <w:rPr>
          <w:rFonts w:ascii="Times New Roman" w:hAnsi="Times New Roman" w:cs="Times New Roman"/>
          <w:i/>
        </w:rPr>
        <w:t xml:space="preserve"> </w:t>
      </w:r>
      <w:r w:rsidRPr="0013086F">
        <w:rPr>
          <w:rFonts w:ascii="Times New Roman" w:hAnsi="Times New Roman" w:cs="Times New Roman"/>
        </w:rPr>
        <w:t xml:space="preserve">harder to convict an individual. Suggesting otherwise, would make subparagraph (c) </w:t>
      </w:r>
      <w:r w:rsidR="008906A9" w:rsidRPr="0013086F">
        <w:rPr>
          <w:rFonts w:ascii="Times New Roman" w:hAnsi="Times New Roman" w:cs="Times New Roman"/>
        </w:rPr>
        <w:t>redundant as it</w:t>
      </w:r>
      <w:r w:rsidR="00CF2E3C" w:rsidRPr="0013086F">
        <w:rPr>
          <w:rFonts w:ascii="Times New Roman" w:hAnsi="Times New Roman" w:cs="Times New Roman"/>
        </w:rPr>
        <w:t xml:space="preserve"> becomes nearly identical to</w:t>
      </w:r>
      <w:r w:rsidR="008906A9" w:rsidRPr="0013086F">
        <w:rPr>
          <w:rFonts w:ascii="Times New Roman" w:hAnsi="Times New Roman" w:cs="Times New Roman"/>
        </w:rPr>
        <w:t xml:space="preserve"> subparagraph</w:t>
      </w:r>
      <w:r w:rsidR="00C565E1">
        <w:rPr>
          <w:rFonts w:ascii="Times New Roman" w:hAnsi="Times New Roman" w:cs="Times New Roman"/>
        </w:rPr>
        <w:t xml:space="preserve"> (a), which provides that unwillingness occurs when</w:t>
      </w:r>
      <w:r w:rsidRPr="0013086F">
        <w:rPr>
          <w:rFonts w:ascii="Times New Roman" w:hAnsi="Times New Roman" w:cs="Times New Roman"/>
        </w:rPr>
        <w:t xml:space="preserve"> ‘</w:t>
      </w:r>
      <w:r w:rsidR="008906A9" w:rsidRPr="0013086F">
        <w:rPr>
          <w:rFonts w:ascii="Times New Roman" w:hAnsi="Times New Roman" w:cs="Times New Roman"/>
        </w:rPr>
        <w:t>[t]</w:t>
      </w:r>
      <w:r w:rsidRPr="0013086F">
        <w:rPr>
          <w:rFonts w:ascii="Times New Roman" w:hAnsi="Times New Roman" w:cs="Times New Roman"/>
        </w:rPr>
        <w:t>he proceedings were or are being undertaken or the national decision was made for the purpose of shielding the person concerned from criminal responsibility for crimes within the jurisdiction of the Court referred to in article 5.’</w:t>
      </w:r>
      <w:r w:rsidRPr="0013086F">
        <w:rPr>
          <w:rStyle w:val="FootnoteReference"/>
          <w:rFonts w:ascii="Times New Roman" w:hAnsi="Times New Roman" w:cs="Times New Roman"/>
        </w:rPr>
        <w:footnoteReference w:id="43"/>
      </w:r>
      <w:r w:rsidR="008906A9" w:rsidRPr="0013086F">
        <w:rPr>
          <w:rFonts w:ascii="Times New Roman" w:hAnsi="Times New Roman" w:cs="Times New Roman"/>
        </w:rPr>
        <w:t xml:space="preserve"> Since both clauses discuss lack of intent to bring </w:t>
      </w:r>
      <w:r w:rsidR="00CF2E3C" w:rsidRPr="0013086F">
        <w:rPr>
          <w:rFonts w:ascii="Times New Roman" w:hAnsi="Times New Roman" w:cs="Times New Roman"/>
        </w:rPr>
        <w:t>those responsible to</w:t>
      </w:r>
      <w:r w:rsidR="008906A9" w:rsidRPr="0013086F">
        <w:rPr>
          <w:rFonts w:ascii="Times New Roman" w:hAnsi="Times New Roman" w:cs="Times New Roman"/>
        </w:rPr>
        <w:t xml:space="preserve"> justice, the subtle difference seems to lie in the extra guarantee of independence and impartialit</w:t>
      </w:r>
      <w:r w:rsidR="001A079F" w:rsidRPr="0013086F">
        <w:rPr>
          <w:rFonts w:ascii="Times New Roman" w:hAnsi="Times New Roman" w:cs="Times New Roman"/>
        </w:rPr>
        <w:t>y enshrined in subparagraph (c).</w:t>
      </w:r>
      <w:r w:rsidR="008906A9" w:rsidRPr="0013086F">
        <w:rPr>
          <w:rFonts w:ascii="Times New Roman" w:hAnsi="Times New Roman" w:cs="Times New Roman"/>
        </w:rPr>
        <w:t xml:space="preserve"> </w:t>
      </w:r>
      <w:r w:rsidR="00DC2CB2" w:rsidRPr="0013086F">
        <w:rPr>
          <w:rFonts w:ascii="Times New Roman" w:hAnsi="Times New Roman" w:cs="Times New Roman"/>
        </w:rPr>
        <w:t xml:space="preserve">If </w:t>
      </w:r>
      <w:r w:rsidR="00307D92" w:rsidRPr="0013086F">
        <w:rPr>
          <w:rFonts w:ascii="Times New Roman" w:hAnsi="Times New Roman" w:cs="Times New Roman"/>
        </w:rPr>
        <w:t xml:space="preserve">impartiality and independence assessment is reserved </w:t>
      </w:r>
      <w:r w:rsidR="00DC2CB2" w:rsidRPr="0013086F">
        <w:rPr>
          <w:rFonts w:ascii="Times New Roman" w:hAnsi="Times New Roman" w:cs="Times New Roman"/>
        </w:rPr>
        <w:t xml:space="preserve">exclusively </w:t>
      </w:r>
      <w:r w:rsidR="00307D92" w:rsidRPr="0013086F">
        <w:rPr>
          <w:rFonts w:ascii="Times New Roman" w:hAnsi="Times New Roman" w:cs="Times New Roman"/>
        </w:rPr>
        <w:t>for</w:t>
      </w:r>
      <w:r w:rsidR="00DC2CB2" w:rsidRPr="0013086F">
        <w:rPr>
          <w:rFonts w:ascii="Times New Roman" w:hAnsi="Times New Roman" w:cs="Times New Roman"/>
        </w:rPr>
        <w:t xml:space="preserve"> the situations when an individual may escape justice, </w:t>
      </w:r>
      <w:r w:rsidR="00307D92" w:rsidRPr="0013086F">
        <w:rPr>
          <w:rFonts w:ascii="Times New Roman" w:hAnsi="Times New Roman" w:cs="Times New Roman"/>
        </w:rPr>
        <w:t xml:space="preserve">it is difficult to justify the existence of subparagraph (c) as an independent clause, for mere addition of ‘impartiality and independence’ to the wording of subparagraph (a) would suffice. </w:t>
      </w:r>
      <w:r w:rsidR="00182520">
        <w:rPr>
          <w:rFonts w:ascii="Times New Roman" w:hAnsi="Times New Roman" w:cs="Times New Roman"/>
        </w:rPr>
        <w:t>The conclusion that follows is that the provisions on admissibility</w:t>
      </w:r>
      <w:r w:rsidR="00153BF1">
        <w:rPr>
          <w:rFonts w:ascii="Times New Roman" w:hAnsi="Times New Roman" w:cs="Times New Roman"/>
        </w:rPr>
        <w:t xml:space="preserve"> as formulated in the Rome Statute</w:t>
      </w:r>
      <w:r w:rsidR="00182520">
        <w:rPr>
          <w:rFonts w:ascii="Times New Roman" w:hAnsi="Times New Roman" w:cs="Times New Roman"/>
        </w:rPr>
        <w:t xml:space="preserve"> are at the very least unclear with respect to the level of human </w:t>
      </w:r>
      <w:r w:rsidR="00153BF1">
        <w:rPr>
          <w:rFonts w:ascii="Times New Roman" w:hAnsi="Times New Roman" w:cs="Times New Roman"/>
        </w:rPr>
        <w:t>rights protection they grant to suspects or any other parties to domestic proceedings</w:t>
      </w:r>
      <w:r w:rsidR="00182520">
        <w:rPr>
          <w:rFonts w:ascii="Times New Roman" w:hAnsi="Times New Roman" w:cs="Times New Roman"/>
        </w:rPr>
        <w:t xml:space="preserve">. The other provisions </w:t>
      </w:r>
      <w:r w:rsidR="00182520" w:rsidRPr="0013086F">
        <w:rPr>
          <w:rFonts w:ascii="Times New Roman" w:hAnsi="Times New Roman" w:cs="Times New Roman"/>
        </w:rPr>
        <w:t>of the Rome Statute</w:t>
      </w:r>
      <w:r w:rsidR="00182520">
        <w:rPr>
          <w:rFonts w:ascii="Times New Roman" w:hAnsi="Times New Roman" w:cs="Times New Roman"/>
        </w:rPr>
        <w:t xml:space="preserve"> and the Rules of Evidence of Procedure</w:t>
      </w:r>
      <w:r w:rsidR="00182520" w:rsidRPr="0013086F">
        <w:rPr>
          <w:rFonts w:ascii="Times New Roman" w:hAnsi="Times New Roman" w:cs="Times New Roman"/>
        </w:rPr>
        <w:t xml:space="preserve"> </w:t>
      </w:r>
      <w:r w:rsidR="00D3548C">
        <w:rPr>
          <w:rFonts w:ascii="Times New Roman" w:hAnsi="Times New Roman" w:cs="Times New Roman"/>
        </w:rPr>
        <w:t xml:space="preserve">expressly </w:t>
      </w:r>
      <w:r w:rsidR="00182520">
        <w:rPr>
          <w:rFonts w:ascii="Times New Roman" w:hAnsi="Times New Roman" w:cs="Times New Roman"/>
        </w:rPr>
        <w:t xml:space="preserve">upholding human rights </w:t>
      </w:r>
      <w:r w:rsidR="00D3548C">
        <w:rPr>
          <w:rFonts w:ascii="Times New Roman" w:hAnsi="Times New Roman" w:cs="Times New Roman"/>
        </w:rPr>
        <w:t xml:space="preserve">and due process guarantees </w:t>
      </w:r>
      <w:r w:rsidR="00182520">
        <w:rPr>
          <w:rFonts w:ascii="Times New Roman" w:hAnsi="Times New Roman" w:cs="Times New Roman"/>
        </w:rPr>
        <w:t>do not dispel this ambiguity.</w:t>
      </w:r>
    </w:p>
    <w:p w14:paraId="7AD5CBB6" w14:textId="5FB885D9" w:rsidR="009F2051" w:rsidRPr="0013086F" w:rsidRDefault="00B9543E" w:rsidP="006066C4">
      <w:pPr>
        <w:spacing w:line="480" w:lineRule="auto"/>
        <w:jc w:val="both"/>
        <w:rPr>
          <w:rFonts w:ascii="Times New Roman" w:hAnsi="Times New Roman" w:cs="Times New Roman"/>
        </w:rPr>
      </w:pPr>
      <w:r w:rsidRPr="0013086F">
        <w:rPr>
          <w:rFonts w:ascii="Times New Roman" w:hAnsi="Times New Roman" w:cs="Times New Roman"/>
        </w:rPr>
        <w:t xml:space="preserve">Returning to the </w:t>
      </w:r>
      <w:r w:rsidRPr="0013086F">
        <w:rPr>
          <w:rFonts w:ascii="Times New Roman" w:hAnsi="Times New Roman" w:cs="Times New Roman"/>
          <w:i/>
        </w:rPr>
        <w:t>Al Senussi</w:t>
      </w:r>
      <w:r w:rsidRPr="0013086F">
        <w:rPr>
          <w:rFonts w:ascii="Times New Roman" w:hAnsi="Times New Roman" w:cs="Times New Roman"/>
        </w:rPr>
        <w:t xml:space="preserve"> case, i</w:t>
      </w:r>
      <w:r w:rsidR="00BC6918" w:rsidRPr="0013086F">
        <w:rPr>
          <w:rFonts w:ascii="Times New Roman" w:hAnsi="Times New Roman" w:cs="Times New Roman"/>
        </w:rPr>
        <w:t xml:space="preserve">t is essential to note upfront that in assessing the arguments put before it, the Appeals Chamber </w:t>
      </w:r>
      <w:r w:rsidR="008A26F9" w:rsidRPr="0013086F">
        <w:rPr>
          <w:rFonts w:ascii="Times New Roman" w:hAnsi="Times New Roman" w:cs="Times New Roman"/>
        </w:rPr>
        <w:t xml:space="preserve">only </w:t>
      </w:r>
      <w:r w:rsidR="00BC6918" w:rsidRPr="0013086F">
        <w:rPr>
          <w:rFonts w:ascii="Times New Roman" w:hAnsi="Times New Roman" w:cs="Times New Roman"/>
        </w:rPr>
        <w:t>determine</w:t>
      </w:r>
      <w:r w:rsidR="008A26F9" w:rsidRPr="0013086F">
        <w:rPr>
          <w:rFonts w:ascii="Times New Roman" w:hAnsi="Times New Roman" w:cs="Times New Roman"/>
        </w:rPr>
        <w:t>d</w:t>
      </w:r>
      <w:r w:rsidR="00BC6918" w:rsidRPr="0013086F">
        <w:rPr>
          <w:rFonts w:ascii="Times New Roman" w:hAnsi="Times New Roman" w:cs="Times New Roman"/>
        </w:rPr>
        <w:t xml:space="preserve"> whether the Pre-Trial Chamber’s approach </w:t>
      </w:r>
      <w:r w:rsidR="008A26F9" w:rsidRPr="0013086F">
        <w:rPr>
          <w:rFonts w:ascii="Times New Roman" w:hAnsi="Times New Roman" w:cs="Times New Roman"/>
        </w:rPr>
        <w:t xml:space="preserve">was </w:t>
      </w:r>
      <w:r w:rsidR="00253ECC">
        <w:rPr>
          <w:rFonts w:ascii="Times New Roman" w:hAnsi="Times New Roman" w:cs="Times New Roman"/>
        </w:rPr>
        <w:t>“</w:t>
      </w:r>
      <w:r w:rsidR="00BC6918" w:rsidRPr="0013086F">
        <w:rPr>
          <w:rFonts w:ascii="Times New Roman" w:hAnsi="Times New Roman" w:cs="Times New Roman"/>
        </w:rPr>
        <w:t>so unfair and unreasonable as to co</w:t>
      </w:r>
      <w:r w:rsidR="00253ECC">
        <w:rPr>
          <w:rFonts w:ascii="Times New Roman" w:hAnsi="Times New Roman" w:cs="Times New Roman"/>
        </w:rPr>
        <w:t>nstitute an abuse of discretion”</w:t>
      </w:r>
      <w:r w:rsidR="00BC6918" w:rsidRPr="0013086F">
        <w:rPr>
          <w:rFonts w:ascii="Times New Roman" w:hAnsi="Times New Roman" w:cs="Times New Roman"/>
        </w:rPr>
        <w:t>.</w:t>
      </w:r>
      <w:r w:rsidR="00BC6918" w:rsidRPr="0013086F">
        <w:rPr>
          <w:rStyle w:val="FootnoteReference"/>
          <w:rFonts w:ascii="Times New Roman" w:hAnsi="Times New Roman" w:cs="Times New Roman"/>
        </w:rPr>
        <w:footnoteReference w:id="44"/>
      </w:r>
      <w:r w:rsidR="008A26F9" w:rsidRPr="0013086F">
        <w:rPr>
          <w:rFonts w:ascii="Times New Roman" w:hAnsi="Times New Roman" w:cs="Times New Roman"/>
        </w:rPr>
        <w:t xml:space="preserve"> This consideration effectively limited the scope of the analysis of the appellate judges. For example, the argument that no ex parte </w:t>
      </w:r>
      <w:r w:rsidR="00721EE8" w:rsidRPr="0013086F">
        <w:rPr>
          <w:rFonts w:ascii="Times New Roman" w:hAnsi="Times New Roman" w:cs="Times New Roman"/>
        </w:rPr>
        <w:t xml:space="preserve">material should have been used to the detriment of the Defence was dismissed precisely on this ground. The Appeals Chamber ruled that there was no abuse of discretion </w:t>
      </w:r>
      <w:r w:rsidR="00526241" w:rsidRPr="0013086F">
        <w:rPr>
          <w:rFonts w:ascii="Times New Roman" w:hAnsi="Times New Roman" w:cs="Times New Roman"/>
        </w:rPr>
        <w:t xml:space="preserve">by the lower instance </w:t>
      </w:r>
      <w:r w:rsidR="00721EE8" w:rsidRPr="0013086F">
        <w:rPr>
          <w:rFonts w:ascii="Times New Roman" w:hAnsi="Times New Roman" w:cs="Times New Roman"/>
        </w:rPr>
        <w:t>because the purpose of the admissibility proceedings is to establish whether Libya is investigating the same case and not to determine the criminal responsibility of the suspect.</w:t>
      </w:r>
      <w:r w:rsidR="00721EE8" w:rsidRPr="0013086F">
        <w:rPr>
          <w:rStyle w:val="FootnoteReference"/>
          <w:rFonts w:ascii="Times New Roman" w:hAnsi="Times New Roman" w:cs="Times New Roman"/>
        </w:rPr>
        <w:footnoteReference w:id="45"/>
      </w:r>
      <w:r w:rsidR="005F1711" w:rsidRPr="0013086F">
        <w:rPr>
          <w:rFonts w:ascii="Times New Roman" w:hAnsi="Times New Roman" w:cs="Times New Roman"/>
        </w:rPr>
        <w:t xml:space="preserve"> </w:t>
      </w:r>
    </w:p>
    <w:p w14:paraId="76F4FD4D" w14:textId="77777777" w:rsidR="009F2051" w:rsidRPr="0013086F" w:rsidRDefault="009F2051" w:rsidP="006066C4">
      <w:pPr>
        <w:spacing w:line="480" w:lineRule="auto"/>
        <w:jc w:val="both"/>
        <w:rPr>
          <w:rFonts w:ascii="Times New Roman" w:hAnsi="Times New Roman" w:cs="Times New Roman"/>
        </w:rPr>
      </w:pPr>
    </w:p>
    <w:p w14:paraId="4B117AC9" w14:textId="7D718070" w:rsidR="008E45D5" w:rsidRPr="0013086F" w:rsidRDefault="00610D9A" w:rsidP="006066C4">
      <w:pPr>
        <w:spacing w:line="480" w:lineRule="auto"/>
        <w:jc w:val="both"/>
        <w:rPr>
          <w:rFonts w:ascii="Times New Roman" w:hAnsi="Times New Roman" w:cs="Times New Roman"/>
        </w:rPr>
      </w:pPr>
      <w:r w:rsidRPr="0013086F">
        <w:rPr>
          <w:rFonts w:ascii="Times New Roman" w:hAnsi="Times New Roman" w:cs="Times New Roman"/>
        </w:rPr>
        <w:t>The main claim of the Defence was that the Pre-Trial Chamber abused its discretion in finding that Libya is not unwilling and unable to genuinely carry out the proceedings.</w:t>
      </w:r>
      <w:r w:rsidRPr="0013086F">
        <w:rPr>
          <w:rStyle w:val="FootnoteReference"/>
          <w:rFonts w:ascii="Times New Roman" w:hAnsi="Times New Roman" w:cs="Times New Roman"/>
        </w:rPr>
        <w:footnoteReference w:id="46"/>
      </w:r>
      <w:r w:rsidRPr="0013086F">
        <w:rPr>
          <w:rFonts w:ascii="Times New Roman" w:hAnsi="Times New Roman" w:cs="Times New Roman"/>
        </w:rPr>
        <w:t xml:space="preserve"> One of the central points of contention during the pre-trial proceedings was the lack of legal representation of the suspect during the investigations in Libya.</w:t>
      </w:r>
      <w:r w:rsidRPr="0013086F">
        <w:rPr>
          <w:rStyle w:val="FootnoteReference"/>
          <w:rFonts w:ascii="Times New Roman" w:hAnsi="Times New Roman" w:cs="Times New Roman"/>
        </w:rPr>
        <w:footnoteReference w:id="47"/>
      </w:r>
      <w:r w:rsidRPr="0013086F">
        <w:rPr>
          <w:rFonts w:ascii="Times New Roman" w:hAnsi="Times New Roman" w:cs="Times New Roman"/>
        </w:rPr>
        <w:t xml:space="preserve"> </w:t>
      </w:r>
      <w:r w:rsidR="00250A65" w:rsidRPr="0013086F">
        <w:rPr>
          <w:rFonts w:ascii="Times New Roman" w:hAnsi="Times New Roman" w:cs="Times New Roman"/>
        </w:rPr>
        <w:t xml:space="preserve">The </w:t>
      </w:r>
      <w:r w:rsidR="00F027CE" w:rsidRPr="0013086F">
        <w:rPr>
          <w:rFonts w:ascii="Times New Roman" w:hAnsi="Times New Roman" w:cs="Times New Roman"/>
        </w:rPr>
        <w:t>Pre-Trial Chamber concluded that the lack of legal representation d</w:t>
      </w:r>
      <w:r w:rsidR="00EE0FAB" w:rsidRPr="0013086F">
        <w:rPr>
          <w:rFonts w:ascii="Times New Roman" w:hAnsi="Times New Roman" w:cs="Times New Roman"/>
        </w:rPr>
        <w:t>id</w:t>
      </w:r>
      <w:r w:rsidR="00F027CE" w:rsidRPr="0013086F">
        <w:rPr>
          <w:rFonts w:ascii="Times New Roman" w:hAnsi="Times New Roman" w:cs="Times New Roman"/>
        </w:rPr>
        <w:t xml:space="preserve"> not render Libya unwilling </w:t>
      </w:r>
      <w:r w:rsidR="00A16B3A">
        <w:rPr>
          <w:rFonts w:ascii="Times New Roman" w:hAnsi="Times New Roman" w:cs="Times New Roman"/>
        </w:rPr>
        <w:t>since</w:t>
      </w:r>
      <w:r w:rsidR="00F027CE" w:rsidRPr="0013086F">
        <w:rPr>
          <w:rFonts w:ascii="Times New Roman" w:hAnsi="Times New Roman" w:cs="Times New Roman"/>
        </w:rPr>
        <w:t xml:space="preserve"> it </w:t>
      </w:r>
      <w:r w:rsidR="00EE0FAB" w:rsidRPr="0013086F">
        <w:rPr>
          <w:rFonts w:ascii="Times New Roman" w:hAnsi="Times New Roman" w:cs="Times New Roman"/>
        </w:rPr>
        <w:t>was</w:t>
      </w:r>
      <w:r w:rsidR="00F027CE" w:rsidRPr="0013086F">
        <w:rPr>
          <w:rFonts w:ascii="Times New Roman" w:hAnsi="Times New Roman" w:cs="Times New Roman"/>
        </w:rPr>
        <w:t xml:space="preserve"> caused by the objective security situation on the ground. This, however, did not imply that Libya would be unable to provide legal representation in the future judicial proceedings. Moreover, Libya was not unable because it obtained the suspect held in its custody and the security situation still allowed local authority to collect evidence.</w:t>
      </w:r>
      <w:r w:rsidR="00F027CE" w:rsidRPr="0013086F">
        <w:rPr>
          <w:rStyle w:val="FootnoteReference"/>
          <w:rFonts w:ascii="Times New Roman" w:hAnsi="Times New Roman" w:cs="Times New Roman"/>
        </w:rPr>
        <w:footnoteReference w:id="48"/>
      </w:r>
      <w:r w:rsidR="00E7565C" w:rsidRPr="0013086F">
        <w:rPr>
          <w:rFonts w:ascii="Times New Roman" w:hAnsi="Times New Roman" w:cs="Times New Roman"/>
        </w:rPr>
        <w:t xml:space="preserve"> </w:t>
      </w:r>
      <w:r w:rsidR="00B8486C" w:rsidRPr="0013086F">
        <w:rPr>
          <w:rFonts w:ascii="Times New Roman" w:hAnsi="Times New Roman" w:cs="Times New Roman"/>
        </w:rPr>
        <w:t xml:space="preserve">The Defence team </w:t>
      </w:r>
      <w:r w:rsidR="00C71345" w:rsidRPr="0013086F">
        <w:rPr>
          <w:rFonts w:ascii="Times New Roman" w:hAnsi="Times New Roman" w:cs="Times New Roman"/>
        </w:rPr>
        <w:t>disputed this assess</w:t>
      </w:r>
      <w:r w:rsidR="00B8486C" w:rsidRPr="0013086F">
        <w:rPr>
          <w:rFonts w:ascii="Times New Roman" w:hAnsi="Times New Roman" w:cs="Times New Roman"/>
        </w:rPr>
        <w:t>ment before the appellate panel pointing to a number of</w:t>
      </w:r>
      <w:r w:rsidR="00C71345" w:rsidRPr="0013086F">
        <w:rPr>
          <w:rFonts w:ascii="Times New Roman" w:hAnsi="Times New Roman" w:cs="Times New Roman"/>
        </w:rPr>
        <w:t xml:space="preserve"> shortcomings </w:t>
      </w:r>
      <w:r w:rsidR="00EE0FAB" w:rsidRPr="0013086F">
        <w:rPr>
          <w:rFonts w:ascii="Times New Roman" w:hAnsi="Times New Roman" w:cs="Times New Roman"/>
        </w:rPr>
        <w:t>of the local criminal justice system.</w:t>
      </w:r>
      <w:r w:rsidR="00EE0FAB" w:rsidRPr="0013086F">
        <w:rPr>
          <w:rStyle w:val="FootnoteReference"/>
          <w:rFonts w:ascii="Times New Roman" w:hAnsi="Times New Roman" w:cs="Times New Roman"/>
        </w:rPr>
        <w:footnoteReference w:id="49"/>
      </w:r>
      <w:r w:rsidR="00EE0FAB" w:rsidRPr="0013086F">
        <w:rPr>
          <w:rFonts w:ascii="Times New Roman" w:hAnsi="Times New Roman" w:cs="Times New Roman"/>
        </w:rPr>
        <w:t xml:space="preserve"> </w:t>
      </w:r>
    </w:p>
    <w:p w14:paraId="780B7254" w14:textId="77777777" w:rsidR="00250A65" w:rsidRPr="0013086F" w:rsidRDefault="00250A65" w:rsidP="006066C4">
      <w:pPr>
        <w:spacing w:line="480" w:lineRule="auto"/>
        <w:jc w:val="both"/>
        <w:rPr>
          <w:rFonts w:ascii="Times New Roman" w:hAnsi="Times New Roman" w:cs="Times New Roman"/>
        </w:rPr>
      </w:pPr>
    </w:p>
    <w:p w14:paraId="61A1420A" w14:textId="26D8CC69" w:rsidR="003C6170" w:rsidRPr="0013086F" w:rsidRDefault="00B57D93" w:rsidP="006066C4">
      <w:pPr>
        <w:widowControl w:val="0"/>
        <w:autoSpaceDE w:val="0"/>
        <w:autoSpaceDN w:val="0"/>
        <w:adjustRightInd w:val="0"/>
        <w:spacing w:after="240" w:line="480" w:lineRule="auto"/>
        <w:jc w:val="both"/>
        <w:rPr>
          <w:rFonts w:ascii="Times New Roman" w:hAnsi="Times New Roman" w:cs="Times New Roman"/>
        </w:rPr>
      </w:pPr>
      <w:r w:rsidRPr="0013086F">
        <w:rPr>
          <w:rFonts w:ascii="Times New Roman" w:hAnsi="Times New Roman" w:cs="Times New Roman"/>
        </w:rPr>
        <w:t xml:space="preserve">The Defence </w:t>
      </w:r>
      <w:r w:rsidR="000C1F23" w:rsidRPr="0013086F">
        <w:rPr>
          <w:rFonts w:ascii="Times New Roman" w:hAnsi="Times New Roman" w:cs="Times New Roman"/>
        </w:rPr>
        <w:t xml:space="preserve">specifically </w:t>
      </w:r>
      <w:r w:rsidR="00A16B3A">
        <w:rPr>
          <w:rFonts w:ascii="Times New Roman" w:hAnsi="Times New Roman" w:cs="Times New Roman"/>
        </w:rPr>
        <w:t>highlighted</w:t>
      </w:r>
      <w:r w:rsidRPr="0013086F">
        <w:rPr>
          <w:rFonts w:ascii="Times New Roman" w:hAnsi="Times New Roman" w:cs="Times New Roman"/>
        </w:rPr>
        <w:t xml:space="preserve"> that the Pre-Trial Chamber should not have proceeded with determining admissibility of the case when Mr. Al Senussi did not have an oppor</w:t>
      </w:r>
      <w:r w:rsidR="009E429E" w:rsidRPr="0013086F">
        <w:rPr>
          <w:rFonts w:ascii="Times New Roman" w:hAnsi="Times New Roman" w:cs="Times New Roman"/>
        </w:rPr>
        <w:t xml:space="preserve">tunity to instruct his </w:t>
      </w:r>
      <w:r w:rsidR="003C6170" w:rsidRPr="0013086F">
        <w:rPr>
          <w:rFonts w:ascii="Times New Roman" w:hAnsi="Times New Roman" w:cs="Times New Roman"/>
        </w:rPr>
        <w:t>international counsel.</w:t>
      </w:r>
      <w:r w:rsidR="009E429E" w:rsidRPr="0013086F">
        <w:rPr>
          <w:rFonts w:ascii="Times New Roman" w:hAnsi="Times New Roman" w:cs="Times New Roman"/>
        </w:rPr>
        <w:t xml:space="preserve"> </w:t>
      </w:r>
      <w:r w:rsidR="005B6218" w:rsidRPr="0013086F">
        <w:rPr>
          <w:rFonts w:ascii="Times New Roman" w:hAnsi="Times New Roman" w:cs="Times New Roman"/>
        </w:rPr>
        <w:t xml:space="preserve">The Defence also emphasized the lack of domestic legal representation of Mr. Al Senussi during the proceedings in Libya. </w:t>
      </w:r>
      <w:r w:rsidR="009E429E" w:rsidRPr="0013086F">
        <w:rPr>
          <w:rFonts w:ascii="Times New Roman" w:hAnsi="Times New Roman" w:cs="Times New Roman"/>
        </w:rPr>
        <w:t xml:space="preserve">The Appeals Chamber dismissed </w:t>
      </w:r>
      <w:r w:rsidR="005B6218" w:rsidRPr="0013086F">
        <w:rPr>
          <w:rFonts w:ascii="Times New Roman" w:hAnsi="Times New Roman" w:cs="Times New Roman"/>
        </w:rPr>
        <w:t>the former argument</w:t>
      </w:r>
      <w:r w:rsidR="00E7565C" w:rsidRPr="0013086F">
        <w:rPr>
          <w:rFonts w:ascii="Times New Roman" w:hAnsi="Times New Roman" w:cs="Times New Roman"/>
        </w:rPr>
        <w:t xml:space="preserve">, </w:t>
      </w:r>
      <w:r w:rsidR="009E1770" w:rsidRPr="0013086F">
        <w:rPr>
          <w:rFonts w:ascii="Times New Roman" w:hAnsi="Times New Roman" w:cs="Times New Roman"/>
        </w:rPr>
        <w:t>upholding</w:t>
      </w:r>
      <w:r w:rsidR="009E429E" w:rsidRPr="0013086F">
        <w:rPr>
          <w:rFonts w:ascii="Times New Roman" w:hAnsi="Times New Roman" w:cs="Times New Roman"/>
        </w:rPr>
        <w:t xml:space="preserve"> the discretion of the Pre-Trial Chamber to determine the scope of the participatory rights of the suspect in the proceedings. </w:t>
      </w:r>
      <w:r w:rsidR="009E1770" w:rsidRPr="0013086F">
        <w:rPr>
          <w:rFonts w:ascii="Times New Roman" w:hAnsi="Times New Roman" w:cs="Times New Roman"/>
        </w:rPr>
        <w:t xml:space="preserve">The reference was made to largely procedural provision of the </w:t>
      </w:r>
      <w:r w:rsidR="00EC0B41" w:rsidRPr="0013086F">
        <w:rPr>
          <w:rFonts w:ascii="Times New Roman" w:hAnsi="Times New Roman" w:cs="Times New Roman"/>
        </w:rPr>
        <w:t>Rules of Evidence and Procedure</w:t>
      </w:r>
      <w:r w:rsidR="009E1770" w:rsidRPr="0013086F">
        <w:rPr>
          <w:rFonts w:ascii="Times New Roman" w:hAnsi="Times New Roman" w:cs="Times New Roman"/>
        </w:rPr>
        <w:t xml:space="preserve"> that enables the Chamber to determine the modalities of the </w:t>
      </w:r>
      <w:r w:rsidR="00744852" w:rsidRPr="0013086F">
        <w:rPr>
          <w:rFonts w:ascii="Times New Roman" w:hAnsi="Times New Roman" w:cs="Times New Roman"/>
        </w:rPr>
        <w:t>proceedings concerning jurisdiction or admissibility.</w:t>
      </w:r>
      <w:r w:rsidR="00744852" w:rsidRPr="0013086F">
        <w:rPr>
          <w:rStyle w:val="FootnoteReference"/>
          <w:rFonts w:ascii="Times New Roman" w:hAnsi="Times New Roman" w:cs="Times New Roman"/>
        </w:rPr>
        <w:footnoteReference w:id="50"/>
      </w:r>
      <w:r w:rsidR="00744852" w:rsidRPr="0013086F">
        <w:rPr>
          <w:rFonts w:ascii="Times New Roman" w:hAnsi="Times New Roman" w:cs="Times New Roman"/>
        </w:rPr>
        <w:t xml:space="preserve"> The appellat</w:t>
      </w:r>
      <w:r w:rsidR="00BB03EC" w:rsidRPr="0013086F">
        <w:rPr>
          <w:rFonts w:ascii="Times New Roman" w:hAnsi="Times New Roman" w:cs="Times New Roman"/>
        </w:rPr>
        <w:t>e judges drew a line between</w:t>
      </w:r>
      <w:r w:rsidR="00744852" w:rsidRPr="0013086F">
        <w:rPr>
          <w:rFonts w:ascii="Times New Roman" w:hAnsi="Times New Roman" w:cs="Times New Roman"/>
        </w:rPr>
        <w:t xml:space="preserve"> </w:t>
      </w:r>
      <w:r w:rsidR="00744852" w:rsidRPr="0013086F">
        <w:rPr>
          <w:rFonts w:ascii="Times New Roman" w:hAnsi="Times New Roman" w:cs="Times New Roman"/>
          <w:i/>
        </w:rPr>
        <w:t>any</w:t>
      </w:r>
      <w:r w:rsidR="00744852" w:rsidRPr="0013086F">
        <w:rPr>
          <w:rFonts w:ascii="Times New Roman" w:hAnsi="Times New Roman" w:cs="Times New Roman"/>
        </w:rPr>
        <w:t xml:space="preserve"> suspect and suspect either surrendered to the Court or appearing before it. Only the latter category benefitted from participatory rights and other guarantees, while the rights of the former group were left </w:t>
      </w:r>
      <w:r w:rsidR="00E7565C" w:rsidRPr="0013086F">
        <w:rPr>
          <w:rFonts w:ascii="Times New Roman" w:hAnsi="Times New Roman" w:cs="Times New Roman"/>
        </w:rPr>
        <w:t>to</w:t>
      </w:r>
      <w:r w:rsidR="00744852" w:rsidRPr="0013086F">
        <w:rPr>
          <w:rFonts w:ascii="Times New Roman" w:hAnsi="Times New Roman" w:cs="Times New Roman"/>
        </w:rPr>
        <w:t xml:space="preserve"> the discretion of the Pre-Trial Chamber.</w:t>
      </w:r>
      <w:r w:rsidR="00744852" w:rsidRPr="0013086F">
        <w:rPr>
          <w:rStyle w:val="FootnoteReference"/>
          <w:rFonts w:ascii="Times New Roman" w:hAnsi="Times New Roman" w:cs="Times New Roman"/>
        </w:rPr>
        <w:footnoteReference w:id="51"/>
      </w:r>
      <w:r w:rsidR="00744852" w:rsidRPr="0013086F">
        <w:rPr>
          <w:rFonts w:ascii="Times New Roman" w:hAnsi="Times New Roman" w:cs="Times New Roman"/>
        </w:rPr>
        <w:t xml:space="preserve"> </w:t>
      </w:r>
      <w:r w:rsidR="00762E31" w:rsidRPr="0013086F">
        <w:rPr>
          <w:rFonts w:ascii="Times New Roman" w:hAnsi="Times New Roman" w:cs="Times New Roman"/>
        </w:rPr>
        <w:t>The</w:t>
      </w:r>
      <w:r w:rsidR="003B79DC" w:rsidRPr="0013086F">
        <w:rPr>
          <w:rFonts w:ascii="Times New Roman" w:hAnsi="Times New Roman" w:cs="Times New Roman"/>
        </w:rPr>
        <w:t xml:space="preserve"> Appeals Chamber </w:t>
      </w:r>
      <w:r w:rsidR="00250A65" w:rsidRPr="0013086F">
        <w:rPr>
          <w:rFonts w:ascii="Times New Roman" w:hAnsi="Times New Roman" w:cs="Times New Roman"/>
        </w:rPr>
        <w:t xml:space="preserve">also </w:t>
      </w:r>
      <w:r w:rsidR="003B79DC" w:rsidRPr="0013086F">
        <w:rPr>
          <w:rFonts w:ascii="Times New Roman" w:hAnsi="Times New Roman" w:cs="Times New Roman"/>
        </w:rPr>
        <w:t xml:space="preserve">rejected </w:t>
      </w:r>
      <w:r w:rsidR="005B6218" w:rsidRPr="0013086F">
        <w:rPr>
          <w:rFonts w:ascii="Times New Roman" w:hAnsi="Times New Roman" w:cs="Times New Roman"/>
        </w:rPr>
        <w:t>the later assertion</w:t>
      </w:r>
      <w:r w:rsidR="000634DB" w:rsidRPr="0013086F">
        <w:rPr>
          <w:rFonts w:ascii="Times New Roman" w:hAnsi="Times New Roman" w:cs="Times New Roman"/>
        </w:rPr>
        <w:t xml:space="preserve"> regarding the lack of domestic legal representation</w:t>
      </w:r>
      <w:r w:rsidR="005B6218" w:rsidRPr="0013086F">
        <w:rPr>
          <w:rFonts w:ascii="Times New Roman" w:hAnsi="Times New Roman" w:cs="Times New Roman"/>
        </w:rPr>
        <w:t>.</w:t>
      </w:r>
      <w:r w:rsidR="00762E31" w:rsidRPr="0013086F">
        <w:rPr>
          <w:rFonts w:ascii="Times New Roman" w:hAnsi="Times New Roman" w:cs="Times New Roman"/>
        </w:rPr>
        <w:t xml:space="preserve"> It acknowledge</w:t>
      </w:r>
      <w:r w:rsidR="008A632A" w:rsidRPr="0013086F">
        <w:rPr>
          <w:rFonts w:ascii="Times New Roman" w:hAnsi="Times New Roman" w:cs="Times New Roman"/>
        </w:rPr>
        <w:t>d</w:t>
      </w:r>
      <w:r w:rsidR="00762E31" w:rsidRPr="0013086F">
        <w:rPr>
          <w:rFonts w:ascii="Times New Roman" w:hAnsi="Times New Roman" w:cs="Times New Roman"/>
        </w:rPr>
        <w:t xml:space="preserve"> </w:t>
      </w:r>
      <w:r w:rsidR="000634DB" w:rsidRPr="0013086F">
        <w:rPr>
          <w:rFonts w:ascii="Times New Roman" w:hAnsi="Times New Roman" w:cs="Times New Roman"/>
        </w:rPr>
        <w:t>that this issue</w:t>
      </w:r>
      <w:r w:rsidR="00762E31" w:rsidRPr="0013086F">
        <w:rPr>
          <w:rFonts w:ascii="Times New Roman" w:hAnsi="Times New Roman" w:cs="Times New Roman"/>
        </w:rPr>
        <w:t xml:space="preserve"> may become fata</w:t>
      </w:r>
      <w:r w:rsidR="008A632A" w:rsidRPr="0013086F">
        <w:rPr>
          <w:rFonts w:ascii="Times New Roman" w:hAnsi="Times New Roman" w:cs="Times New Roman"/>
        </w:rPr>
        <w:t>l in the case but</w:t>
      </w:r>
      <w:r w:rsidR="003C6170" w:rsidRPr="0013086F">
        <w:rPr>
          <w:rFonts w:ascii="Times New Roman" w:hAnsi="Times New Roman" w:cs="Times New Roman"/>
        </w:rPr>
        <w:t xml:space="preserve"> </w:t>
      </w:r>
      <w:r w:rsidR="00762E31" w:rsidRPr="0013086F">
        <w:rPr>
          <w:rFonts w:ascii="Times New Roman" w:hAnsi="Times New Roman" w:cs="Times New Roman"/>
        </w:rPr>
        <w:t>it was not Libya’s unwillingness that prevented the appointment of legal counsel in domestic proceedings but rather the security situation in the country.</w:t>
      </w:r>
      <w:r w:rsidR="00762E31" w:rsidRPr="0013086F">
        <w:rPr>
          <w:rStyle w:val="FootnoteReference"/>
          <w:rFonts w:ascii="Times New Roman" w:hAnsi="Times New Roman" w:cs="Times New Roman"/>
        </w:rPr>
        <w:footnoteReference w:id="52"/>
      </w:r>
      <w:r w:rsidR="00762E31" w:rsidRPr="0013086F">
        <w:rPr>
          <w:rFonts w:ascii="Times New Roman" w:hAnsi="Times New Roman" w:cs="Times New Roman"/>
        </w:rPr>
        <w:t xml:space="preserve"> </w:t>
      </w:r>
    </w:p>
    <w:p w14:paraId="07D1B896" w14:textId="6626956F" w:rsidR="000634DB" w:rsidRPr="0013086F" w:rsidRDefault="000634DB" w:rsidP="006066C4">
      <w:pPr>
        <w:spacing w:line="480" w:lineRule="auto"/>
        <w:jc w:val="both"/>
        <w:rPr>
          <w:rFonts w:ascii="Times New Roman" w:hAnsi="Times New Roman" w:cs="Times New Roman"/>
        </w:rPr>
      </w:pPr>
      <w:r w:rsidRPr="0013086F">
        <w:rPr>
          <w:rFonts w:ascii="Times New Roman" w:hAnsi="Times New Roman" w:cs="Times New Roman"/>
        </w:rPr>
        <w:t xml:space="preserve">The Appeal Chamber dismissed </w:t>
      </w:r>
      <w:r w:rsidR="00363E0F" w:rsidRPr="0013086F">
        <w:rPr>
          <w:rFonts w:ascii="Times New Roman" w:hAnsi="Times New Roman" w:cs="Times New Roman"/>
        </w:rPr>
        <w:t xml:space="preserve">as speculative </w:t>
      </w:r>
      <w:r w:rsidRPr="0013086F">
        <w:rPr>
          <w:rFonts w:ascii="Times New Roman" w:hAnsi="Times New Roman" w:cs="Times New Roman"/>
        </w:rPr>
        <w:t>other arguments by Defence concerning Libya’s lack of independent judiciary threatening the accused with death penalty and</w:t>
      </w:r>
      <w:r w:rsidR="00363E0F" w:rsidRPr="0013086F">
        <w:rPr>
          <w:rFonts w:ascii="Times New Roman" w:hAnsi="Times New Roman" w:cs="Times New Roman"/>
        </w:rPr>
        <w:t xml:space="preserve"> a pre-determined outcome</w:t>
      </w:r>
      <w:r w:rsidRPr="0013086F">
        <w:rPr>
          <w:rFonts w:ascii="Times New Roman" w:hAnsi="Times New Roman" w:cs="Times New Roman"/>
        </w:rPr>
        <w:t>.</w:t>
      </w:r>
      <w:r w:rsidRPr="0013086F">
        <w:rPr>
          <w:rStyle w:val="FootnoteReference"/>
          <w:rFonts w:ascii="Times New Roman" w:hAnsi="Times New Roman" w:cs="Times New Roman"/>
        </w:rPr>
        <w:footnoteReference w:id="53"/>
      </w:r>
      <w:r w:rsidRPr="0013086F">
        <w:rPr>
          <w:rFonts w:ascii="Times New Roman" w:hAnsi="Times New Roman" w:cs="Times New Roman"/>
        </w:rPr>
        <w:t xml:space="preserve"> The judges also failed to find Libya’s inability to conduct investigations and prosecutions despite the claims that country’s authorities do not exercise full control over the detention centers and fail to ensure proper witness protection.</w:t>
      </w:r>
      <w:r w:rsidRPr="0013086F">
        <w:rPr>
          <w:rStyle w:val="FootnoteReference"/>
          <w:rFonts w:ascii="Times New Roman" w:hAnsi="Times New Roman" w:cs="Times New Roman"/>
        </w:rPr>
        <w:footnoteReference w:id="54"/>
      </w:r>
    </w:p>
    <w:p w14:paraId="2ABEBE1A" w14:textId="77777777" w:rsidR="003428C8" w:rsidRPr="0013086F" w:rsidRDefault="003428C8" w:rsidP="006066C4">
      <w:pPr>
        <w:spacing w:line="480" w:lineRule="auto"/>
        <w:jc w:val="both"/>
        <w:rPr>
          <w:rFonts w:ascii="Times New Roman" w:hAnsi="Times New Roman" w:cs="Times New Roman"/>
        </w:rPr>
      </w:pPr>
    </w:p>
    <w:p w14:paraId="15F14FDC" w14:textId="5D5923AE" w:rsidR="003428C8" w:rsidRPr="0013086F" w:rsidRDefault="00E3377C" w:rsidP="006066C4">
      <w:pPr>
        <w:widowControl w:val="0"/>
        <w:autoSpaceDE w:val="0"/>
        <w:autoSpaceDN w:val="0"/>
        <w:adjustRightInd w:val="0"/>
        <w:spacing w:after="240" w:line="480" w:lineRule="auto"/>
        <w:jc w:val="both"/>
        <w:rPr>
          <w:rFonts w:ascii="Times New Roman" w:hAnsi="Times New Roman" w:cs="Times New Roman"/>
        </w:rPr>
      </w:pPr>
      <w:r w:rsidRPr="0013086F">
        <w:rPr>
          <w:rFonts w:ascii="Times New Roman" w:hAnsi="Times New Roman" w:cs="Times New Roman"/>
        </w:rPr>
        <w:t>The judges were left with a difficult choice in the light of the express provisions of the Rome Statute guaranteeing due process rights.</w:t>
      </w:r>
      <w:r w:rsidR="00E7565C" w:rsidRPr="0013086F">
        <w:rPr>
          <w:rStyle w:val="FootnoteReference"/>
          <w:rFonts w:ascii="Times New Roman" w:hAnsi="Times New Roman" w:cs="Times New Roman"/>
        </w:rPr>
        <w:footnoteReference w:id="55"/>
      </w:r>
      <w:r w:rsidRPr="0013086F">
        <w:rPr>
          <w:rFonts w:ascii="Times New Roman" w:hAnsi="Times New Roman" w:cs="Times New Roman"/>
        </w:rPr>
        <w:t xml:space="preserve"> </w:t>
      </w:r>
      <w:r w:rsidR="00992DA0" w:rsidRPr="0013086F">
        <w:rPr>
          <w:rFonts w:ascii="Times New Roman" w:hAnsi="Times New Roman" w:cs="Times New Roman"/>
        </w:rPr>
        <w:t>Arguably, t</w:t>
      </w:r>
      <w:r w:rsidRPr="0013086F">
        <w:rPr>
          <w:rFonts w:ascii="Times New Roman" w:hAnsi="Times New Roman" w:cs="Times New Roman"/>
        </w:rPr>
        <w:t xml:space="preserve">he legal framework allowed for deciding the issue of admissibility both ways. </w:t>
      </w:r>
      <w:r w:rsidR="001F2591" w:rsidRPr="0013086F">
        <w:rPr>
          <w:rFonts w:ascii="Times New Roman" w:hAnsi="Times New Roman" w:cs="Times New Roman"/>
        </w:rPr>
        <w:t xml:space="preserve">It is noteworthy that the judges did not reject upfront </w:t>
      </w:r>
      <w:r w:rsidR="002C3588" w:rsidRPr="0013086F">
        <w:rPr>
          <w:rFonts w:ascii="Times New Roman" w:hAnsi="Times New Roman" w:cs="Times New Roman"/>
        </w:rPr>
        <w:t xml:space="preserve">the </w:t>
      </w:r>
      <w:r w:rsidR="0090025F" w:rsidRPr="0013086F">
        <w:rPr>
          <w:rFonts w:ascii="Times New Roman" w:hAnsi="Times New Roman" w:cs="Times New Roman"/>
        </w:rPr>
        <w:t xml:space="preserve">incompatibility of the </w:t>
      </w:r>
      <w:r w:rsidR="001F2591" w:rsidRPr="0013086F">
        <w:rPr>
          <w:rFonts w:ascii="Times New Roman" w:hAnsi="Times New Roman" w:cs="Times New Roman"/>
        </w:rPr>
        <w:t xml:space="preserve">due process concerns raised by the Defence </w:t>
      </w:r>
      <w:r w:rsidR="0090025F" w:rsidRPr="0013086F">
        <w:rPr>
          <w:rFonts w:ascii="Times New Roman" w:hAnsi="Times New Roman" w:cs="Times New Roman"/>
        </w:rPr>
        <w:t>with</w:t>
      </w:r>
      <w:r w:rsidR="001F2591" w:rsidRPr="0013086F">
        <w:rPr>
          <w:rFonts w:ascii="Times New Roman" w:hAnsi="Times New Roman" w:cs="Times New Roman"/>
        </w:rPr>
        <w:t xml:space="preserve"> the </w:t>
      </w:r>
      <w:r w:rsidR="00A23356" w:rsidRPr="0013086F">
        <w:rPr>
          <w:rFonts w:ascii="Times New Roman" w:hAnsi="Times New Roman" w:cs="Times New Roman"/>
        </w:rPr>
        <w:t>framework</w:t>
      </w:r>
      <w:r w:rsidR="002C3588" w:rsidRPr="0013086F">
        <w:rPr>
          <w:rFonts w:ascii="Times New Roman" w:hAnsi="Times New Roman" w:cs="Times New Roman"/>
        </w:rPr>
        <w:t xml:space="preserve"> of the </w:t>
      </w:r>
      <w:r w:rsidR="001F2591" w:rsidRPr="0013086F">
        <w:rPr>
          <w:rFonts w:ascii="Times New Roman" w:hAnsi="Times New Roman" w:cs="Times New Roman"/>
        </w:rPr>
        <w:t xml:space="preserve">admissibility proceedings. The reasoning of the appellate panel was more nuanced and rested on </w:t>
      </w:r>
      <w:r w:rsidRPr="0013086F">
        <w:rPr>
          <w:rFonts w:ascii="Times New Roman" w:hAnsi="Times New Roman" w:cs="Times New Roman"/>
        </w:rPr>
        <w:t xml:space="preserve">two related but separate grounds: the nature of admissibility proceedings </w:t>
      </w:r>
      <w:r w:rsidRPr="0013086F">
        <w:rPr>
          <w:rFonts w:ascii="Times New Roman" w:hAnsi="Times New Roman" w:cs="Times New Roman"/>
          <w:i/>
        </w:rPr>
        <w:t>and</w:t>
      </w:r>
      <w:r w:rsidRPr="0013086F">
        <w:rPr>
          <w:rFonts w:ascii="Times New Roman" w:hAnsi="Times New Roman" w:cs="Times New Roman"/>
        </w:rPr>
        <w:t xml:space="preserve"> the </w:t>
      </w:r>
      <w:r w:rsidR="00CB7751" w:rsidRPr="0013086F">
        <w:rPr>
          <w:rFonts w:ascii="Times New Roman" w:hAnsi="Times New Roman" w:cs="Times New Roman"/>
        </w:rPr>
        <w:t>severity</w:t>
      </w:r>
      <w:r w:rsidRPr="0013086F">
        <w:rPr>
          <w:rFonts w:ascii="Times New Roman" w:hAnsi="Times New Roman" w:cs="Times New Roman"/>
        </w:rPr>
        <w:t xml:space="preserve"> of violation.</w:t>
      </w:r>
      <w:r w:rsidR="00CB7751" w:rsidRPr="0013086F">
        <w:rPr>
          <w:rFonts w:ascii="Times New Roman" w:hAnsi="Times New Roman" w:cs="Times New Roman"/>
        </w:rPr>
        <w:t xml:space="preserve"> Generally speaking,</w:t>
      </w:r>
      <w:r w:rsidRPr="0013086F">
        <w:rPr>
          <w:rFonts w:ascii="Times New Roman" w:hAnsi="Times New Roman" w:cs="Times New Roman"/>
        </w:rPr>
        <w:t xml:space="preserve"> </w:t>
      </w:r>
      <w:r w:rsidR="00CB7751" w:rsidRPr="0013086F">
        <w:rPr>
          <w:rFonts w:ascii="Times New Roman" w:hAnsi="Times New Roman" w:cs="Times New Roman"/>
        </w:rPr>
        <w:t>the</w:t>
      </w:r>
      <w:r w:rsidRPr="0013086F">
        <w:rPr>
          <w:rFonts w:ascii="Times New Roman" w:hAnsi="Times New Roman" w:cs="Times New Roman"/>
        </w:rPr>
        <w:t xml:space="preserve"> </w:t>
      </w:r>
      <w:r w:rsidR="00C11E7F" w:rsidRPr="0013086F">
        <w:rPr>
          <w:rFonts w:ascii="Times New Roman" w:hAnsi="Times New Roman" w:cs="Times New Roman"/>
        </w:rPr>
        <w:t>judges</w:t>
      </w:r>
      <w:r w:rsidRPr="0013086F">
        <w:rPr>
          <w:rFonts w:ascii="Times New Roman" w:hAnsi="Times New Roman" w:cs="Times New Roman"/>
        </w:rPr>
        <w:t xml:space="preserve"> dismiss</w:t>
      </w:r>
      <w:r w:rsidR="003428C8" w:rsidRPr="0013086F">
        <w:rPr>
          <w:rFonts w:ascii="Times New Roman" w:hAnsi="Times New Roman" w:cs="Times New Roman"/>
        </w:rPr>
        <w:t>ed</w:t>
      </w:r>
      <w:r w:rsidRPr="0013086F">
        <w:rPr>
          <w:rFonts w:ascii="Times New Roman" w:hAnsi="Times New Roman" w:cs="Times New Roman"/>
        </w:rPr>
        <w:t xml:space="preserve"> due process claims as resulting from incorrect understanding of the role of the suspect in the admissibility proceedings.</w:t>
      </w:r>
      <w:r w:rsidRPr="0013086F">
        <w:rPr>
          <w:rStyle w:val="FootnoteReference"/>
          <w:rFonts w:ascii="Times New Roman" w:hAnsi="Times New Roman" w:cs="Times New Roman"/>
        </w:rPr>
        <w:footnoteReference w:id="56"/>
      </w:r>
      <w:r w:rsidR="00C11E7F" w:rsidRPr="0013086F">
        <w:rPr>
          <w:rFonts w:ascii="Times New Roman" w:hAnsi="Times New Roman" w:cs="Times New Roman"/>
        </w:rPr>
        <w:t xml:space="preserve"> They</w:t>
      </w:r>
      <w:r w:rsidRPr="0013086F">
        <w:rPr>
          <w:rFonts w:ascii="Times New Roman" w:hAnsi="Times New Roman" w:cs="Times New Roman"/>
        </w:rPr>
        <w:t xml:space="preserve"> invoked reasoning voiced in one of the previous cases that human rights jurisprudence is of limited value in the admissibility proceedings because the nature of these proceedings is not to accommodate a mechanism for individual complaints about human rights violations.</w:t>
      </w:r>
      <w:r w:rsidRPr="0013086F">
        <w:rPr>
          <w:rStyle w:val="FootnoteReference"/>
          <w:rFonts w:ascii="Times New Roman" w:hAnsi="Times New Roman" w:cs="Times New Roman"/>
        </w:rPr>
        <w:footnoteReference w:id="57"/>
      </w:r>
      <w:r w:rsidR="003428C8" w:rsidRPr="0013086F">
        <w:rPr>
          <w:rFonts w:ascii="Times New Roman" w:hAnsi="Times New Roman" w:cs="Times New Roman"/>
        </w:rPr>
        <w:t xml:space="preserve"> However, stopping at this conclusion would </w:t>
      </w:r>
      <w:r w:rsidR="00992DA0" w:rsidRPr="0013086F">
        <w:rPr>
          <w:rFonts w:ascii="Times New Roman" w:hAnsi="Times New Roman" w:cs="Times New Roman"/>
        </w:rPr>
        <w:t xml:space="preserve">have rendered </w:t>
      </w:r>
      <w:r w:rsidR="003428C8" w:rsidRPr="0013086F">
        <w:rPr>
          <w:rFonts w:ascii="Times New Roman" w:hAnsi="Times New Roman" w:cs="Times New Roman"/>
        </w:rPr>
        <w:t xml:space="preserve">guarantees implicit in the Rome Statute futile. </w:t>
      </w:r>
    </w:p>
    <w:p w14:paraId="77FC864A" w14:textId="74E752EF" w:rsidR="00250A65" w:rsidRPr="0013086F" w:rsidRDefault="003428C8" w:rsidP="006066C4">
      <w:pPr>
        <w:widowControl w:val="0"/>
        <w:autoSpaceDE w:val="0"/>
        <w:autoSpaceDN w:val="0"/>
        <w:adjustRightInd w:val="0"/>
        <w:spacing w:after="240" w:line="480" w:lineRule="auto"/>
        <w:jc w:val="both"/>
        <w:rPr>
          <w:rFonts w:ascii="Times New Roman" w:hAnsi="Times New Roman" w:cs="Times New Roman"/>
        </w:rPr>
      </w:pPr>
      <w:r w:rsidRPr="0013086F">
        <w:rPr>
          <w:rFonts w:ascii="Times New Roman" w:hAnsi="Times New Roman" w:cs="Times New Roman"/>
        </w:rPr>
        <w:t xml:space="preserve">Therefore, the </w:t>
      </w:r>
      <w:r w:rsidR="00281A4E" w:rsidRPr="0013086F">
        <w:rPr>
          <w:rFonts w:ascii="Times New Roman" w:hAnsi="Times New Roman" w:cs="Times New Roman"/>
        </w:rPr>
        <w:t>Appeals Chamber</w:t>
      </w:r>
      <w:r w:rsidRPr="0013086F">
        <w:rPr>
          <w:rFonts w:ascii="Times New Roman" w:hAnsi="Times New Roman" w:cs="Times New Roman"/>
        </w:rPr>
        <w:t xml:space="preserve"> introduced the</w:t>
      </w:r>
      <w:r w:rsidR="00CB7751" w:rsidRPr="0013086F">
        <w:rPr>
          <w:rFonts w:ascii="Times New Roman" w:hAnsi="Times New Roman" w:cs="Times New Roman"/>
        </w:rPr>
        <w:t xml:space="preserve"> second, more specific, </w:t>
      </w:r>
      <w:r w:rsidRPr="0013086F">
        <w:rPr>
          <w:rFonts w:ascii="Times New Roman" w:hAnsi="Times New Roman" w:cs="Times New Roman"/>
        </w:rPr>
        <w:t>ground for rejecting due process claims – insufficient severity of the violation at stake. The</w:t>
      </w:r>
      <w:r w:rsidR="000E4AEF" w:rsidRPr="0013086F">
        <w:rPr>
          <w:rFonts w:ascii="Times New Roman" w:hAnsi="Times New Roman" w:cs="Times New Roman"/>
        </w:rPr>
        <w:t xml:space="preserve"> Chamber </w:t>
      </w:r>
      <w:r w:rsidRPr="0013086F">
        <w:rPr>
          <w:rFonts w:ascii="Times New Roman" w:hAnsi="Times New Roman" w:cs="Times New Roman"/>
        </w:rPr>
        <w:t>made a</w:t>
      </w:r>
      <w:r w:rsidR="000E4AEF" w:rsidRPr="0013086F">
        <w:rPr>
          <w:rFonts w:ascii="Times New Roman" w:hAnsi="Times New Roman" w:cs="Times New Roman"/>
        </w:rPr>
        <w:t xml:space="preserve"> normative dete</w:t>
      </w:r>
      <w:r w:rsidR="001212F3" w:rsidRPr="0013086F">
        <w:rPr>
          <w:rFonts w:ascii="Times New Roman" w:hAnsi="Times New Roman" w:cs="Times New Roman"/>
        </w:rPr>
        <w:t>rmination as to the qualitative</w:t>
      </w:r>
      <w:r w:rsidR="003774E6" w:rsidRPr="0013086F">
        <w:rPr>
          <w:rFonts w:ascii="Times New Roman" w:hAnsi="Times New Roman" w:cs="Times New Roman"/>
        </w:rPr>
        <w:t xml:space="preserve"> </w:t>
      </w:r>
      <w:r w:rsidR="001212F3" w:rsidRPr="0013086F">
        <w:rPr>
          <w:rFonts w:ascii="Times New Roman" w:hAnsi="Times New Roman" w:cs="Times New Roman"/>
        </w:rPr>
        <w:t>aspect of the violation of Mr. Al Senussi’s rights and the impact of this violation on the admissibility proceedings</w:t>
      </w:r>
      <w:r w:rsidRPr="0013086F">
        <w:rPr>
          <w:rFonts w:ascii="Times New Roman" w:hAnsi="Times New Roman" w:cs="Times New Roman"/>
        </w:rPr>
        <w:t>. The Appeals Chamber held that the</w:t>
      </w:r>
      <w:r w:rsidR="00EA7DC6" w:rsidRPr="0013086F">
        <w:rPr>
          <w:rFonts w:ascii="Times New Roman" w:hAnsi="Times New Roman" w:cs="Times New Roman"/>
        </w:rPr>
        <w:t xml:space="preserve"> </w:t>
      </w:r>
      <w:r w:rsidR="00EA020A" w:rsidRPr="0013086F">
        <w:rPr>
          <w:rFonts w:ascii="Times New Roman" w:hAnsi="Times New Roman" w:cs="Times New Roman"/>
        </w:rPr>
        <w:t>purpose</w:t>
      </w:r>
      <w:r w:rsidR="00EA7DC6" w:rsidRPr="0013086F">
        <w:rPr>
          <w:rFonts w:ascii="Times New Roman" w:hAnsi="Times New Roman" w:cs="Times New Roman"/>
        </w:rPr>
        <w:t xml:space="preserve"> of </w:t>
      </w:r>
      <w:r w:rsidRPr="0013086F">
        <w:rPr>
          <w:rFonts w:ascii="Times New Roman" w:hAnsi="Times New Roman" w:cs="Times New Roman"/>
        </w:rPr>
        <w:t xml:space="preserve">the </w:t>
      </w:r>
      <w:r w:rsidR="00EA7DC6" w:rsidRPr="0013086F">
        <w:rPr>
          <w:rFonts w:ascii="Times New Roman" w:hAnsi="Times New Roman" w:cs="Times New Roman"/>
        </w:rPr>
        <w:t>admissibility proceedings is not</w:t>
      </w:r>
      <w:r w:rsidR="00250A65" w:rsidRPr="0013086F">
        <w:rPr>
          <w:rFonts w:ascii="Times New Roman" w:hAnsi="Times New Roman" w:cs="Times New Roman"/>
        </w:rPr>
        <w:t xml:space="preserve"> to rule on human rights </w:t>
      </w:r>
      <w:r w:rsidRPr="0013086F">
        <w:rPr>
          <w:rFonts w:ascii="Times New Roman" w:hAnsi="Times New Roman" w:cs="Times New Roman"/>
        </w:rPr>
        <w:t>matters;</w:t>
      </w:r>
      <w:r w:rsidR="00EA7DC6" w:rsidRPr="0013086F">
        <w:rPr>
          <w:rFonts w:ascii="Times New Roman" w:hAnsi="Times New Roman" w:cs="Times New Roman"/>
        </w:rPr>
        <w:t xml:space="preserve"> </w:t>
      </w:r>
      <w:r w:rsidRPr="0013086F">
        <w:rPr>
          <w:rFonts w:ascii="Times New Roman" w:hAnsi="Times New Roman" w:cs="Times New Roman"/>
        </w:rPr>
        <w:t>therefore</w:t>
      </w:r>
      <w:r w:rsidR="005B6218" w:rsidRPr="0013086F">
        <w:rPr>
          <w:rFonts w:ascii="Times New Roman" w:hAnsi="Times New Roman" w:cs="Times New Roman"/>
        </w:rPr>
        <w:t xml:space="preserve"> </w:t>
      </w:r>
      <w:r w:rsidR="00EA7DC6" w:rsidRPr="0013086F">
        <w:rPr>
          <w:rFonts w:ascii="Times New Roman" w:hAnsi="Times New Roman" w:cs="Times New Roman"/>
        </w:rPr>
        <w:t xml:space="preserve">the violation must be </w:t>
      </w:r>
      <w:r w:rsidR="00A16B3A">
        <w:rPr>
          <w:rFonts w:ascii="Times New Roman" w:hAnsi="Times New Roman" w:cs="Times New Roman"/>
        </w:rPr>
        <w:t>“</w:t>
      </w:r>
      <w:r w:rsidR="00EA7DC6" w:rsidRPr="0013086F">
        <w:rPr>
          <w:rFonts w:ascii="Times New Roman" w:hAnsi="Times New Roman" w:cs="Times New Roman"/>
        </w:rPr>
        <w:t>so egregious that the proceedings can no longer be regarded as being capable of providing any genuine form of justice to the accused.</w:t>
      </w:r>
      <w:r w:rsidR="00A16B3A">
        <w:rPr>
          <w:rFonts w:ascii="Times New Roman" w:hAnsi="Times New Roman" w:cs="Times New Roman"/>
        </w:rPr>
        <w:t>”</w:t>
      </w:r>
      <w:r w:rsidR="00EA7DC6" w:rsidRPr="0013086F">
        <w:rPr>
          <w:rStyle w:val="FootnoteReference"/>
          <w:rFonts w:ascii="Times New Roman" w:hAnsi="Times New Roman" w:cs="Times New Roman"/>
        </w:rPr>
        <w:footnoteReference w:id="58"/>
      </w:r>
      <w:r w:rsidR="00683CE8" w:rsidRPr="0013086F">
        <w:rPr>
          <w:rFonts w:ascii="Times New Roman" w:hAnsi="Times New Roman" w:cs="Times New Roman"/>
        </w:rPr>
        <w:t xml:space="preserve"> In the </w:t>
      </w:r>
      <w:r w:rsidR="005B6218" w:rsidRPr="0013086F">
        <w:rPr>
          <w:rFonts w:ascii="Times New Roman" w:hAnsi="Times New Roman" w:cs="Times New Roman"/>
        </w:rPr>
        <w:t>subsequent</w:t>
      </w:r>
      <w:r w:rsidR="00683CE8" w:rsidRPr="0013086F">
        <w:rPr>
          <w:rFonts w:ascii="Times New Roman" w:hAnsi="Times New Roman" w:cs="Times New Roman"/>
        </w:rPr>
        <w:t xml:space="preserve"> rather apologetic paragraph the j</w:t>
      </w:r>
      <w:r w:rsidR="0047433A" w:rsidRPr="0013086F">
        <w:rPr>
          <w:rFonts w:ascii="Times New Roman" w:hAnsi="Times New Roman" w:cs="Times New Roman"/>
        </w:rPr>
        <w:t>udges acknowledged that they did</w:t>
      </w:r>
      <w:r w:rsidR="00683CE8" w:rsidRPr="0013086F">
        <w:rPr>
          <w:rFonts w:ascii="Times New Roman" w:hAnsi="Times New Roman" w:cs="Times New Roman"/>
        </w:rPr>
        <w:t xml:space="preserve"> not wish to downplay the importance of legal counsel in the present case, but the nature of violation did not reach the required threshold.</w:t>
      </w:r>
      <w:r w:rsidR="005A4262" w:rsidRPr="0013086F">
        <w:rPr>
          <w:rFonts w:ascii="Times New Roman" w:hAnsi="Times New Roman" w:cs="Times New Roman"/>
        </w:rPr>
        <w:t xml:space="preserve"> </w:t>
      </w:r>
    </w:p>
    <w:p w14:paraId="1953705F" w14:textId="1114A7FA" w:rsidR="00EE50EA" w:rsidRPr="0013086F" w:rsidRDefault="005A4262" w:rsidP="006066C4">
      <w:pPr>
        <w:widowControl w:val="0"/>
        <w:autoSpaceDE w:val="0"/>
        <w:autoSpaceDN w:val="0"/>
        <w:adjustRightInd w:val="0"/>
        <w:spacing w:after="240" w:line="480" w:lineRule="auto"/>
        <w:jc w:val="both"/>
        <w:rPr>
          <w:rFonts w:ascii="Times New Roman" w:hAnsi="Times New Roman" w:cs="Times New Roman"/>
        </w:rPr>
      </w:pPr>
      <w:r w:rsidRPr="0013086F">
        <w:rPr>
          <w:rFonts w:ascii="Times New Roman" w:hAnsi="Times New Roman" w:cs="Times New Roman"/>
        </w:rPr>
        <w:t>Introducing the qualitative aspect of the violation that may or may not render a state in question unwilli</w:t>
      </w:r>
      <w:r w:rsidR="00683CE8" w:rsidRPr="0013086F">
        <w:rPr>
          <w:rFonts w:ascii="Times New Roman" w:hAnsi="Times New Roman" w:cs="Times New Roman"/>
        </w:rPr>
        <w:t>ng is a controversial solution.</w:t>
      </w:r>
      <w:r w:rsidR="00683CE8" w:rsidRPr="0013086F">
        <w:rPr>
          <w:rStyle w:val="FootnoteReference"/>
          <w:rFonts w:ascii="Times New Roman" w:hAnsi="Times New Roman" w:cs="Times New Roman"/>
        </w:rPr>
        <w:footnoteReference w:id="59"/>
      </w:r>
      <w:r w:rsidR="00EA020A" w:rsidRPr="0013086F">
        <w:rPr>
          <w:rFonts w:ascii="Times New Roman" w:hAnsi="Times New Roman" w:cs="Times New Roman"/>
        </w:rPr>
        <w:t xml:space="preserve"> The Appeal Chamber further clarified that references to due process, independence and impartiality in Article 17(2) of the Rome Statute primarily refer to the situations when the suspect may evade justice as a result of the State not being willing to genuinely investigate and prosecute.</w:t>
      </w:r>
      <w:r w:rsidR="00EA020A" w:rsidRPr="0013086F">
        <w:rPr>
          <w:rStyle w:val="FootnoteReference"/>
          <w:rFonts w:ascii="Times New Roman" w:hAnsi="Times New Roman" w:cs="Times New Roman"/>
        </w:rPr>
        <w:footnoteReference w:id="60"/>
      </w:r>
      <w:r w:rsidR="00834887" w:rsidRPr="0013086F">
        <w:rPr>
          <w:rFonts w:ascii="Times New Roman" w:hAnsi="Times New Roman" w:cs="Times New Roman"/>
        </w:rPr>
        <w:t xml:space="preserve"> The violations of the rights of suspect </w:t>
      </w:r>
      <w:r w:rsidR="00834887" w:rsidRPr="0013086F">
        <w:rPr>
          <w:rFonts w:ascii="Times New Roman" w:hAnsi="Times New Roman" w:cs="Times New Roman"/>
          <w:i/>
        </w:rPr>
        <w:t>per se</w:t>
      </w:r>
      <w:r w:rsidR="00834887" w:rsidRPr="0013086F">
        <w:rPr>
          <w:rFonts w:ascii="Times New Roman" w:hAnsi="Times New Roman" w:cs="Times New Roman"/>
        </w:rPr>
        <w:t xml:space="preserve"> are not sufficient</w:t>
      </w:r>
      <w:r w:rsidR="008454C3" w:rsidRPr="0013086F">
        <w:rPr>
          <w:rFonts w:ascii="Times New Roman" w:hAnsi="Times New Roman" w:cs="Times New Roman"/>
        </w:rPr>
        <w:t xml:space="preserve"> for finding unwillingness, </w:t>
      </w:r>
      <w:r w:rsidR="00834887" w:rsidRPr="0013086F">
        <w:rPr>
          <w:rFonts w:ascii="Times New Roman" w:hAnsi="Times New Roman" w:cs="Times New Roman"/>
        </w:rPr>
        <w:t>and</w:t>
      </w:r>
      <w:r w:rsidR="008454C3" w:rsidRPr="0013086F">
        <w:rPr>
          <w:rFonts w:ascii="Times New Roman" w:hAnsi="Times New Roman" w:cs="Times New Roman"/>
        </w:rPr>
        <w:t xml:space="preserve">, accepting otherwise, </w:t>
      </w:r>
      <w:r w:rsidR="00834887" w:rsidRPr="0013086F">
        <w:rPr>
          <w:rFonts w:ascii="Times New Roman" w:hAnsi="Times New Roman" w:cs="Times New Roman"/>
        </w:rPr>
        <w:t xml:space="preserve">would </w:t>
      </w:r>
      <w:r w:rsidR="00047920" w:rsidRPr="0013086F">
        <w:rPr>
          <w:rFonts w:ascii="Times New Roman" w:hAnsi="Times New Roman" w:cs="Times New Roman"/>
        </w:rPr>
        <w:t>bring the</w:t>
      </w:r>
      <w:r w:rsidR="00834887" w:rsidRPr="0013086F">
        <w:rPr>
          <w:rFonts w:ascii="Times New Roman" w:hAnsi="Times New Roman" w:cs="Times New Roman"/>
        </w:rPr>
        <w:t xml:space="preserve"> ICC </w:t>
      </w:r>
      <w:r w:rsidR="00047920" w:rsidRPr="0013086F">
        <w:rPr>
          <w:rFonts w:ascii="Times New Roman" w:hAnsi="Times New Roman" w:cs="Times New Roman"/>
        </w:rPr>
        <w:t>very close to a</w:t>
      </w:r>
      <w:r w:rsidR="00834887" w:rsidRPr="0013086F">
        <w:rPr>
          <w:rFonts w:ascii="Times New Roman" w:hAnsi="Times New Roman" w:cs="Times New Roman"/>
        </w:rPr>
        <w:t xml:space="preserve"> human rights court overseeing dom</w:t>
      </w:r>
      <w:r w:rsidR="008454C3" w:rsidRPr="0013086F">
        <w:rPr>
          <w:rFonts w:ascii="Times New Roman" w:hAnsi="Times New Roman" w:cs="Times New Roman"/>
        </w:rPr>
        <w:t xml:space="preserve">estic jurisdictions, which is inconsistent with </w:t>
      </w:r>
      <w:r w:rsidR="00047920" w:rsidRPr="0013086F">
        <w:rPr>
          <w:rFonts w:ascii="Times New Roman" w:hAnsi="Times New Roman" w:cs="Times New Roman"/>
        </w:rPr>
        <w:t>the intentions of Article 17</w:t>
      </w:r>
      <w:r w:rsidR="008454C3" w:rsidRPr="0013086F">
        <w:rPr>
          <w:rFonts w:ascii="Times New Roman" w:hAnsi="Times New Roman" w:cs="Times New Roman"/>
        </w:rPr>
        <w:t>.</w:t>
      </w:r>
      <w:r w:rsidR="008454C3" w:rsidRPr="0013086F">
        <w:rPr>
          <w:rStyle w:val="FootnoteReference"/>
          <w:rFonts w:ascii="Times New Roman" w:hAnsi="Times New Roman" w:cs="Times New Roman"/>
        </w:rPr>
        <w:footnoteReference w:id="61"/>
      </w:r>
      <w:r w:rsidR="0047433A" w:rsidRPr="0013086F">
        <w:rPr>
          <w:rFonts w:ascii="Times New Roman" w:hAnsi="Times New Roman" w:cs="Times New Roman"/>
        </w:rPr>
        <w:t xml:space="preserve"> </w:t>
      </w:r>
      <w:r w:rsidR="007120EF" w:rsidRPr="0013086F">
        <w:rPr>
          <w:rFonts w:ascii="Times New Roman" w:hAnsi="Times New Roman" w:cs="Times New Roman"/>
        </w:rPr>
        <w:t>Through this reasoning, the judges endorsed a softer ver</w:t>
      </w:r>
      <w:r w:rsidR="007C486F" w:rsidRPr="0013086F">
        <w:rPr>
          <w:rFonts w:ascii="Times New Roman" w:hAnsi="Times New Roman" w:cs="Times New Roman"/>
        </w:rPr>
        <w:t>sion of Kevin Heller’s argument</w:t>
      </w:r>
      <w:r w:rsidR="00A127E9">
        <w:rPr>
          <w:rFonts w:ascii="Times New Roman" w:hAnsi="Times New Roman" w:cs="Times New Roman"/>
        </w:rPr>
        <w:t>:</w:t>
      </w:r>
      <w:r w:rsidR="007C486F" w:rsidRPr="0013086F">
        <w:rPr>
          <w:rStyle w:val="FootnoteReference"/>
          <w:rFonts w:ascii="Times New Roman" w:hAnsi="Times New Roman" w:cs="Times New Roman"/>
        </w:rPr>
        <w:footnoteReference w:id="62"/>
      </w:r>
      <w:r w:rsidR="007C486F" w:rsidRPr="0013086F">
        <w:rPr>
          <w:rFonts w:ascii="Times New Roman" w:hAnsi="Times New Roman" w:cs="Times New Roman"/>
        </w:rPr>
        <w:t xml:space="preserve"> </w:t>
      </w:r>
      <w:r w:rsidR="00A127E9">
        <w:rPr>
          <w:rFonts w:ascii="Times New Roman" w:hAnsi="Times New Roman" w:cs="Times New Roman"/>
        </w:rPr>
        <w:t>t</w:t>
      </w:r>
      <w:r w:rsidR="007120EF" w:rsidRPr="0013086F">
        <w:rPr>
          <w:rFonts w:ascii="Times New Roman" w:hAnsi="Times New Roman" w:cs="Times New Roman"/>
        </w:rPr>
        <w:t xml:space="preserve">he judges chose not to turn a blind eye to </w:t>
      </w:r>
      <w:r w:rsidR="007C486F" w:rsidRPr="0013086F">
        <w:rPr>
          <w:rFonts w:ascii="Times New Roman" w:hAnsi="Times New Roman" w:cs="Times New Roman"/>
        </w:rPr>
        <w:t xml:space="preserve">the </w:t>
      </w:r>
      <w:r w:rsidR="007120EF" w:rsidRPr="0013086F">
        <w:rPr>
          <w:rFonts w:ascii="Times New Roman" w:hAnsi="Times New Roman" w:cs="Times New Roman"/>
        </w:rPr>
        <w:t>violations, while</w:t>
      </w:r>
      <w:r w:rsidR="007C486F" w:rsidRPr="0013086F">
        <w:rPr>
          <w:rFonts w:ascii="Times New Roman" w:hAnsi="Times New Roman" w:cs="Times New Roman"/>
        </w:rPr>
        <w:t xml:space="preserve"> simultaneously</w:t>
      </w:r>
      <w:r w:rsidR="007120EF" w:rsidRPr="0013086F">
        <w:rPr>
          <w:rFonts w:ascii="Times New Roman" w:hAnsi="Times New Roman" w:cs="Times New Roman"/>
        </w:rPr>
        <w:t xml:space="preserve"> acknowledging </w:t>
      </w:r>
      <w:r w:rsidR="007C486F" w:rsidRPr="0013086F">
        <w:rPr>
          <w:rFonts w:ascii="Times New Roman" w:hAnsi="Times New Roman" w:cs="Times New Roman"/>
        </w:rPr>
        <w:t xml:space="preserve">the subordinate status of due process concerns at the stage of </w:t>
      </w:r>
      <w:r w:rsidR="00F406CB" w:rsidRPr="0013086F">
        <w:rPr>
          <w:rFonts w:ascii="Times New Roman" w:hAnsi="Times New Roman" w:cs="Times New Roman"/>
        </w:rPr>
        <w:t xml:space="preserve">the </w:t>
      </w:r>
      <w:r w:rsidR="007C486F" w:rsidRPr="0013086F">
        <w:rPr>
          <w:rFonts w:ascii="Times New Roman" w:hAnsi="Times New Roman" w:cs="Times New Roman"/>
        </w:rPr>
        <w:t>admissibility proceedings.</w:t>
      </w:r>
    </w:p>
    <w:p w14:paraId="76C474E9" w14:textId="1E71ADA5" w:rsidR="000E4ABB" w:rsidRPr="0013086F" w:rsidRDefault="000002C9" w:rsidP="006066C4">
      <w:pPr>
        <w:pStyle w:val="ListParagraph"/>
        <w:spacing w:line="480" w:lineRule="auto"/>
        <w:ind w:left="1080"/>
        <w:jc w:val="both"/>
        <w:rPr>
          <w:rFonts w:ascii="Times New Roman" w:hAnsi="Times New Roman" w:cs="Times New Roman"/>
          <w:b/>
        </w:rPr>
      </w:pPr>
      <w:r w:rsidRPr="0013086F">
        <w:rPr>
          <w:rFonts w:ascii="Times New Roman" w:hAnsi="Times New Roman" w:cs="Times New Roman"/>
          <w:b/>
        </w:rPr>
        <w:t xml:space="preserve">3. </w:t>
      </w:r>
      <w:r w:rsidR="000E4ABB" w:rsidRPr="0013086F">
        <w:rPr>
          <w:rFonts w:ascii="Times New Roman" w:hAnsi="Times New Roman" w:cs="Times New Roman"/>
          <w:b/>
        </w:rPr>
        <w:t>Discretion</w:t>
      </w:r>
      <w:r w:rsidR="00105CD2" w:rsidRPr="0013086F">
        <w:rPr>
          <w:rFonts w:ascii="Times New Roman" w:hAnsi="Times New Roman" w:cs="Times New Roman"/>
          <w:b/>
        </w:rPr>
        <w:t xml:space="preserve"> as a Vehicle Behind Human Rights Considerations</w:t>
      </w:r>
    </w:p>
    <w:p w14:paraId="2B104876" w14:textId="77777777" w:rsidR="00105CD2" w:rsidRPr="0013086F" w:rsidRDefault="00105CD2" w:rsidP="006066C4">
      <w:pPr>
        <w:spacing w:line="480" w:lineRule="auto"/>
        <w:jc w:val="both"/>
        <w:rPr>
          <w:rFonts w:ascii="Times New Roman" w:hAnsi="Times New Roman" w:cs="Times New Roman"/>
          <w:b/>
        </w:rPr>
      </w:pPr>
    </w:p>
    <w:p w14:paraId="12135493" w14:textId="610ACA2B" w:rsidR="00105CD2" w:rsidRPr="0013086F" w:rsidRDefault="00CE2AE7" w:rsidP="006066C4">
      <w:pPr>
        <w:spacing w:line="480" w:lineRule="auto"/>
        <w:jc w:val="both"/>
        <w:rPr>
          <w:rFonts w:ascii="Times New Roman" w:hAnsi="Times New Roman" w:cs="Times New Roman"/>
        </w:rPr>
      </w:pPr>
      <w:r w:rsidRPr="0013086F">
        <w:rPr>
          <w:rFonts w:ascii="Times New Roman" w:hAnsi="Times New Roman" w:cs="Times New Roman"/>
        </w:rPr>
        <w:t>All three explanations regarding varying degree of human rights protection at the I</w:t>
      </w:r>
      <w:r w:rsidR="00296DC0">
        <w:rPr>
          <w:rFonts w:ascii="Times New Roman" w:hAnsi="Times New Roman" w:cs="Times New Roman"/>
        </w:rPr>
        <w:t>CC mentioned in the introductory part of this article</w:t>
      </w:r>
      <w:r w:rsidRPr="0013086F">
        <w:rPr>
          <w:rFonts w:ascii="Times New Roman" w:hAnsi="Times New Roman" w:cs="Times New Roman"/>
        </w:rPr>
        <w:t xml:space="preserve"> hold true in the </w:t>
      </w:r>
      <w:r w:rsidRPr="0013086F">
        <w:rPr>
          <w:rFonts w:ascii="Times New Roman" w:hAnsi="Times New Roman" w:cs="Times New Roman"/>
          <w:i/>
        </w:rPr>
        <w:t>Al Senussi</w:t>
      </w:r>
      <w:r w:rsidRPr="0013086F">
        <w:rPr>
          <w:rFonts w:ascii="Times New Roman" w:hAnsi="Times New Roman" w:cs="Times New Roman"/>
        </w:rPr>
        <w:t xml:space="preserve"> case. </w:t>
      </w:r>
      <w:r w:rsidR="000B1D2E" w:rsidRPr="0013086F">
        <w:rPr>
          <w:rFonts w:ascii="Times New Roman" w:hAnsi="Times New Roman" w:cs="Times New Roman"/>
        </w:rPr>
        <w:t xml:space="preserve">First, the judges explicitly admitted that the stage of the proceedings is crucial in determining the scope of due process guarantees afforded to Mr. Al Senussi. In particular, they stressed that his status as a suspect in domestic proceedings, rather than the accused appearing </w:t>
      </w:r>
      <w:r w:rsidR="000B1D2E" w:rsidRPr="0013086F">
        <w:rPr>
          <w:rFonts w:ascii="Times New Roman" w:hAnsi="Times New Roman" w:cs="Times New Roman"/>
          <w:i/>
        </w:rPr>
        <w:t>before</w:t>
      </w:r>
      <w:r w:rsidR="000B1D2E" w:rsidRPr="0013086F">
        <w:rPr>
          <w:rFonts w:ascii="Times New Roman" w:hAnsi="Times New Roman" w:cs="Times New Roman"/>
        </w:rPr>
        <w:t xml:space="preserve"> the ICC effectively limits the scope of due process </w:t>
      </w:r>
      <w:r w:rsidR="00AB3B2B" w:rsidRPr="0013086F">
        <w:rPr>
          <w:rFonts w:ascii="Times New Roman" w:hAnsi="Times New Roman" w:cs="Times New Roman"/>
        </w:rPr>
        <w:t xml:space="preserve">rights </w:t>
      </w:r>
      <w:r w:rsidR="000B1D2E" w:rsidRPr="0013086F">
        <w:rPr>
          <w:rFonts w:ascii="Times New Roman" w:hAnsi="Times New Roman" w:cs="Times New Roman"/>
        </w:rPr>
        <w:t xml:space="preserve">afforded to him. </w:t>
      </w:r>
      <w:r w:rsidR="001350F3" w:rsidRPr="0013086F">
        <w:rPr>
          <w:rFonts w:ascii="Times New Roman" w:hAnsi="Times New Roman" w:cs="Times New Roman"/>
        </w:rPr>
        <w:t>This is in stark contrast with the approach of the ECtHR to provide an evaluation of fairness of the entire proceedings when determining whether the</w:t>
      </w:r>
      <w:r w:rsidR="000B6B2A" w:rsidRPr="0013086F">
        <w:rPr>
          <w:rFonts w:ascii="Times New Roman" w:hAnsi="Times New Roman" w:cs="Times New Roman"/>
        </w:rPr>
        <w:t>re</w:t>
      </w:r>
      <w:r w:rsidR="001350F3" w:rsidRPr="0013086F">
        <w:rPr>
          <w:rFonts w:ascii="Times New Roman" w:hAnsi="Times New Roman" w:cs="Times New Roman"/>
        </w:rPr>
        <w:t xml:space="preserve"> existed a breach of the right to a fair trial.</w:t>
      </w:r>
      <w:r w:rsidR="001350F3" w:rsidRPr="0013086F">
        <w:rPr>
          <w:rStyle w:val="FootnoteReference"/>
          <w:rFonts w:ascii="Times New Roman" w:hAnsi="Times New Roman" w:cs="Times New Roman"/>
        </w:rPr>
        <w:footnoteReference w:id="63"/>
      </w:r>
      <w:r w:rsidR="001350F3" w:rsidRPr="0013086F">
        <w:rPr>
          <w:rFonts w:ascii="Times New Roman" w:hAnsi="Times New Roman" w:cs="Times New Roman"/>
        </w:rPr>
        <w:t xml:space="preserve"> </w:t>
      </w:r>
      <w:r w:rsidR="00072B6D" w:rsidRPr="0013086F">
        <w:rPr>
          <w:rFonts w:ascii="Times New Roman" w:hAnsi="Times New Roman" w:cs="Times New Roman"/>
        </w:rPr>
        <w:t xml:space="preserve">At the same time, the early stage of the proceedings did not </w:t>
      </w:r>
      <w:r w:rsidR="00072B6D" w:rsidRPr="0013086F">
        <w:rPr>
          <w:rFonts w:ascii="Times New Roman" w:hAnsi="Times New Roman" w:cs="Times New Roman"/>
          <w:i/>
        </w:rPr>
        <w:t>per se</w:t>
      </w:r>
      <w:r w:rsidR="00072B6D" w:rsidRPr="0013086F">
        <w:rPr>
          <w:rFonts w:ascii="Times New Roman" w:hAnsi="Times New Roman" w:cs="Times New Roman"/>
        </w:rPr>
        <w:t xml:space="preserve"> render </w:t>
      </w:r>
      <w:r w:rsidR="00AB3B2B" w:rsidRPr="0013086F">
        <w:rPr>
          <w:rFonts w:ascii="Times New Roman" w:hAnsi="Times New Roman" w:cs="Times New Roman"/>
        </w:rPr>
        <w:t>these rights</w:t>
      </w:r>
      <w:r w:rsidR="00072B6D" w:rsidRPr="0013086F">
        <w:rPr>
          <w:rFonts w:ascii="Times New Roman" w:hAnsi="Times New Roman" w:cs="Times New Roman"/>
        </w:rPr>
        <w:t xml:space="preserve"> inapplicable in the present case. Rather the issue was identified as being within the discretion of the judges deciding on admissibility. </w:t>
      </w:r>
      <w:r w:rsidR="0020266F" w:rsidRPr="0013086F">
        <w:rPr>
          <w:rFonts w:ascii="Times New Roman" w:hAnsi="Times New Roman" w:cs="Times New Roman"/>
        </w:rPr>
        <w:t xml:space="preserve">The Appeals Chamber </w:t>
      </w:r>
      <w:r w:rsidR="00F46DA0" w:rsidRPr="0013086F">
        <w:rPr>
          <w:rFonts w:ascii="Times New Roman" w:hAnsi="Times New Roman" w:cs="Times New Roman"/>
        </w:rPr>
        <w:t>exercised</w:t>
      </w:r>
      <w:r w:rsidR="0020266F" w:rsidRPr="0013086F">
        <w:rPr>
          <w:rFonts w:ascii="Times New Roman" w:hAnsi="Times New Roman" w:cs="Times New Roman"/>
        </w:rPr>
        <w:t xml:space="preserve"> this discretion </w:t>
      </w:r>
      <w:r w:rsidR="00AB3B2B" w:rsidRPr="0013086F">
        <w:rPr>
          <w:rFonts w:ascii="Times New Roman" w:hAnsi="Times New Roman" w:cs="Times New Roman"/>
        </w:rPr>
        <w:t>and</w:t>
      </w:r>
      <w:r w:rsidR="0020266F" w:rsidRPr="0013086F">
        <w:rPr>
          <w:rFonts w:ascii="Times New Roman" w:hAnsi="Times New Roman" w:cs="Times New Roman"/>
        </w:rPr>
        <w:t xml:space="preserve"> assess</w:t>
      </w:r>
      <w:r w:rsidR="00AB3B2B" w:rsidRPr="0013086F">
        <w:rPr>
          <w:rFonts w:ascii="Times New Roman" w:hAnsi="Times New Roman" w:cs="Times New Roman"/>
        </w:rPr>
        <w:t>ed</w:t>
      </w:r>
      <w:r w:rsidR="0020266F" w:rsidRPr="0013086F">
        <w:rPr>
          <w:rFonts w:ascii="Times New Roman" w:hAnsi="Times New Roman" w:cs="Times New Roman"/>
        </w:rPr>
        <w:t xml:space="preserve"> whether the violation at stake is of sufficient </w:t>
      </w:r>
      <w:r w:rsidR="00AB3B2B" w:rsidRPr="0013086F">
        <w:rPr>
          <w:rFonts w:ascii="Times New Roman" w:hAnsi="Times New Roman" w:cs="Times New Roman"/>
        </w:rPr>
        <w:t>gravity</w:t>
      </w:r>
      <w:r w:rsidR="0020266F" w:rsidRPr="0013086F">
        <w:rPr>
          <w:rFonts w:ascii="Times New Roman" w:hAnsi="Times New Roman" w:cs="Times New Roman"/>
        </w:rPr>
        <w:t xml:space="preserve"> to declare Libya’s unwillingness or inability to genuinely prosecute the case. </w:t>
      </w:r>
    </w:p>
    <w:p w14:paraId="4B99A2E4" w14:textId="77777777" w:rsidR="0020266F" w:rsidRPr="0013086F" w:rsidRDefault="0020266F" w:rsidP="006066C4">
      <w:pPr>
        <w:spacing w:line="480" w:lineRule="auto"/>
        <w:jc w:val="both"/>
        <w:rPr>
          <w:rFonts w:ascii="Times New Roman" w:hAnsi="Times New Roman" w:cs="Times New Roman"/>
        </w:rPr>
      </w:pPr>
    </w:p>
    <w:p w14:paraId="600AF392" w14:textId="3BA8D2C0" w:rsidR="0020266F" w:rsidRPr="0013086F" w:rsidRDefault="0020266F" w:rsidP="006066C4">
      <w:pPr>
        <w:spacing w:line="480" w:lineRule="auto"/>
        <w:jc w:val="both"/>
        <w:rPr>
          <w:rFonts w:ascii="Times New Roman" w:hAnsi="Times New Roman" w:cs="Times New Roman"/>
        </w:rPr>
      </w:pPr>
      <w:r w:rsidRPr="0013086F">
        <w:rPr>
          <w:rFonts w:ascii="Times New Roman" w:hAnsi="Times New Roman" w:cs="Times New Roman"/>
        </w:rPr>
        <w:t xml:space="preserve">The second explanation </w:t>
      </w:r>
      <w:r w:rsidR="00537DB7" w:rsidRPr="0013086F">
        <w:rPr>
          <w:rFonts w:ascii="Times New Roman" w:hAnsi="Times New Roman" w:cs="Times New Roman"/>
        </w:rPr>
        <w:t xml:space="preserve">as to the divergent level of human rights protection at the ICC related </w:t>
      </w:r>
      <w:r w:rsidR="00C64C50" w:rsidRPr="0013086F">
        <w:rPr>
          <w:rFonts w:ascii="Times New Roman" w:hAnsi="Times New Roman" w:cs="Times New Roman"/>
        </w:rPr>
        <w:t>to the rights</w:t>
      </w:r>
      <w:r w:rsidR="009628CA" w:rsidRPr="0013086F">
        <w:rPr>
          <w:rFonts w:ascii="Times New Roman" w:hAnsi="Times New Roman" w:cs="Times New Roman"/>
        </w:rPr>
        <w:t xml:space="preserve"> </w:t>
      </w:r>
      <w:r w:rsidR="00910D24" w:rsidRPr="0013086F">
        <w:rPr>
          <w:rFonts w:ascii="Times New Roman" w:hAnsi="Times New Roman" w:cs="Times New Roman"/>
        </w:rPr>
        <w:t>holders at stake</w:t>
      </w:r>
      <w:r w:rsidR="00537DB7" w:rsidRPr="0013086F">
        <w:rPr>
          <w:rFonts w:ascii="Times New Roman" w:hAnsi="Times New Roman" w:cs="Times New Roman"/>
        </w:rPr>
        <w:t xml:space="preserve">. </w:t>
      </w:r>
      <w:r w:rsidR="0060118E" w:rsidRPr="0013086F">
        <w:rPr>
          <w:rFonts w:ascii="Times New Roman" w:hAnsi="Times New Roman" w:cs="Times New Roman"/>
        </w:rPr>
        <w:t xml:space="preserve">The </w:t>
      </w:r>
      <w:r w:rsidR="0060118E" w:rsidRPr="0013086F">
        <w:rPr>
          <w:rFonts w:ascii="Times New Roman" w:hAnsi="Times New Roman" w:cs="Times New Roman"/>
          <w:i/>
        </w:rPr>
        <w:t>Al Senussi</w:t>
      </w:r>
      <w:r w:rsidR="0060118E" w:rsidRPr="0013086F">
        <w:rPr>
          <w:rFonts w:ascii="Times New Roman" w:hAnsi="Times New Roman" w:cs="Times New Roman"/>
        </w:rPr>
        <w:t xml:space="preserve"> Appeals Chamber implicitly acknowledge</w:t>
      </w:r>
      <w:r w:rsidR="00967AEE" w:rsidRPr="0013086F">
        <w:rPr>
          <w:rFonts w:ascii="Times New Roman" w:hAnsi="Times New Roman" w:cs="Times New Roman"/>
        </w:rPr>
        <w:t>d</w:t>
      </w:r>
      <w:r w:rsidR="0060118E" w:rsidRPr="0013086F">
        <w:rPr>
          <w:rFonts w:ascii="Times New Roman" w:hAnsi="Times New Roman" w:cs="Times New Roman"/>
        </w:rPr>
        <w:t xml:space="preserve"> the relevance of this consideration by </w:t>
      </w:r>
      <w:r w:rsidR="00967AEE" w:rsidRPr="0013086F">
        <w:rPr>
          <w:rFonts w:ascii="Times New Roman" w:hAnsi="Times New Roman" w:cs="Times New Roman"/>
        </w:rPr>
        <w:t>stating</w:t>
      </w:r>
      <w:r w:rsidR="0060118E" w:rsidRPr="0013086F">
        <w:rPr>
          <w:rFonts w:ascii="Times New Roman" w:hAnsi="Times New Roman" w:cs="Times New Roman"/>
        </w:rPr>
        <w:t xml:space="preserve"> that references to due process, impartiality and independence in Article 17(2) of the Rome Statute refer </w:t>
      </w:r>
      <w:r w:rsidR="0060118E" w:rsidRPr="0013086F">
        <w:rPr>
          <w:rFonts w:ascii="Times New Roman" w:hAnsi="Times New Roman" w:cs="Times New Roman"/>
          <w:i/>
        </w:rPr>
        <w:t xml:space="preserve">primarily </w:t>
      </w:r>
      <w:r w:rsidR="0060118E" w:rsidRPr="0013086F">
        <w:rPr>
          <w:rFonts w:ascii="Times New Roman" w:hAnsi="Times New Roman" w:cs="Times New Roman"/>
        </w:rPr>
        <w:t xml:space="preserve">to the situations when the suspect may evade justice. </w:t>
      </w:r>
      <w:r w:rsidR="000B6B2A" w:rsidRPr="0013086F">
        <w:rPr>
          <w:rFonts w:ascii="Times New Roman" w:hAnsi="Times New Roman" w:cs="Times New Roman"/>
        </w:rPr>
        <w:t xml:space="preserve">Presumably, comparison is being made with instances when suspect </w:t>
      </w:r>
      <w:r w:rsidR="008372A1" w:rsidRPr="0013086F">
        <w:rPr>
          <w:rFonts w:ascii="Times New Roman" w:hAnsi="Times New Roman" w:cs="Times New Roman"/>
        </w:rPr>
        <w:t>faces trial</w:t>
      </w:r>
      <w:r w:rsidR="00B17E43">
        <w:rPr>
          <w:rFonts w:ascii="Times New Roman" w:hAnsi="Times New Roman" w:cs="Times New Roman"/>
        </w:rPr>
        <w:t xml:space="preserve"> </w:t>
      </w:r>
      <w:r w:rsidR="000B6B2A" w:rsidRPr="0013086F">
        <w:rPr>
          <w:rFonts w:ascii="Times New Roman" w:hAnsi="Times New Roman" w:cs="Times New Roman"/>
        </w:rPr>
        <w:t>but his rights are violated. The same</w:t>
      </w:r>
      <w:r w:rsidR="0060118E" w:rsidRPr="0013086F">
        <w:rPr>
          <w:rFonts w:ascii="Times New Roman" w:hAnsi="Times New Roman" w:cs="Times New Roman"/>
        </w:rPr>
        <w:t xml:space="preserve"> statement may</w:t>
      </w:r>
      <w:r w:rsidR="000B6B2A" w:rsidRPr="0013086F">
        <w:rPr>
          <w:rFonts w:ascii="Times New Roman" w:hAnsi="Times New Roman" w:cs="Times New Roman"/>
        </w:rPr>
        <w:t xml:space="preserve"> also</w:t>
      </w:r>
      <w:r w:rsidR="0060118E" w:rsidRPr="0013086F">
        <w:rPr>
          <w:rFonts w:ascii="Times New Roman" w:hAnsi="Times New Roman" w:cs="Times New Roman"/>
        </w:rPr>
        <w:t xml:space="preserve"> be interpreted as implying </w:t>
      </w:r>
      <w:r w:rsidR="00023FE4" w:rsidRPr="0013086F">
        <w:rPr>
          <w:rFonts w:ascii="Times New Roman" w:hAnsi="Times New Roman" w:cs="Times New Roman"/>
        </w:rPr>
        <w:t xml:space="preserve">the possibility of </w:t>
      </w:r>
      <w:r w:rsidR="00FA46FD" w:rsidRPr="0013086F">
        <w:rPr>
          <w:rFonts w:ascii="Times New Roman" w:hAnsi="Times New Roman" w:cs="Times New Roman"/>
        </w:rPr>
        <w:t xml:space="preserve">higher degree of scrutiny of national criminal justice system </w:t>
      </w:r>
      <w:r w:rsidR="00023FE4" w:rsidRPr="0013086F">
        <w:rPr>
          <w:rFonts w:ascii="Times New Roman" w:hAnsi="Times New Roman" w:cs="Times New Roman"/>
        </w:rPr>
        <w:t xml:space="preserve">in the situations when </w:t>
      </w:r>
      <w:r w:rsidR="00907E36" w:rsidRPr="0013086F">
        <w:rPr>
          <w:rFonts w:ascii="Times New Roman" w:hAnsi="Times New Roman" w:cs="Times New Roman"/>
        </w:rPr>
        <w:t xml:space="preserve">interests other than those of the suspect are </w:t>
      </w:r>
      <w:r w:rsidR="00D8539C" w:rsidRPr="0013086F">
        <w:rPr>
          <w:rFonts w:ascii="Times New Roman" w:hAnsi="Times New Roman" w:cs="Times New Roman"/>
        </w:rPr>
        <w:t xml:space="preserve">at </w:t>
      </w:r>
      <w:r w:rsidR="00907E36" w:rsidRPr="0013086F">
        <w:rPr>
          <w:rFonts w:ascii="Times New Roman" w:hAnsi="Times New Roman" w:cs="Times New Roman"/>
        </w:rPr>
        <w:t>stake. For instance, victims’ right to justice may call for</w:t>
      </w:r>
      <w:r w:rsidR="00321FD8" w:rsidRPr="0013086F">
        <w:rPr>
          <w:rFonts w:ascii="Times New Roman" w:hAnsi="Times New Roman" w:cs="Times New Roman"/>
        </w:rPr>
        <w:t xml:space="preserve"> more </w:t>
      </w:r>
      <w:r w:rsidR="00907E36" w:rsidRPr="0013086F">
        <w:rPr>
          <w:rFonts w:ascii="Times New Roman" w:hAnsi="Times New Roman" w:cs="Times New Roman"/>
        </w:rPr>
        <w:t xml:space="preserve">detailed examination of the willingness and ability of domestic actors to produce the desired result. </w:t>
      </w:r>
      <w:r w:rsidR="007A1900" w:rsidRPr="0013086F">
        <w:rPr>
          <w:rFonts w:ascii="Times New Roman" w:hAnsi="Times New Roman" w:cs="Times New Roman"/>
        </w:rPr>
        <w:t>The idea that victims’ rights play a significant role in the assessment of the admissibility criteria by the ICC</w:t>
      </w:r>
      <w:r w:rsidR="002D0F92" w:rsidRPr="0013086F">
        <w:rPr>
          <w:rFonts w:ascii="Times New Roman" w:hAnsi="Times New Roman" w:cs="Times New Roman"/>
        </w:rPr>
        <w:t xml:space="preserve"> </w:t>
      </w:r>
      <w:r w:rsidR="00B571B2" w:rsidRPr="0013086F">
        <w:rPr>
          <w:rFonts w:ascii="Times New Roman" w:hAnsi="Times New Roman" w:cs="Times New Roman"/>
        </w:rPr>
        <w:t>underlies</w:t>
      </w:r>
      <w:r w:rsidR="002D0F92" w:rsidRPr="0013086F">
        <w:rPr>
          <w:rFonts w:ascii="Times New Roman" w:hAnsi="Times New Roman" w:cs="Times New Roman"/>
        </w:rPr>
        <w:t xml:space="preserve"> one of the main distinctions between international criminal </w:t>
      </w:r>
      <w:r w:rsidR="006C10D9" w:rsidRPr="0013086F">
        <w:rPr>
          <w:rFonts w:ascii="Times New Roman" w:hAnsi="Times New Roman" w:cs="Times New Roman"/>
        </w:rPr>
        <w:t xml:space="preserve">trials and human rights trials: the former must ensure fairness </w:t>
      </w:r>
      <w:r w:rsidR="006C10D9" w:rsidRPr="0013086F">
        <w:rPr>
          <w:rFonts w:ascii="Times New Roman" w:hAnsi="Times New Roman" w:cs="Times New Roman"/>
          <w:i/>
        </w:rPr>
        <w:t>erga omnes</w:t>
      </w:r>
      <w:r w:rsidR="006C10D9" w:rsidRPr="0013086F">
        <w:rPr>
          <w:rFonts w:ascii="Times New Roman" w:hAnsi="Times New Roman" w:cs="Times New Roman"/>
        </w:rPr>
        <w:t xml:space="preserve">, </w:t>
      </w:r>
      <w:r w:rsidR="00431AEF" w:rsidRPr="0013086F">
        <w:rPr>
          <w:rFonts w:ascii="Times New Roman" w:hAnsi="Times New Roman" w:cs="Times New Roman"/>
        </w:rPr>
        <w:t>i</w:t>
      </w:r>
      <w:r w:rsidR="00800A54">
        <w:rPr>
          <w:rFonts w:ascii="Times New Roman" w:hAnsi="Times New Roman" w:cs="Times New Roman"/>
        </w:rPr>
        <w:t>.</w:t>
      </w:r>
      <w:r w:rsidR="00431AEF" w:rsidRPr="0013086F">
        <w:rPr>
          <w:rFonts w:ascii="Times New Roman" w:hAnsi="Times New Roman" w:cs="Times New Roman"/>
        </w:rPr>
        <w:t>e</w:t>
      </w:r>
      <w:r w:rsidR="00800A54">
        <w:rPr>
          <w:rFonts w:ascii="Times New Roman" w:hAnsi="Times New Roman" w:cs="Times New Roman"/>
        </w:rPr>
        <w:t>.</w:t>
      </w:r>
      <w:r w:rsidR="006C10D9" w:rsidRPr="0013086F">
        <w:rPr>
          <w:rFonts w:ascii="Times New Roman" w:hAnsi="Times New Roman" w:cs="Times New Roman"/>
        </w:rPr>
        <w:t xml:space="preserve"> to all appearing or represented (victims, international community, prosecution), while the </w:t>
      </w:r>
      <w:r w:rsidR="00854ED3" w:rsidRPr="0013086F">
        <w:rPr>
          <w:rFonts w:ascii="Times New Roman" w:hAnsi="Times New Roman" w:cs="Times New Roman"/>
        </w:rPr>
        <w:t xml:space="preserve">latter </w:t>
      </w:r>
      <w:r w:rsidR="006C10D9" w:rsidRPr="0013086F">
        <w:rPr>
          <w:rFonts w:ascii="Times New Roman" w:hAnsi="Times New Roman" w:cs="Times New Roman"/>
        </w:rPr>
        <w:t>only deals with protecting the interests of individual against the abuses by the state.</w:t>
      </w:r>
      <w:r w:rsidR="006C10D9" w:rsidRPr="0013086F">
        <w:rPr>
          <w:rStyle w:val="FootnoteReference"/>
          <w:rFonts w:ascii="Times New Roman" w:hAnsi="Times New Roman" w:cs="Times New Roman"/>
        </w:rPr>
        <w:footnoteReference w:id="64"/>
      </w:r>
      <w:r w:rsidR="003E065B" w:rsidRPr="0013086F">
        <w:rPr>
          <w:rFonts w:ascii="Times New Roman" w:hAnsi="Times New Roman" w:cs="Times New Roman"/>
        </w:rPr>
        <w:t xml:space="preserve"> </w:t>
      </w:r>
    </w:p>
    <w:p w14:paraId="33D0A25A" w14:textId="77777777" w:rsidR="00CE2AE7" w:rsidRPr="0013086F" w:rsidRDefault="00CE2AE7" w:rsidP="006066C4">
      <w:pPr>
        <w:spacing w:line="480" w:lineRule="auto"/>
        <w:jc w:val="both"/>
        <w:rPr>
          <w:rFonts w:ascii="Times New Roman" w:hAnsi="Times New Roman" w:cs="Times New Roman"/>
        </w:rPr>
      </w:pPr>
    </w:p>
    <w:p w14:paraId="52A3DE59" w14:textId="3ACABEC1" w:rsidR="00CB7751" w:rsidRPr="0013086F" w:rsidRDefault="00854ED3" w:rsidP="006066C4">
      <w:pPr>
        <w:spacing w:line="480" w:lineRule="auto"/>
        <w:jc w:val="both"/>
        <w:rPr>
          <w:rFonts w:ascii="Times New Roman" w:hAnsi="Times New Roman" w:cs="Times New Roman"/>
        </w:rPr>
      </w:pPr>
      <w:r w:rsidRPr="0013086F">
        <w:rPr>
          <w:rFonts w:ascii="Times New Roman" w:hAnsi="Times New Roman" w:cs="Times New Roman"/>
        </w:rPr>
        <w:t>This distinction between human rights trials and international criminal trials implies that the judges balance conflicting interests of different stakeholders in the process.</w:t>
      </w:r>
      <w:r w:rsidR="00984547" w:rsidRPr="0013086F">
        <w:rPr>
          <w:rFonts w:ascii="Times New Roman" w:hAnsi="Times New Roman" w:cs="Times New Roman"/>
        </w:rPr>
        <w:t xml:space="preserve"> </w:t>
      </w:r>
      <w:r w:rsidR="00970659" w:rsidRPr="0013086F">
        <w:rPr>
          <w:rFonts w:ascii="Times New Roman" w:hAnsi="Times New Roman" w:cs="Times New Roman"/>
        </w:rPr>
        <w:t>The overall fairness of an international criminal trial thus becomes a matter of a compromise reached by virtue of maximizing human rights protection for all those involved in the light of</w:t>
      </w:r>
      <w:r w:rsidR="008148AC" w:rsidRPr="0013086F">
        <w:rPr>
          <w:rFonts w:ascii="Times New Roman" w:hAnsi="Times New Roman" w:cs="Times New Roman"/>
        </w:rPr>
        <w:t xml:space="preserve"> the circumstances of the case</w:t>
      </w:r>
      <w:r w:rsidR="0081196F" w:rsidRPr="0013086F">
        <w:rPr>
          <w:rFonts w:ascii="Times New Roman" w:hAnsi="Times New Roman" w:cs="Times New Roman"/>
        </w:rPr>
        <w:t xml:space="preserve">. The assessment of the specific circumstances </w:t>
      </w:r>
      <w:r w:rsidR="00984547" w:rsidRPr="0013086F">
        <w:rPr>
          <w:rFonts w:ascii="Times New Roman" w:hAnsi="Times New Roman" w:cs="Times New Roman"/>
        </w:rPr>
        <w:t>includes giving weight to</w:t>
      </w:r>
      <w:r w:rsidR="008148AC" w:rsidRPr="0013086F">
        <w:rPr>
          <w:rFonts w:ascii="Times New Roman" w:hAnsi="Times New Roman" w:cs="Times New Roman"/>
        </w:rPr>
        <w:t xml:space="preserve"> policy constra</w:t>
      </w:r>
      <w:r w:rsidR="0081196F" w:rsidRPr="0013086F">
        <w:rPr>
          <w:rFonts w:ascii="Times New Roman" w:hAnsi="Times New Roman" w:cs="Times New Roman"/>
        </w:rPr>
        <w:t>i</w:t>
      </w:r>
      <w:r w:rsidR="00984547" w:rsidRPr="0013086F">
        <w:rPr>
          <w:rFonts w:ascii="Times New Roman" w:hAnsi="Times New Roman" w:cs="Times New Roman"/>
        </w:rPr>
        <w:t>nts and pragmatic limitations inherent in</w:t>
      </w:r>
      <w:r w:rsidR="0081196F" w:rsidRPr="0013086F">
        <w:rPr>
          <w:rFonts w:ascii="Times New Roman" w:hAnsi="Times New Roman" w:cs="Times New Roman"/>
        </w:rPr>
        <w:t xml:space="preserve"> international criminal law. </w:t>
      </w:r>
      <w:r w:rsidR="00715A8D" w:rsidRPr="0013086F">
        <w:rPr>
          <w:rFonts w:ascii="Times New Roman" w:hAnsi="Times New Roman" w:cs="Times New Roman"/>
        </w:rPr>
        <w:t xml:space="preserve">Judicial discretion allows for this delicate </w:t>
      </w:r>
      <w:r w:rsidR="00984547" w:rsidRPr="0013086F">
        <w:rPr>
          <w:rFonts w:ascii="Times New Roman" w:hAnsi="Times New Roman" w:cs="Times New Roman"/>
        </w:rPr>
        <w:t xml:space="preserve">balancing </w:t>
      </w:r>
      <w:r w:rsidR="00715A8D" w:rsidRPr="0013086F">
        <w:rPr>
          <w:rFonts w:ascii="Times New Roman" w:hAnsi="Times New Roman" w:cs="Times New Roman"/>
        </w:rPr>
        <w:t xml:space="preserve">exercise to take place. It is not incidental that both the </w:t>
      </w:r>
      <w:r w:rsidR="00F97746" w:rsidRPr="0013086F">
        <w:rPr>
          <w:rFonts w:ascii="Times New Roman" w:hAnsi="Times New Roman" w:cs="Times New Roman"/>
        </w:rPr>
        <w:t>Statutes of the ad hoc tribunals</w:t>
      </w:r>
      <w:r w:rsidR="00715A8D" w:rsidRPr="0013086F">
        <w:rPr>
          <w:rFonts w:ascii="Times New Roman" w:hAnsi="Times New Roman" w:cs="Times New Roman"/>
        </w:rPr>
        <w:t xml:space="preserve"> and the Rome Statute have specific provisions directed at judges</w:t>
      </w:r>
      <w:r w:rsidR="00984547" w:rsidRPr="0013086F">
        <w:rPr>
          <w:rFonts w:ascii="Times New Roman" w:hAnsi="Times New Roman" w:cs="Times New Roman"/>
        </w:rPr>
        <w:t xml:space="preserve"> and</w:t>
      </w:r>
      <w:r w:rsidR="00715A8D" w:rsidRPr="0013086F">
        <w:rPr>
          <w:rFonts w:ascii="Times New Roman" w:hAnsi="Times New Roman" w:cs="Times New Roman"/>
        </w:rPr>
        <w:t xml:space="preserve"> requiring them to ensure</w:t>
      </w:r>
      <w:r w:rsidR="00715A8D" w:rsidRPr="0013086F">
        <w:rPr>
          <w:rFonts w:ascii="Times New Roman" w:eastAsia="Times New Roman" w:hAnsi="Times New Roman" w:cs="Times New Roman"/>
          <w:color w:val="000000"/>
          <w:shd w:val="clear" w:color="auto" w:fill="FFFFFF"/>
        </w:rPr>
        <w:t xml:space="preserve"> that a trial is fair and expeditious and is conducted with full respect for the rights of the accused and due regard for the protection of victims and witnesses.</w:t>
      </w:r>
      <w:r w:rsidR="00715A8D" w:rsidRPr="0013086F">
        <w:rPr>
          <w:rStyle w:val="FootnoteReference"/>
          <w:rFonts w:ascii="Times New Roman" w:hAnsi="Times New Roman" w:cs="Times New Roman"/>
        </w:rPr>
        <w:footnoteReference w:id="65"/>
      </w:r>
      <w:r w:rsidR="00715A8D" w:rsidRPr="0013086F">
        <w:rPr>
          <w:rFonts w:ascii="Times New Roman" w:hAnsi="Times New Roman" w:cs="Times New Roman"/>
        </w:rPr>
        <w:t xml:space="preserve"> These provisions are </w:t>
      </w:r>
      <w:r w:rsidR="00715A8D" w:rsidRPr="0013086F">
        <w:rPr>
          <w:rFonts w:ascii="Times New Roman" w:eastAsia="Times New Roman" w:hAnsi="Times New Roman" w:cs="Times New Roman"/>
          <w:i/>
          <w:color w:val="000000"/>
          <w:shd w:val="clear" w:color="auto" w:fill="FFFFFF"/>
        </w:rPr>
        <w:t xml:space="preserve">lex generalis </w:t>
      </w:r>
      <w:r w:rsidR="00CA44CE" w:rsidRPr="0013086F">
        <w:rPr>
          <w:rFonts w:ascii="Times New Roman" w:eastAsia="Times New Roman" w:hAnsi="Times New Roman" w:cs="Times New Roman"/>
          <w:color w:val="000000"/>
          <w:shd w:val="clear" w:color="auto" w:fill="FFFFFF"/>
        </w:rPr>
        <w:t>and</w:t>
      </w:r>
      <w:r w:rsidR="00715A8D" w:rsidRPr="0013086F">
        <w:rPr>
          <w:rFonts w:ascii="Times New Roman" w:eastAsia="Times New Roman" w:hAnsi="Times New Roman" w:cs="Times New Roman"/>
          <w:color w:val="000000"/>
          <w:shd w:val="clear" w:color="auto" w:fill="FFFFFF"/>
        </w:rPr>
        <w:t xml:space="preserve"> they create a general framework for the exercise of judicial discretion. </w:t>
      </w:r>
      <w:r w:rsidR="00753E1F" w:rsidRPr="0013086F">
        <w:rPr>
          <w:rFonts w:ascii="Times New Roman" w:eastAsia="Times New Roman" w:hAnsi="Times New Roman" w:cs="Times New Roman"/>
          <w:color w:val="000000"/>
          <w:shd w:val="clear" w:color="auto" w:fill="FFFFFF"/>
        </w:rPr>
        <w:t xml:space="preserve">Specific concerns </w:t>
      </w:r>
      <w:r w:rsidR="00715A8D" w:rsidRPr="0013086F">
        <w:rPr>
          <w:rFonts w:ascii="Times New Roman" w:eastAsia="Times New Roman" w:hAnsi="Times New Roman" w:cs="Times New Roman"/>
          <w:color w:val="000000"/>
          <w:shd w:val="clear" w:color="auto" w:fill="FFFFFF"/>
        </w:rPr>
        <w:t>are then viewed through the prism of this rule.</w:t>
      </w:r>
      <w:r w:rsidR="00190C38" w:rsidRPr="0013086F">
        <w:rPr>
          <w:rFonts w:ascii="Times New Roman" w:eastAsia="Times New Roman" w:hAnsi="Times New Roman" w:cs="Times New Roman"/>
          <w:color w:val="000000"/>
          <w:shd w:val="clear" w:color="auto" w:fill="FFFFFF"/>
        </w:rPr>
        <w:t xml:space="preserve"> </w:t>
      </w:r>
      <w:r w:rsidR="00753E1F" w:rsidRPr="0013086F">
        <w:rPr>
          <w:rFonts w:ascii="Times New Roman" w:eastAsia="Times New Roman" w:hAnsi="Times New Roman" w:cs="Times New Roman"/>
          <w:color w:val="000000"/>
          <w:shd w:val="clear" w:color="auto" w:fill="FFFFFF"/>
        </w:rPr>
        <w:t>This is not to suggest that judicial discretion is not implicit in other provisions o</w:t>
      </w:r>
      <w:r w:rsidR="004C0073" w:rsidRPr="0013086F">
        <w:rPr>
          <w:rFonts w:ascii="Times New Roman" w:eastAsia="Times New Roman" w:hAnsi="Times New Roman" w:cs="Times New Roman"/>
          <w:color w:val="000000"/>
          <w:shd w:val="clear" w:color="auto" w:fill="FFFFFF"/>
        </w:rPr>
        <w:t xml:space="preserve">f the Rome Statute. </w:t>
      </w:r>
      <w:r w:rsidR="00984547" w:rsidRPr="0013086F">
        <w:rPr>
          <w:rFonts w:ascii="Times New Roman" w:eastAsia="Times New Roman" w:hAnsi="Times New Roman" w:cs="Times New Roman"/>
          <w:color w:val="000000"/>
          <w:shd w:val="clear" w:color="auto" w:fill="FFFFFF"/>
        </w:rPr>
        <w:t xml:space="preserve">For example, </w:t>
      </w:r>
      <w:r w:rsidR="004C0073" w:rsidRPr="0013086F">
        <w:rPr>
          <w:rFonts w:ascii="Times New Roman" w:eastAsia="Times New Roman" w:hAnsi="Times New Roman" w:cs="Times New Roman"/>
          <w:color w:val="000000"/>
          <w:shd w:val="clear" w:color="auto" w:fill="FFFFFF"/>
        </w:rPr>
        <w:t>Article 69(4</w:t>
      </w:r>
      <w:r w:rsidR="00753E1F" w:rsidRPr="0013086F">
        <w:rPr>
          <w:rFonts w:ascii="Times New Roman" w:eastAsia="Times New Roman" w:hAnsi="Times New Roman" w:cs="Times New Roman"/>
          <w:color w:val="000000"/>
          <w:shd w:val="clear" w:color="auto" w:fill="FFFFFF"/>
        </w:rPr>
        <w:t xml:space="preserve">) reads as follows: </w:t>
      </w:r>
    </w:p>
    <w:p w14:paraId="4074459E" w14:textId="77777777" w:rsidR="00DF165A" w:rsidRPr="0013086F" w:rsidRDefault="00DF165A" w:rsidP="006066C4">
      <w:pPr>
        <w:spacing w:line="480" w:lineRule="auto"/>
        <w:jc w:val="both"/>
        <w:rPr>
          <w:rFonts w:ascii="Times New Roman" w:hAnsi="Times New Roman" w:cs="Times New Roman"/>
        </w:rPr>
      </w:pPr>
    </w:p>
    <w:p w14:paraId="70BDAF70" w14:textId="0BCFE151" w:rsidR="0053043A" w:rsidRPr="0013086F" w:rsidRDefault="004C0073" w:rsidP="006066C4">
      <w:pPr>
        <w:spacing w:line="480" w:lineRule="auto"/>
        <w:ind w:left="567"/>
        <w:jc w:val="both"/>
        <w:rPr>
          <w:rFonts w:ascii="Times New Roman" w:eastAsia="Times New Roman" w:hAnsi="Times New Roman" w:cs="Times New Roman"/>
          <w:lang w:val="en-GB"/>
        </w:rPr>
      </w:pPr>
      <w:r w:rsidRPr="0013086F">
        <w:rPr>
          <w:rFonts w:ascii="Times New Roman" w:eastAsia="Times New Roman" w:hAnsi="Times New Roman" w:cs="Times New Roman"/>
          <w:lang w:val="en-GB"/>
        </w:rPr>
        <w:t>The Court may rule on the relevance or admissibility of any evidence, taking into account, inter alia, the probative value of the evidence and any prejudice that such evidence may cause to a fair trial or to a fair evaluation of the testimony of a witness, in accordance with the Rules of Procedure and Evidence.</w:t>
      </w:r>
    </w:p>
    <w:p w14:paraId="098E49B4" w14:textId="77777777" w:rsidR="004C0073" w:rsidRPr="0013086F" w:rsidRDefault="004C0073" w:rsidP="006066C4">
      <w:pPr>
        <w:spacing w:line="480" w:lineRule="auto"/>
        <w:jc w:val="both"/>
        <w:rPr>
          <w:rFonts w:ascii="Times New Roman" w:hAnsi="Times New Roman" w:cs="Times New Roman"/>
        </w:rPr>
      </w:pPr>
    </w:p>
    <w:p w14:paraId="41039447" w14:textId="146777BD" w:rsidR="004C0073" w:rsidRPr="0013086F" w:rsidRDefault="00E55984" w:rsidP="006066C4">
      <w:pPr>
        <w:widowControl w:val="0"/>
        <w:autoSpaceDE w:val="0"/>
        <w:autoSpaceDN w:val="0"/>
        <w:adjustRightInd w:val="0"/>
        <w:spacing w:after="240" w:line="480" w:lineRule="auto"/>
        <w:jc w:val="both"/>
        <w:rPr>
          <w:rFonts w:ascii="Times New Roman" w:hAnsi="Times New Roman" w:cs="Times New Roman"/>
        </w:rPr>
      </w:pPr>
      <w:r w:rsidRPr="0013086F">
        <w:rPr>
          <w:rFonts w:ascii="Times New Roman" w:hAnsi="Times New Roman" w:cs="Times New Roman"/>
        </w:rPr>
        <w:t>The</w:t>
      </w:r>
      <w:r w:rsidR="004C0073" w:rsidRPr="0013086F">
        <w:rPr>
          <w:rFonts w:ascii="Times New Roman" w:hAnsi="Times New Roman" w:cs="Times New Roman"/>
        </w:rPr>
        <w:t xml:space="preserve"> judges </w:t>
      </w:r>
      <w:r w:rsidRPr="0013086F">
        <w:rPr>
          <w:rFonts w:ascii="Times New Roman" w:hAnsi="Times New Roman" w:cs="Times New Roman"/>
        </w:rPr>
        <w:t xml:space="preserve">are thus equipped </w:t>
      </w:r>
      <w:r w:rsidR="00F11CFA">
        <w:rPr>
          <w:rFonts w:ascii="Times New Roman" w:hAnsi="Times New Roman" w:cs="Times New Roman"/>
        </w:rPr>
        <w:t>with</w:t>
      </w:r>
      <w:r w:rsidR="004C0073" w:rsidRPr="0013086F">
        <w:rPr>
          <w:rFonts w:ascii="Times New Roman" w:hAnsi="Times New Roman" w:cs="Times New Roman"/>
        </w:rPr>
        <w:t xml:space="preserve"> discretion to reject implicated ev</w:t>
      </w:r>
      <w:r w:rsidRPr="0013086F">
        <w:rPr>
          <w:rFonts w:ascii="Times New Roman" w:hAnsi="Times New Roman" w:cs="Times New Roman"/>
        </w:rPr>
        <w:t>identiary materials. They measure t</w:t>
      </w:r>
      <w:r w:rsidR="004C0073" w:rsidRPr="0013086F">
        <w:rPr>
          <w:rFonts w:ascii="Times New Roman" w:hAnsi="Times New Roman" w:cs="Times New Roman"/>
        </w:rPr>
        <w:t xml:space="preserve">he probative value of the evidence against </w:t>
      </w:r>
      <w:r w:rsidR="003A41B4" w:rsidRPr="0013086F">
        <w:rPr>
          <w:rFonts w:ascii="Times New Roman" w:hAnsi="Times New Roman" w:cs="Times New Roman"/>
        </w:rPr>
        <w:t>the possible prejudice which the admission of the evidence may cause to a fair trial.</w:t>
      </w:r>
      <w:r w:rsidR="003A41B4" w:rsidRPr="0013086F">
        <w:rPr>
          <w:rStyle w:val="FootnoteReference"/>
          <w:rFonts w:ascii="Times New Roman" w:hAnsi="Times New Roman" w:cs="Times New Roman"/>
        </w:rPr>
        <w:footnoteReference w:id="66"/>
      </w:r>
      <w:r w:rsidR="003A41B4" w:rsidRPr="0013086F">
        <w:rPr>
          <w:rFonts w:ascii="Times New Roman" w:hAnsi="Times New Roman" w:cs="Times New Roman"/>
        </w:rPr>
        <w:t xml:space="preserve"> </w:t>
      </w:r>
      <w:r w:rsidR="0061682A" w:rsidRPr="0013086F">
        <w:rPr>
          <w:rFonts w:ascii="Times New Roman" w:hAnsi="Times New Roman" w:cs="Times New Roman"/>
        </w:rPr>
        <w:t xml:space="preserve">This provision </w:t>
      </w:r>
      <w:r w:rsidRPr="0013086F">
        <w:rPr>
          <w:rFonts w:ascii="Times New Roman" w:hAnsi="Times New Roman" w:cs="Times New Roman"/>
        </w:rPr>
        <w:t>was</w:t>
      </w:r>
      <w:r w:rsidR="0061682A" w:rsidRPr="0013086F">
        <w:rPr>
          <w:rFonts w:ascii="Times New Roman" w:hAnsi="Times New Roman" w:cs="Times New Roman"/>
        </w:rPr>
        <w:t xml:space="preserve"> the basis for Chamber’s rejection to admit into evidence recordings of an interview between the witness and investigators of the Office of the Prosecutor in the </w:t>
      </w:r>
      <w:r w:rsidR="0061682A" w:rsidRPr="0013086F">
        <w:rPr>
          <w:rFonts w:ascii="Times New Roman" w:hAnsi="Times New Roman" w:cs="Times New Roman"/>
          <w:i/>
        </w:rPr>
        <w:t>Ruto</w:t>
      </w:r>
      <w:r w:rsidR="0061682A" w:rsidRPr="0013086F">
        <w:rPr>
          <w:rFonts w:ascii="Times New Roman" w:hAnsi="Times New Roman" w:cs="Times New Roman"/>
        </w:rPr>
        <w:t xml:space="preserve"> case. </w:t>
      </w:r>
      <w:r w:rsidR="00292B17" w:rsidRPr="0013086F">
        <w:rPr>
          <w:rFonts w:ascii="Times New Roman" w:hAnsi="Times New Roman" w:cs="Times New Roman"/>
        </w:rPr>
        <w:t>In this instance, the judges were not convinced that witness’s waiver of the right to the presence of counsel was t</w:t>
      </w:r>
      <w:r w:rsidR="00F11CFA">
        <w:rPr>
          <w:rFonts w:ascii="Times New Roman" w:hAnsi="Times New Roman" w:cs="Times New Roman"/>
        </w:rPr>
        <w:t>ruly voluntary in the light of</w:t>
      </w:r>
      <w:r w:rsidR="00292B17" w:rsidRPr="0013086F">
        <w:rPr>
          <w:rFonts w:ascii="Times New Roman" w:hAnsi="Times New Roman" w:cs="Times New Roman"/>
        </w:rPr>
        <w:t xml:space="preserve"> investigators’ failure to record their initial contact with the witness and </w:t>
      </w:r>
      <w:r w:rsidR="004C47D4" w:rsidRPr="0013086F">
        <w:rPr>
          <w:rFonts w:ascii="Times New Roman" w:hAnsi="Times New Roman" w:cs="Times New Roman"/>
        </w:rPr>
        <w:t>the</w:t>
      </w:r>
      <w:r w:rsidR="00A61302" w:rsidRPr="0013086F">
        <w:rPr>
          <w:rFonts w:ascii="Times New Roman" w:hAnsi="Times New Roman" w:cs="Times New Roman"/>
        </w:rPr>
        <w:t xml:space="preserve">n </w:t>
      </w:r>
      <w:r w:rsidR="004C47D4" w:rsidRPr="0013086F">
        <w:rPr>
          <w:rFonts w:ascii="Times New Roman" w:hAnsi="Times New Roman" w:cs="Times New Roman"/>
        </w:rPr>
        <w:t xml:space="preserve">rushing </w:t>
      </w:r>
      <w:r w:rsidR="00A61302" w:rsidRPr="0013086F">
        <w:rPr>
          <w:rFonts w:ascii="Times New Roman" w:hAnsi="Times New Roman" w:cs="Times New Roman"/>
        </w:rPr>
        <w:t>him</w:t>
      </w:r>
      <w:r w:rsidR="004C47D4" w:rsidRPr="0013086F">
        <w:rPr>
          <w:rFonts w:ascii="Times New Roman" w:hAnsi="Times New Roman" w:cs="Times New Roman"/>
        </w:rPr>
        <w:t xml:space="preserve"> through the waiver during the interview</w:t>
      </w:r>
      <w:r w:rsidR="00292B17" w:rsidRPr="0013086F">
        <w:rPr>
          <w:rFonts w:ascii="Times New Roman" w:hAnsi="Times New Roman" w:cs="Times New Roman"/>
        </w:rPr>
        <w:t>.</w:t>
      </w:r>
      <w:r w:rsidR="00292B17" w:rsidRPr="0013086F">
        <w:rPr>
          <w:rStyle w:val="FootnoteReference"/>
          <w:rFonts w:ascii="Times New Roman" w:hAnsi="Times New Roman" w:cs="Times New Roman"/>
        </w:rPr>
        <w:footnoteReference w:id="67"/>
      </w:r>
      <w:r w:rsidR="00932F99" w:rsidRPr="0013086F">
        <w:rPr>
          <w:rFonts w:ascii="Times New Roman" w:hAnsi="Times New Roman" w:cs="Times New Roman"/>
        </w:rPr>
        <w:t xml:space="preserve"> </w:t>
      </w:r>
    </w:p>
    <w:p w14:paraId="5E3E1466" w14:textId="1ADE4987" w:rsidR="004E46AF" w:rsidRPr="0013086F" w:rsidRDefault="00B80628" w:rsidP="006066C4">
      <w:pPr>
        <w:spacing w:line="480" w:lineRule="auto"/>
        <w:jc w:val="both"/>
        <w:rPr>
          <w:rFonts w:ascii="Times New Roman" w:hAnsi="Times New Roman" w:cs="Times New Roman"/>
        </w:rPr>
      </w:pPr>
      <w:r w:rsidRPr="0013086F">
        <w:rPr>
          <w:rFonts w:ascii="Times New Roman" w:hAnsi="Times New Roman" w:cs="Times New Roman"/>
        </w:rPr>
        <w:t>Judicial discretion is</w:t>
      </w:r>
      <w:r w:rsidR="0022799E" w:rsidRPr="0013086F">
        <w:rPr>
          <w:rFonts w:ascii="Times New Roman" w:hAnsi="Times New Roman" w:cs="Times New Roman"/>
        </w:rPr>
        <w:t xml:space="preserve"> therefore</w:t>
      </w:r>
      <w:r w:rsidRPr="0013086F">
        <w:rPr>
          <w:rFonts w:ascii="Times New Roman" w:hAnsi="Times New Roman" w:cs="Times New Roman"/>
        </w:rPr>
        <w:t xml:space="preserve"> a powerful tool for defining the scope of rights afforded to different parties. </w:t>
      </w:r>
      <w:r w:rsidR="00F97746" w:rsidRPr="0013086F">
        <w:rPr>
          <w:rFonts w:ascii="Times New Roman" w:hAnsi="Times New Roman" w:cs="Times New Roman"/>
        </w:rPr>
        <w:t>The specificity of indictments at the ICTY</w:t>
      </w:r>
      <w:r w:rsidR="00842479" w:rsidRPr="0013086F">
        <w:rPr>
          <w:rFonts w:ascii="Times New Roman" w:hAnsi="Times New Roman" w:cs="Times New Roman"/>
        </w:rPr>
        <w:t xml:space="preserve"> is a good example of the measure of control</w:t>
      </w:r>
      <w:r w:rsidR="00F97746" w:rsidRPr="0013086F">
        <w:rPr>
          <w:rFonts w:ascii="Times New Roman" w:hAnsi="Times New Roman" w:cs="Times New Roman"/>
        </w:rPr>
        <w:t xml:space="preserve"> resting with the judges. Jordash and Coughlan note that for a long time the predominant approach of the ad hoc tribunals was to require lesser degree of particularity of the indictments </w:t>
      </w:r>
      <w:r w:rsidR="00350565" w:rsidRPr="0013086F">
        <w:rPr>
          <w:rFonts w:ascii="Times New Roman" w:hAnsi="Times New Roman" w:cs="Times New Roman"/>
        </w:rPr>
        <w:t xml:space="preserve">as compared with domestic proceedings. The judges </w:t>
      </w:r>
      <w:r w:rsidR="00E578CE" w:rsidRPr="0013086F">
        <w:rPr>
          <w:rFonts w:ascii="Times New Roman" w:hAnsi="Times New Roman" w:cs="Times New Roman"/>
        </w:rPr>
        <w:t xml:space="preserve">left unchallenged </w:t>
      </w:r>
      <w:r w:rsidR="00842479" w:rsidRPr="0013086F">
        <w:rPr>
          <w:rFonts w:ascii="Times New Roman" w:hAnsi="Times New Roman" w:cs="Times New Roman"/>
        </w:rPr>
        <w:t xml:space="preserve">prosecution’s </w:t>
      </w:r>
      <w:r w:rsidR="00350565" w:rsidRPr="0013086F">
        <w:rPr>
          <w:rFonts w:ascii="Times New Roman" w:hAnsi="Times New Roman" w:cs="Times New Roman"/>
        </w:rPr>
        <w:t>justification that the massive scale of crimes at stake makes it impracticable to require higher degree of specificity.</w:t>
      </w:r>
      <w:r w:rsidR="00350565" w:rsidRPr="0013086F">
        <w:rPr>
          <w:rStyle w:val="FootnoteReference"/>
          <w:rFonts w:ascii="Times New Roman" w:hAnsi="Times New Roman" w:cs="Times New Roman"/>
        </w:rPr>
        <w:footnoteReference w:id="68"/>
      </w:r>
      <w:r w:rsidR="00842479" w:rsidRPr="0013086F">
        <w:rPr>
          <w:rFonts w:ascii="Times New Roman" w:hAnsi="Times New Roman" w:cs="Times New Roman"/>
        </w:rPr>
        <w:t xml:space="preserve"> </w:t>
      </w:r>
      <w:r w:rsidR="00E578CE" w:rsidRPr="0013086F">
        <w:rPr>
          <w:rFonts w:ascii="Times New Roman" w:hAnsi="Times New Roman" w:cs="Times New Roman"/>
        </w:rPr>
        <w:t xml:space="preserve">The efficiency of prosecutorial strategies underlying this statement did not </w:t>
      </w:r>
      <w:r w:rsidR="00243D12" w:rsidRPr="0013086F">
        <w:rPr>
          <w:rFonts w:ascii="Times New Roman" w:hAnsi="Times New Roman" w:cs="Times New Roman"/>
        </w:rPr>
        <w:t xml:space="preserve">for a long time </w:t>
      </w:r>
      <w:r w:rsidR="00E578CE" w:rsidRPr="0013086F">
        <w:rPr>
          <w:rFonts w:ascii="Times New Roman" w:hAnsi="Times New Roman" w:cs="Times New Roman"/>
        </w:rPr>
        <w:t>provoke judicial scrutiny. This complacency resulted in a gap between the right of the accused to be informed about the charges against him and a practical implementation of this right.</w:t>
      </w:r>
      <w:r w:rsidR="00E578CE" w:rsidRPr="0013086F">
        <w:rPr>
          <w:rStyle w:val="FootnoteReference"/>
          <w:rFonts w:ascii="Times New Roman" w:hAnsi="Times New Roman" w:cs="Times New Roman"/>
        </w:rPr>
        <w:footnoteReference w:id="69"/>
      </w:r>
    </w:p>
    <w:p w14:paraId="62729AFA" w14:textId="77777777" w:rsidR="00F934E5" w:rsidRPr="0013086F" w:rsidRDefault="00F934E5" w:rsidP="006066C4">
      <w:pPr>
        <w:spacing w:line="480" w:lineRule="auto"/>
        <w:jc w:val="both"/>
        <w:rPr>
          <w:rFonts w:ascii="Times New Roman" w:hAnsi="Times New Roman" w:cs="Times New Roman"/>
        </w:rPr>
      </w:pPr>
    </w:p>
    <w:p w14:paraId="460FB0B8" w14:textId="5B42C0EC" w:rsidR="0034172C" w:rsidRPr="0013086F" w:rsidRDefault="00AB3E35" w:rsidP="006066C4">
      <w:pPr>
        <w:spacing w:line="480" w:lineRule="auto"/>
        <w:jc w:val="both"/>
        <w:rPr>
          <w:rFonts w:ascii="Times New Roman" w:hAnsi="Times New Roman" w:cs="Times New Roman"/>
        </w:rPr>
      </w:pPr>
      <w:r w:rsidRPr="0013086F">
        <w:rPr>
          <w:rFonts w:ascii="Times New Roman" w:hAnsi="Times New Roman" w:cs="Times New Roman"/>
        </w:rPr>
        <w:t>The</w:t>
      </w:r>
      <w:r w:rsidR="00F934E5" w:rsidRPr="0013086F">
        <w:rPr>
          <w:rFonts w:ascii="Times New Roman" w:hAnsi="Times New Roman" w:cs="Times New Roman"/>
        </w:rPr>
        <w:t xml:space="preserve"> </w:t>
      </w:r>
      <w:r w:rsidR="00F934E5" w:rsidRPr="0013086F">
        <w:rPr>
          <w:rFonts w:ascii="Times New Roman" w:hAnsi="Times New Roman" w:cs="Times New Roman"/>
          <w:i/>
        </w:rPr>
        <w:t>Al Senussi</w:t>
      </w:r>
      <w:r w:rsidRPr="0013086F">
        <w:rPr>
          <w:rFonts w:ascii="Times New Roman" w:hAnsi="Times New Roman" w:cs="Times New Roman"/>
        </w:rPr>
        <w:t xml:space="preserve"> case is a vivid example of the immense role judicial discretion plays at the ICC.</w:t>
      </w:r>
      <w:r w:rsidR="00EC716E" w:rsidRPr="0013086F">
        <w:rPr>
          <w:rFonts w:ascii="Times New Roman" w:hAnsi="Times New Roman" w:cs="Times New Roman"/>
        </w:rPr>
        <w:t xml:space="preserve"> </w:t>
      </w:r>
      <w:r w:rsidR="002E2DF6" w:rsidRPr="0013086F">
        <w:rPr>
          <w:rFonts w:ascii="Times New Roman" w:hAnsi="Times New Roman" w:cs="Times New Roman"/>
        </w:rPr>
        <w:t>The l</w:t>
      </w:r>
      <w:r w:rsidR="00EC716E" w:rsidRPr="0013086F">
        <w:rPr>
          <w:rFonts w:ascii="Times New Roman" w:hAnsi="Times New Roman" w:cs="Times New Roman"/>
        </w:rPr>
        <w:t xml:space="preserve">egislative framework of the Rome Statute </w:t>
      </w:r>
      <w:r w:rsidR="00567836" w:rsidRPr="0013086F">
        <w:rPr>
          <w:rFonts w:ascii="Times New Roman" w:hAnsi="Times New Roman" w:cs="Times New Roman"/>
        </w:rPr>
        <w:t xml:space="preserve">with its extensive references to due process guarantees </w:t>
      </w:r>
      <w:r w:rsidR="00EC716E" w:rsidRPr="0013086F">
        <w:rPr>
          <w:rFonts w:ascii="Times New Roman" w:hAnsi="Times New Roman" w:cs="Times New Roman"/>
        </w:rPr>
        <w:t xml:space="preserve">arguably allowed for deciding the case both ways. </w:t>
      </w:r>
      <w:r w:rsidR="002E2DF6" w:rsidRPr="0013086F">
        <w:rPr>
          <w:rFonts w:ascii="Times New Roman" w:hAnsi="Times New Roman" w:cs="Times New Roman"/>
        </w:rPr>
        <w:t xml:space="preserve">It rested with the judges to </w:t>
      </w:r>
      <w:r w:rsidR="00325A5B" w:rsidRPr="0013086F">
        <w:rPr>
          <w:rFonts w:ascii="Times New Roman" w:hAnsi="Times New Roman" w:cs="Times New Roman"/>
        </w:rPr>
        <w:t>rule</w:t>
      </w:r>
      <w:r w:rsidR="002E2DF6" w:rsidRPr="0013086F">
        <w:rPr>
          <w:rFonts w:ascii="Times New Roman" w:hAnsi="Times New Roman" w:cs="Times New Roman"/>
        </w:rPr>
        <w:t xml:space="preserve"> on the degree of compliance with human rights law norms </w:t>
      </w:r>
      <w:r w:rsidR="00592834" w:rsidRPr="0013086F">
        <w:rPr>
          <w:rFonts w:ascii="Times New Roman" w:hAnsi="Times New Roman" w:cs="Times New Roman"/>
        </w:rPr>
        <w:t xml:space="preserve">required from Libya. </w:t>
      </w:r>
      <w:r w:rsidR="00EE0F03" w:rsidRPr="0013086F">
        <w:rPr>
          <w:rFonts w:ascii="Times New Roman" w:hAnsi="Times New Roman" w:cs="Times New Roman"/>
        </w:rPr>
        <w:t xml:space="preserve">In doing so, they had to take into account not only </w:t>
      </w:r>
      <w:r w:rsidR="00020E65" w:rsidRPr="0013086F">
        <w:rPr>
          <w:rFonts w:ascii="Times New Roman" w:hAnsi="Times New Roman" w:cs="Times New Roman"/>
        </w:rPr>
        <w:t>the rights of the suspect, but also a nu</w:t>
      </w:r>
      <w:r w:rsidR="00325A5B" w:rsidRPr="0013086F">
        <w:rPr>
          <w:rFonts w:ascii="Times New Roman" w:hAnsi="Times New Roman" w:cs="Times New Roman"/>
        </w:rPr>
        <w:t>mber of other factors including</w:t>
      </w:r>
      <w:r w:rsidR="0021093A" w:rsidRPr="0013086F">
        <w:rPr>
          <w:rFonts w:ascii="Times New Roman" w:hAnsi="Times New Roman" w:cs="Times New Roman"/>
        </w:rPr>
        <w:t xml:space="preserve"> </w:t>
      </w:r>
      <w:r w:rsidR="00AA7A40" w:rsidRPr="0013086F">
        <w:rPr>
          <w:rFonts w:ascii="Times New Roman" w:hAnsi="Times New Roman" w:cs="Times New Roman"/>
        </w:rPr>
        <w:t xml:space="preserve">the importance of </w:t>
      </w:r>
      <w:r w:rsidR="0021093A" w:rsidRPr="0013086F">
        <w:rPr>
          <w:rFonts w:ascii="Times New Roman" w:hAnsi="Times New Roman" w:cs="Times New Roman"/>
        </w:rPr>
        <w:t>vesting trust into local judiciary by upholding t</w:t>
      </w:r>
      <w:r w:rsidR="00AA7A40" w:rsidRPr="0013086F">
        <w:rPr>
          <w:rFonts w:ascii="Times New Roman" w:hAnsi="Times New Roman" w:cs="Times New Roman"/>
        </w:rPr>
        <w:t xml:space="preserve">he principle of complementarity, </w:t>
      </w:r>
      <w:r w:rsidR="00325A5B" w:rsidRPr="0013086F">
        <w:rPr>
          <w:rFonts w:ascii="Times New Roman" w:hAnsi="Times New Roman" w:cs="Times New Roman"/>
        </w:rPr>
        <w:t xml:space="preserve">the security situation in Libya and possible difficulties of apprehending </w:t>
      </w:r>
      <w:r w:rsidR="00AA7A40" w:rsidRPr="0013086F">
        <w:rPr>
          <w:rFonts w:ascii="Times New Roman" w:hAnsi="Times New Roman" w:cs="Times New Roman"/>
        </w:rPr>
        <w:t xml:space="preserve">the suspect. </w:t>
      </w:r>
      <w:r w:rsidR="001B1646" w:rsidRPr="0013086F">
        <w:rPr>
          <w:rFonts w:ascii="Times New Roman" w:hAnsi="Times New Roman" w:cs="Times New Roman"/>
        </w:rPr>
        <w:t xml:space="preserve">At this juncture, the judges </w:t>
      </w:r>
      <w:r w:rsidR="0034172C" w:rsidRPr="0013086F">
        <w:rPr>
          <w:rFonts w:ascii="Times New Roman" w:hAnsi="Times New Roman" w:cs="Times New Roman"/>
        </w:rPr>
        <w:t xml:space="preserve">could either prioritize due process guarantees for the suspect </w:t>
      </w:r>
      <w:r w:rsidR="00C57769" w:rsidRPr="0013086F">
        <w:rPr>
          <w:rFonts w:ascii="Times New Roman" w:hAnsi="Times New Roman" w:cs="Times New Roman"/>
        </w:rPr>
        <w:t xml:space="preserve">and </w:t>
      </w:r>
      <w:r w:rsidR="0034172C" w:rsidRPr="0013086F">
        <w:rPr>
          <w:rFonts w:ascii="Times New Roman" w:hAnsi="Times New Roman" w:cs="Times New Roman"/>
        </w:rPr>
        <w:t>align themselves with the position of the ECtHR</w:t>
      </w:r>
      <w:r w:rsidR="00C57769" w:rsidRPr="0013086F">
        <w:rPr>
          <w:rFonts w:ascii="Times New Roman" w:hAnsi="Times New Roman" w:cs="Times New Roman"/>
        </w:rPr>
        <w:t xml:space="preserve"> or give more weight to other considerations. The ECtHR views the</w:t>
      </w:r>
      <w:r w:rsidR="0034172C" w:rsidRPr="0013086F">
        <w:rPr>
          <w:rFonts w:ascii="Times New Roman" w:hAnsi="Times New Roman" w:cs="Times New Roman"/>
        </w:rPr>
        <w:t xml:space="preserve"> denial of access to lawyer at the early stages of proceedings, including police interrogation, </w:t>
      </w:r>
      <w:r w:rsidR="00C57769" w:rsidRPr="0013086F">
        <w:rPr>
          <w:rFonts w:ascii="Times New Roman" w:hAnsi="Times New Roman" w:cs="Times New Roman"/>
        </w:rPr>
        <w:t>as a</w:t>
      </w:r>
      <w:r w:rsidR="0034172C" w:rsidRPr="0013086F">
        <w:rPr>
          <w:rFonts w:ascii="Times New Roman" w:hAnsi="Times New Roman" w:cs="Times New Roman"/>
        </w:rPr>
        <w:t xml:space="preserve"> violation </w:t>
      </w:r>
      <w:r w:rsidR="00C57769" w:rsidRPr="0013086F">
        <w:rPr>
          <w:rFonts w:ascii="Times New Roman" w:hAnsi="Times New Roman" w:cs="Times New Roman"/>
        </w:rPr>
        <w:t>of a right to fair trial and, in particular, the right to legal representation guaranteed by the ECHR.</w:t>
      </w:r>
      <w:r w:rsidR="0034172C" w:rsidRPr="0013086F">
        <w:rPr>
          <w:rStyle w:val="FootnoteReference"/>
          <w:rFonts w:ascii="Times New Roman" w:hAnsi="Times New Roman" w:cs="Times New Roman"/>
        </w:rPr>
        <w:footnoteReference w:id="70"/>
      </w:r>
    </w:p>
    <w:p w14:paraId="6A4EF62C" w14:textId="77777777" w:rsidR="00C57769" w:rsidRPr="0013086F" w:rsidRDefault="00C57769" w:rsidP="006066C4">
      <w:pPr>
        <w:spacing w:line="480" w:lineRule="auto"/>
        <w:jc w:val="both"/>
        <w:rPr>
          <w:rFonts w:ascii="Times New Roman" w:hAnsi="Times New Roman" w:cs="Times New Roman"/>
        </w:rPr>
      </w:pPr>
    </w:p>
    <w:p w14:paraId="15D3B721" w14:textId="11A13E60" w:rsidR="006223F8" w:rsidRPr="0013086F" w:rsidRDefault="006223F8" w:rsidP="006066C4">
      <w:pPr>
        <w:spacing w:line="480" w:lineRule="auto"/>
        <w:jc w:val="both"/>
        <w:rPr>
          <w:rFonts w:ascii="Times New Roman" w:hAnsi="Times New Roman" w:cs="Times New Roman"/>
        </w:rPr>
      </w:pPr>
      <w:r w:rsidRPr="0013086F">
        <w:rPr>
          <w:rFonts w:ascii="Times New Roman" w:hAnsi="Times New Roman" w:cs="Times New Roman"/>
        </w:rPr>
        <w:t xml:space="preserve">The exercise of discretion in </w:t>
      </w:r>
      <w:r w:rsidRPr="0013086F">
        <w:rPr>
          <w:rFonts w:ascii="Times New Roman" w:hAnsi="Times New Roman" w:cs="Times New Roman"/>
          <w:i/>
        </w:rPr>
        <w:t>Al Senussi</w:t>
      </w:r>
      <w:r w:rsidRPr="0013086F">
        <w:rPr>
          <w:rFonts w:ascii="Times New Roman" w:hAnsi="Times New Roman" w:cs="Times New Roman"/>
        </w:rPr>
        <w:t xml:space="preserve"> resulted in a compromise. The judges recognized the violation of Mr. Al Senussi’s right to legal representation, but </w:t>
      </w:r>
      <w:r w:rsidR="00D45D66" w:rsidRPr="0013086F">
        <w:rPr>
          <w:rFonts w:ascii="Times New Roman" w:hAnsi="Times New Roman" w:cs="Times New Roman"/>
        </w:rPr>
        <w:t xml:space="preserve">then </w:t>
      </w:r>
      <w:r w:rsidR="00CD789F" w:rsidRPr="0013086F">
        <w:rPr>
          <w:rFonts w:ascii="Times New Roman" w:hAnsi="Times New Roman" w:cs="Times New Roman"/>
        </w:rPr>
        <w:t xml:space="preserve">conceded that </w:t>
      </w:r>
      <w:r w:rsidRPr="0013086F">
        <w:rPr>
          <w:rFonts w:ascii="Times New Roman" w:hAnsi="Times New Roman" w:cs="Times New Roman"/>
        </w:rPr>
        <w:t xml:space="preserve">this factor alone did not render the case admissible to the ICC. At the same time, due process concerns were not entirely </w:t>
      </w:r>
      <w:r w:rsidR="00CD789F" w:rsidRPr="0013086F">
        <w:rPr>
          <w:rFonts w:ascii="Times New Roman" w:hAnsi="Times New Roman" w:cs="Times New Roman"/>
        </w:rPr>
        <w:t>neglected</w:t>
      </w:r>
      <w:r w:rsidR="00D45D66" w:rsidRPr="0013086F">
        <w:rPr>
          <w:rFonts w:ascii="Times New Roman" w:hAnsi="Times New Roman" w:cs="Times New Roman"/>
        </w:rPr>
        <w:t xml:space="preserve"> or rendered irrelevant in the admissibility proceedings. The Appeals Chamber upheld qualitative distinction between any violation of the due process rights and violation so sever that it blocks any genuine form of justice at the domestic level.</w:t>
      </w:r>
      <w:r w:rsidR="007E645D" w:rsidRPr="0013086F">
        <w:rPr>
          <w:rFonts w:ascii="Times New Roman" w:hAnsi="Times New Roman" w:cs="Times New Roman"/>
        </w:rPr>
        <w:t xml:space="preserve"> </w:t>
      </w:r>
    </w:p>
    <w:p w14:paraId="5644C740" w14:textId="5AACEA33" w:rsidR="009810FE" w:rsidRPr="0013086F" w:rsidRDefault="009810FE" w:rsidP="006066C4">
      <w:pPr>
        <w:spacing w:line="480" w:lineRule="auto"/>
        <w:jc w:val="both"/>
        <w:rPr>
          <w:rFonts w:ascii="Times New Roman" w:hAnsi="Times New Roman" w:cs="Times New Roman"/>
        </w:rPr>
      </w:pPr>
    </w:p>
    <w:p w14:paraId="6DB436B6" w14:textId="35A3DB1B" w:rsidR="009069ED" w:rsidRPr="0013086F" w:rsidRDefault="009069ED" w:rsidP="006066C4">
      <w:pPr>
        <w:spacing w:line="480" w:lineRule="auto"/>
        <w:jc w:val="both"/>
        <w:rPr>
          <w:rFonts w:ascii="Times New Roman" w:hAnsi="Times New Roman" w:cs="Times New Roman"/>
          <w:b/>
        </w:rPr>
      </w:pPr>
      <w:r w:rsidRPr="0013086F">
        <w:rPr>
          <w:rFonts w:ascii="Times New Roman" w:hAnsi="Times New Roman" w:cs="Times New Roman"/>
          <w:b/>
        </w:rPr>
        <w:t>Conclusion</w:t>
      </w:r>
    </w:p>
    <w:p w14:paraId="5DA26F16" w14:textId="77777777" w:rsidR="00095EEB" w:rsidRPr="0013086F" w:rsidRDefault="00095EEB" w:rsidP="006066C4">
      <w:pPr>
        <w:spacing w:line="480" w:lineRule="auto"/>
        <w:jc w:val="both"/>
        <w:rPr>
          <w:rFonts w:ascii="Times New Roman" w:hAnsi="Times New Roman" w:cs="Times New Roman"/>
        </w:rPr>
      </w:pPr>
    </w:p>
    <w:p w14:paraId="065DB8B2" w14:textId="0635E320" w:rsidR="00C85646" w:rsidRPr="0013086F" w:rsidRDefault="009069ED" w:rsidP="006066C4">
      <w:pPr>
        <w:spacing w:line="480" w:lineRule="auto"/>
        <w:jc w:val="both"/>
        <w:rPr>
          <w:rFonts w:ascii="Times New Roman" w:hAnsi="Times New Roman" w:cs="Times New Roman"/>
        </w:rPr>
      </w:pPr>
      <w:r w:rsidRPr="0013086F">
        <w:rPr>
          <w:rFonts w:ascii="Times New Roman" w:hAnsi="Times New Roman" w:cs="Times New Roman"/>
        </w:rPr>
        <w:t xml:space="preserve">This </w:t>
      </w:r>
      <w:r w:rsidR="00C916DC" w:rsidRPr="0013086F">
        <w:rPr>
          <w:rFonts w:ascii="Times New Roman" w:hAnsi="Times New Roman" w:cs="Times New Roman"/>
        </w:rPr>
        <w:t>article</w:t>
      </w:r>
      <w:r w:rsidRPr="0013086F">
        <w:rPr>
          <w:rFonts w:ascii="Times New Roman" w:hAnsi="Times New Roman" w:cs="Times New Roman"/>
        </w:rPr>
        <w:t xml:space="preserve"> sought to identify the place of human rights</w:t>
      </w:r>
      <w:r w:rsidR="00644D9C" w:rsidRPr="0013086F">
        <w:rPr>
          <w:rFonts w:ascii="Times New Roman" w:hAnsi="Times New Roman" w:cs="Times New Roman"/>
        </w:rPr>
        <w:t>’</w:t>
      </w:r>
      <w:r w:rsidRPr="0013086F">
        <w:rPr>
          <w:rFonts w:ascii="Times New Roman" w:hAnsi="Times New Roman" w:cs="Times New Roman"/>
        </w:rPr>
        <w:t xml:space="preserve"> guarantees within the framework of the Rome Statute of the ICC</w:t>
      </w:r>
      <w:r w:rsidR="00426411">
        <w:rPr>
          <w:rFonts w:ascii="Times New Roman" w:hAnsi="Times New Roman" w:cs="Times New Roman"/>
        </w:rPr>
        <w:t xml:space="preserve"> with the reference to its complementarity regime</w:t>
      </w:r>
      <w:r w:rsidRPr="0013086F">
        <w:rPr>
          <w:rFonts w:ascii="Times New Roman" w:hAnsi="Times New Roman" w:cs="Times New Roman"/>
        </w:rPr>
        <w:t xml:space="preserve">. </w:t>
      </w:r>
      <w:r w:rsidR="00997A66" w:rsidRPr="0013086F">
        <w:rPr>
          <w:rFonts w:ascii="Times New Roman" w:hAnsi="Times New Roman" w:cs="Times New Roman"/>
        </w:rPr>
        <w:t>Human rights law play</w:t>
      </w:r>
      <w:r w:rsidR="00255BF2" w:rsidRPr="0013086F">
        <w:rPr>
          <w:rFonts w:ascii="Times New Roman" w:hAnsi="Times New Roman" w:cs="Times New Roman"/>
        </w:rPr>
        <w:t>s a</w:t>
      </w:r>
      <w:r w:rsidR="00997A66" w:rsidRPr="0013086F">
        <w:rPr>
          <w:rFonts w:ascii="Times New Roman" w:hAnsi="Times New Roman" w:cs="Times New Roman"/>
        </w:rPr>
        <w:t xml:space="preserve"> </w:t>
      </w:r>
      <w:r w:rsidR="00255BF2" w:rsidRPr="0013086F">
        <w:rPr>
          <w:rFonts w:ascii="Times New Roman" w:hAnsi="Times New Roman" w:cs="Times New Roman"/>
        </w:rPr>
        <w:t xml:space="preserve">crucial </w:t>
      </w:r>
      <w:r w:rsidR="00997A66" w:rsidRPr="0013086F">
        <w:rPr>
          <w:rFonts w:ascii="Times New Roman" w:hAnsi="Times New Roman" w:cs="Times New Roman"/>
        </w:rPr>
        <w:t>role in the development of the substantive</w:t>
      </w:r>
      <w:r w:rsidR="00255BF2" w:rsidRPr="0013086F">
        <w:rPr>
          <w:rFonts w:ascii="Times New Roman" w:hAnsi="Times New Roman" w:cs="Times New Roman"/>
        </w:rPr>
        <w:t xml:space="preserve"> and procedural</w:t>
      </w:r>
      <w:r w:rsidR="00997A66" w:rsidRPr="0013086F">
        <w:rPr>
          <w:rFonts w:ascii="Times New Roman" w:hAnsi="Times New Roman" w:cs="Times New Roman"/>
        </w:rPr>
        <w:t xml:space="preserve"> body of</w:t>
      </w:r>
      <w:r w:rsidR="00255BF2" w:rsidRPr="0013086F">
        <w:rPr>
          <w:rFonts w:ascii="Times New Roman" w:hAnsi="Times New Roman" w:cs="Times New Roman"/>
        </w:rPr>
        <w:t xml:space="preserve"> international criminal law.</w:t>
      </w:r>
      <w:r w:rsidR="00997A66" w:rsidRPr="0013086F">
        <w:rPr>
          <w:rFonts w:ascii="Times New Roman" w:hAnsi="Times New Roman" w:cs="Times New Roman"/>
        </w:rPr>
        <w:t xml:space="preserve"> </w:t>
      </w:r>
      <w:r w:rsidR="00004474" w:rsidRPr="0013086F">
        <w:rPr>
          <w:rFonts w:ascii="Times New Roman" w:hAnsi="Times New Roman" w:cs="Times New Roman"/>
        </w:rPr>
        <w:t>Close cooperation of these</w:t>
      </w:r>
      <w:r w:rsidR="00255BF2" w:rsidRPr="0013086F">
        <w:rPr>
          <w:rFonts w:ascii="Times New Roman" w:hAnsi="Times New Roman" w:cs="Times New Roman"/>
        </w:rPr>
        <w:t xml:space="preserve"> two disciplines does not rule out the possibility of conflicts</w:t>
      </w:r>
      <w:r w:rsidR="00413A0E" w:rsidRPr="0013086F">
        <w:rPr>
          <w:rFonts w:ascii="Times New Roman" w:hAnsi="Times New Roman" w:cs="Times New Roman"/>
        </w:rPr>
        <w:t>, however. They arise</w:t>
      </w:r>
      <w:r w:rsidR="00255BF2" w:rsidRPr="0013086F">
        <w:rPr>
          <w:rFonts w:ascii="Times New Roman" w:hAnsi="Times New Roman" w:cs="Times New Roman"/>
        </w:rPr>
        <w:t xml:space="preserve"> primarily out </w:t>
      </w:r>
      <w:r w:rsidR="00C14B79">
        <w:rPr>
          <w:rFonts w:ascii="Times New Roman" w:hAnsi="Times New Roman" w:cs="Times New Roman"/>
        </w:rPr>
        <w:t xml:space="preserve">of </w:t>
      </w:r>
      <w:r w:rsidR="00255BF2" w:rsidRPr="0013086F">
        <w:rPr>
          <w:rFonts w:ascii="Times New Roman" w:hAnsi="Times New Roman" w:cs="Times New Roman"/>
        </w:rPr>
        <w:t>divergent purposes and architecture</w:t>
      </w:r>
      <w:r w:rsidR="00413A0E" w:rsidRPr="0013086F">
        <w:rPr>
          <w:rFonts w:ascii="Times New Roman" w:hAnsi="Times New Roman" w:cs="Times New Roman"/>
        </w:rPr>
        <w:t xml:space="preserve"> of the two fields of law: i</w:t>
      </w:r>
      <w:r w:rsidR="00255BF2" w:rsidRPr="0013086F">
        <w:rPr>
          <w:rFonts w:ascii="Times New Roman" w:hAnsi="Times New Roman" w:cs="Times New Roman"/>
        </w:rPr>
        <w:t xml:space="preserve">nternational criminal law concerns with an individual accused and borrows </w:t>
      </w:r>
      <w:r w:rsidR="00413A0E" w:rsidRPr="0013086F">
        <w:rPr>
          <w:rFonts w:ascii="Times New Roman" w:hAnsi="Times New Roman" w:cs="Times New Roman"/>
        </w:rPr>
        <w:t xml:space="preserve">heavily </w:t>
      </w:r>
      <w:r w:rsidR="00255BF2" w:rsidRPr="0013086F">
        <w:rPr>
          <w:rFonts w:ascii="Times New Roman" w:hAnsi="Times New Roman" w:cs="Times New Roman"/>
        </w:rPr>
        <w:t>from domestic criminal law, while human rights law is premised on the idea of state responsibility and</w:t>
      </w:r>
      <w:r w:rsidR="00413A0E" w:rsidRPr="0013086F">
        <w:rPr>
          <w:rFonts w:ascii="Times New Roman" w:hAnsi="Times New Roman" w:cs="Times New Roman"/>
        </w:rPr>
        <w:t xml:space="preserve">, despite its aspirational focus </w:t>
      </w:r>
      <w:r w:rsidR="00C14B79">
        <w:rPr>
          <w:rFonts w:ascii="Times New Roman" w:hAnsi="Times New Roman" w:cs="Times New Roman"/>
        </w:rPr>
        <w:t>and characteristic</w:t>
      </w:r>
      <w:r w:rsidR="00413A0E" w:rsidRPr="0013086F">
        <w:rPr>
          <w:rFonts w:ascii="Times New Roman" w:hAnsi="Times New Roman" w:cs="Times New Roman"/>
        </w:rPr>
        <w:t xml:space="preserve"> teleological methods of interpretation,</w:t>
      </w:r>
      <w:r w:rsidR="00255BF2" w:rsidRPr="0013086F">
        <w:rPr>
          <w:rFonts w:ascii="Times New Roman" w:hAnsi="Times New Roman" w:cs="Times New Roman"/>
        </w:rPr>
        <w:t xml:space="preserve"> </w:t>
      </w:r>
      <w:r w:rsidR="00004474" w:rsidRPr="0013086F">
        <w:rPr>
          <w:rFonts w:ascii="Times New Roman" w:hAnsi="Times New Roman" w:cs="Times New Roman"/>
        </w:rPr>
        <w:t>incorporates</w:t>
      </w:r>
      <w:r w:rsidR="00413A0E" w:rsidRPr="0013086F">
        <w:rPr>
          <w:rFonts w:ascii="Times New Roman" w:hAnsi="Times New Roman" w:cs="Times New Roman"/>
        </w:rPr>
        <w:t xml:space="preserve"> m</w:t>
      </w:r>
      <w:r w:rsidR="006B7BF9" w:rsidRPr="0013086F">
        <w:rPr>
          <w:rFonts w:ascii="Times New Roman" w:hAnsi="Times New Roman" w:cs="Times New Roman"/>
        </w:rPr>
        <w:t>ore</w:t>
      </w:r>
      <w:r w:rsidR="00413A0E" w:rsidRPr="0013086F">
        <w:rPr>
          <w:rFonts w:ascii="Times New Roman" w:hAnsi="Times New Roman" w:cs="Times New Roman"/>
        </w:rPr>
        <w:t xml:space="preserve"> </w:t>
      </w:r>
      <w:r w:rsidR="00255BF2" w:rsidRPr="0013086F">
        <w:rPr>
          <w:rFonts w:ascii="Times New Roman" w:hAnsi="Times New Roman" w:cs="Times New Roman"/>
        </w:rPr>
        <w:t xml:space="preserve">features of </w:t>
      </w:r>
      <w:r w:rsidR="00004474" w:rsidRPr="0013086F">
        <w:rPr>
          <w:rFonts w:ascii="Times New Roman" w:hAnsi="Times New Roman" w:cs="Times New Roman"/>
        </w:rPr>
        <w:t xml:space="preserve">a classical </w:t>
      </w:r>
      <w:r w:rsidR="00413A0E" w:rsidRPr="0013086F">
        <w:rPr>
          <w:rFonts w:ascii="Times New Roman" w:hAnsi="Times New Roman" w:cs="Times New Roman"/>
        </w:rPr>
        <w:t xml:space="preserve">international law. </w:t>
      </w:r>
    </w:p>
    <w:p w14:paraId="46CEA89D" w14:textId="77777777" w:rsidR="00C85646" w:rsidRPr="0013086F" w:rsidRDefault="00C85646" w:rsidP="006066C4">
      <w:pPr>
        <w:spacing w:line="480" w:lineRule="auto"/>
        <w:jc w:val="both"/>
        <w:rPr>
          <w:rFonts w:ascii="Times New Roman" w:hAnsi="Times New Roman" w:cs="Times New Roman"/>
        </w:rPr>
      </w:pPr>
    </w:p>
    <w:p w14:paraId="6A195F5E" w14:textId="2C465669" w:rsidR="009069ED" w:rsidRPr="0013086F" w:rsidRDefault="00413A0E" w:rsidP="006066C4">
      <w:pPr>
        <w:spacing w:line="480" w:lineRule="auto"/>
        <w:jc w:val="both"/>
        <w:rPr>
          <w:rFonts w:ascii="Times New Roman" w:hAnsi="Times New Roman" w:cs="Times New Roman"/>
        </w:rPr>
      </w:pPr>
      <w:r w:rsidRPr="0013086F">
        <w:rPr>
          <w:rFonts w:ascii="Times New Roman" w:hAnsi="Times New Roman" w:cs="Times New Roman"/>
        </w:rPr>
        <w:t xml:space="preserve">The </w:t>
      </w:r>
      <w:r w:rsidRPr="0013086F">
        <w:rPr>
          <w:rFonts w:ascii="Times New Roman" w:hAnsi="Times New Roman" w:cs="Times New Roman"/>
          <w:i/>
        </w:rPr>
        <w:t>Al Senussi</w:t>
      </w:r>
      <w:r w:rsidRPr="0013086F">
        <w:rPr>
          <w:rFonts w:ascii="Times New Roman" w:hAnsi="Times New Roman" w:cs="Times New Roman"/>
        </w:rPr>
        <w:t xml:space="preserve"> case </w:t>
      </w:r>
      <w:r w:rsidR="006B7BF9" w:rsidRPr="0013086F">
        <w:rPr>
          <w:rFonts w:ascii="Times New Roman" w:hAnsi="Times New Roman" w:cs="Times New Roman"/>
        </w:rPr>
        <w:t xml:space="preserve">demonstrated </w:t>
      </w:r>
      <w:r w:rsidR="007C3B73">
        <w:rPr>
          <w:rFonts w:ascii="Times New Roman" w:hAnsi="Times New Roman" w:cs="Times New Roman"/>
        </w:rPr>
        <w:t>a collision</w:t>
      </w:r>
      <w:r w:rsidRPr="0013086F">
        <w:rPr>
          <w:rFonts w:ascii="Times New Roman" w:hAnsi="Times New Roman" w:cs="Times New Roman"/>
        </w:rPr>
        <w:t xml:space="preserve"> between human rights concerns and other considerations implicit in framework of the ICC. The Rome Statute appears to be of</w:t>
      </w:r>
      <w:r w:rsidR="00C85646" w:rsidRPr="0013086F">
        <w:rPr>
          <w:rFonts w:ascii="Times New Roman" w:hAnsi="Times New Roman" w:cs="Times New Roman"/>
        </w:rPr>
        <w:t xml:space="preserve"> limited value in resolving these</w:t>
      </w:r>
      <w:r w:rsidRPr="0013086F">
        <w:rPr>
          <w:rFonts w:ascii="Times New Roman" w:hAnsi="Times New Roman" w:cs="Times New Roman"/>
        </w:rPr>
        <w:t xml:space="preserve"> type</w:t>
      </w:r>
      <w:r w:rsidR="00C85646" w:rsidRPr="0013086F">
        <w:rPr>
          <w:rFonts w:ascii="Times New Roman" w:hAnsi="Times New Roman" w:cs="Times New Roman"/>
        </w:rPr>
        <w:t>s</w:t>
      </w:r>
      <w:r w:rsidRPr="0013086F">
        <w:rPr>
          <w:rFonts w:ascii="Times New Roman" w:hAnsi="Times New Roman" w:cs="Times New Roman"/>
        </w:rPr>
        <w:t xml:space="preserve"> of conflict because it is written in the spirit </w:t>
      </w:r>
      <w:r w:rsidR="006B7BF9" w:rsidRPr="0013086F">
        <w:rPr>
          <w:rFonts w:ascii="Times New Roman" w:hAnsi="Times New Roman" w:cs="Times New Roman"/>
        </w:rPr>
        <w:t>of human rights law</w:t>
      </w:r>
      <w:r w:rsidR="00A17B14">
        <w:rPr>
          <w:rFonts w:ascii="Times New Roman" w:hAnsi="Times New Roman" w:cs="Times New Roman"/>
        </w:rPr>
        <w:t xml:space="preserve"> thus does not adopt a position</w:t>
      </w:r>
      <w:r w:rsidR="000527C5">
        <w:rPr>
          <w:rFonts w:ascii="Times New Roman" w:hAnsi="Times New Roman" w:cs="Times New Roman"/>
        </w:rPr>
        <w:t xml:space="preserve"> on the hierarchy of values to be endorsed in specific</w:t>
      </w:r>
      <w:r w:rsidR="00A17B14">
        <w:rPr>
          <w:rFonts w:ascii="Times New Roman" w:hAnsi="Times New Roman" w:cs="Times New Roman"/>
        </w:rPr>
        <w:t xml:space="preserve"> cases</w:t>
      </w:r>
      <w:r w:rsidR="006B7BF9" w:rsidRPr="0013086F">
        <w:rPr>
          <w:rFonts w:ascii="Times New Roman" w:hAnsi="Times New Roman" w:cs="Times New Roman"/>
        </w:rPr>
        <w:t>. As a result, many of its provisions contain references to due process guarantees</w:t>
      </w:r>
      <w:r w:rsidR="00C85646" w:rsidRPr="0013086F">
        <w:rPr>
          <w:rFonts w:ascii="Times New Roman" w:hAnsi="Times New Roman" w:cs="Times New Roman"/>
        </w:rPr>
        <w:t>, some of which are unrealistic</w:t>
      </w:r>
      <w:r w:rsidR="006B7BF9" w:rsidRPr="0013086F">
        <w:rPr>
          <w:rFonts w:ascii="Times New Roman" w:hAnsi="Times New Roman" w:cs="Times New Roman"/>
        </w:rPr>
        <w:t xml:space="preserve"> to achieve </w:t>
      </w:r>
      <w:r w:rsidR="00C85646" w:rsidRPr="0013086F">
        <w:rPr>
          <w:rFonts w:ascii="Times New Roman" w:hAnsi="Times New Roman" w:cs="Times New Roman"/>
        </w:rPr>
        <w:t>because of</w:t>
      </w:r>
      <w:r w:rsidR="006B7BF9" w:rsidRPr="0013086F">
        <w:rPr>
          <w:rFonts w:ascii="Times New Roman" w:hAnsi="Times New Roman" w:cs="Times New Roman"/>
        </w:rPr>
        <w:t xml:space="preserve"> the constraints </w:t>
      </w:r>
      <w:r w:rsidR="00C85646" w:rsidRPr="0013086F">
        <w:rPr>
          <w:rFonts w:ascii="Times New Roman" w:hAnsi="Times New Roman" w:cs="Times New Roman"/>
        </w:rPr>
        <w:t>imposed by</w:t>
      </w:r>
      <w:r w:rsidR="006B7BF9" w:rsidRPr="0013086F">
        <w:rPr>
          <w:rFonts w:ascii="Times New Roman" w:hAnsi="Times New Roman" w:cs="Times New Roman"/>
        </w:rPr>
        <w:t xml:space="preserve"> international trials. </w:t>
      </w:r>
      <w:r w:rsidR="007B1635" w:rsidRPr="0013086F">
        <w:rPr>
          <w:rFonts w:ascii="Times New Roman" w:hAnsi="Times New Roman" w:cs="Times New Roman"/>
          <w:i/>
        </w:rPr>
        <w:t>Al Senussi</w:t>
      </w:r>
      <w:r w:rsidR="007B1635" w:rsidRPr="0013086F">
        <w:rPr>
          <w:rFonts w:ascii="Times New Roman" w:hAnsi="Times New Roman" w:cs="Times New Roman"/>
        </w:rPr>
        <w:t xml:space="preserve"> does not offer an instant solution to this problem, but rather</w:t>
      </w:r>
      <w:r w:rsidR="00E22D79" w:rsidRPr="0013086F">
        <w:rPr>
          <w:rFonts w:ascii="Times New Roman" w:hAnsi="Times New Roman" w:cs="Times New Roman"/>
        </w:rPr>
        <w:t xml:space="preserve"> provides</w:t>
      </w:r>
      <w:r w:rsidR="007B1635" w:rsidRPr="0013086F">
        <w:rPr>
          <w:rFonts w:ascii="Times New Roman" w:hAnsi="Times New Roman" w:cs="Times New Roman"/>
        </w:rPr>
        <w:t xml:space="preserve"> hint</w:t>
      </w:r>
      <w:r w:rsidR="00E22D79" w:rsidRPr="0013086F">
        <w:rPr>
          <w:rFonts w:ascii="Times New Roman" w:hAnsi="Times New Roman" w:cs="Times New Roman"/>
        </w:rPr>
        <w:t>s</w:t>
      </w:r>
      <w:r w:rsidR="007B1635" w:rsidRPr="0013086F">
        <w:rPr>
          <w:rFonts w:ascii="Times New Roman" w:hAnsi="Times New Roman" w:cs="Times New Roman"/>
        </w:rPr>
        <w:t xml:space="preserve"> as to </w:t>
      </w:r>
      <w:r w:rsidR="007B1635" w:rsidRPr="0013086F">
        <w:rPr>
          <w:rFonts w:ascii="Times New Roman" w:hAnsi="Times New Roman" w:cs="Times New Roman"/>
          <w:i/>
        </w:rPr>
        <w:t>how</w:t>
      </w:r>
      <w:r w:rsidR="007B1635" w:rsidRPr="0013086F">
        <w:rPr>
          <w:rFonts w:ascii="Times New Roman" w:hAnsi="Times New Roman" w:cs="Times New Roman"/>
        </w:rPr>
        <w:t xml:space="preserve"> the practice of the ICC intends to approach the matter</w:t>
      </w:r>
      <w:r w:rsidR="002736DB" w:rsidRPr="0013086F">
        <w:rPr>
          <w:rFonts w:ascii="Times New Roman" w:hAnsi="Times New Roman" w:cs="Times New Roman"/>
        </w:rPr>
        <w:t>, namely</w:t>
      </w:r>
      <w:r w:rsidR="007B1635" w:rsidRPr="0013086F">
        <w:rPr>
          <w:rFonts w:ascii="Times New Roman" w:hAnsi="Times New Roman" w:cs="Times New Roman"/>
        </w:rPr>
        <w:t xml:space="preserve"> through the exercise of judicial discretion. </w:t>
      </w:r>
      <w:r w:rsidR="002736DB" w:rsidRPr="0013086F">
        <w:rPr>
          <w:rFonts w:ascii="Times New Roman" w:hAnsi="Times New Roman" w:cs="Times New Roman"/>
        </w:rPr>
        <w:t xml:space="preserve">While it is true that Article 17 of the Rome Statute is very restrictive when it comes to assessing country’s level of compliance with due process at the stage of </w:t>
      </w:r>
      <w:r w:rsidR="00E22D79" w:rsidRPr="0013086F">
        <w:rPr>
          <w:rFonts w:ascii="Times New Roman" w:hAnsi="Times New Roman" w:cs="Times New Roman"/>
        </w:rPr>
        <w:t xml:space="preserve">the </w:t>
      </w:r>
      <w:r w:rsidR="002736DB" w:rsidRPr="0013086F">
        <w:rPr>
          <w:rFonts w:ascii="Times New Roman" w:hAnsi="Times New Roman" w:cs="Times New Roman"/>
        </w:rPr>
        <w:t>admissibility proceedings, it is clear that the judges did not rule out the possibility of sei</w:t>
      </w:r>
      <w:r w:rsidR="00E22D79" w:rsidRPr="0013086F">
        <w:rPr>
          <w:rFonts w:ascii="Times New Roman" w:hAnsi="Times New Roman" w:cs="Times New Roman"/>
        </w:rPr>
        <w:t xml:space="preserve">zing over the matter should </w:t>
      </w:r>
      <w:r w:rsidR="002736DB" w:rsidRPr="0013086F">
        <w:rPr>
          <w:rFonts w:ascii="Times New Roman" w:hAnsi="Times New Roman" w:cs="Times New Roman"/>
        </w:rPr>
        <w:t xml:space="preserve">the severity of violations </w:t>
      </w:r>
      <w:r w:rsidR="00E22D79" w:rsidRPr="0013086F">
        <w:rPr>
          <w:rFonts w:ascii="Times New Roman" w:hAnsi="Times New Roman" w:cs="Times New Roman"/>
        </w:rPr>
        <w:t>reach certain threshold</w:t>
      </w:r>
      <w:r w:rsidR="002736DB" w:rsidRPr="0013086F">
        <w:rPr>
          <w:rFonts w:ascii="Times New Roman" w:hAnsi="Times New Roman" w:cs="Times New Roman"/>
        </w:rPr>
        <w:t xml:space="preserve">. This reasoning points to the importance of the circumstances of the case in each </w:t>
      </w:r>
      <w:r w:rsidR="00E22D79" w:rsidRPr="0013086F">
        <w:rPr>
          <w:rFonts w:ascii="Times New Roman" w:hAnsi="Times New Roman" w:cs="Times New Roman"/>
        </w:rPr>
        <w:t>instance</w:t>
      </w:r>
      <w:r w:rsidR="002736DB" w:rsidRPr="0013086F">
        <w:rPr>
          <w:rFonts w:ascii="Times New Roman" w:hAnsi="Times New Roman" w:cs="Times New Roman"/>
        </w:rPr>
        <w:t xml:space="preserve"> and highlights the power vested in international judges by virtue of the</w:t>
      </w:r>
      <w:r w:rsidR="00E22D79" w:rsidRPr="0013086F">
        <w:rPr>
          <w:rFonts w:ascii="Times New Roman" w:hAnsi="Times New Roman" w:cs="Times New Roman"/>
        </w:rPr>
        <w:t>ir</w:t>
      </w:r>
      <w:r w:rsidR="002736DB" w:rsidRPr="0013086F">
        <w:rPr>
          <w:rFonts w:ascii="Times New Roman" w:hAnsi="Times New Roman" w:cs="Times New Roman"/>
        </w:rPr>
        <w:t xml:space="preserve"> ability to exercise discretion.  </w:t>
      </w:r>
    </w:p>
    <w:sectPr w:rsidR="009069ED" w:rsidRPr="0013086F" w:rsidSect="00AC36D9">
      <w:headerReference w:type="default" r:id="rId8"/>
      <w:footerReference w:type="even" r:id="rId9"/>
      <w:footerReference w:type="default" r:id="rId10"/>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746C2C" w14:textId="77777777" w:rsidR="00B056EA" w:rsidRDefault="00B056EA" w:rsidP="00391C49">
      <w:r>
        <w:separator/>
      </w:r>
    </w:p>
  </w:endnote>
  <w:endnote w:type="continuationSeparator" w:id="0">
    <w:p w14:paraId="13AF3BC9" w14:textId="77777777" w:rsidR="00B056EA" w:rsidRDefault="00B056EA" w:rsidP="00391C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Caslon">
    <w:altName w:val="Caslon"/>
    <w:panose1 w:val="00000000000000000000"/>
    <w:charset w:val="4D"/>
    <w:family w:val="roman"/>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A6D6BD" w14:textId="77777777" w:rsidR="00B056EA" w:rsidRDefault="00B056EA" w:rsidP="00153BF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B7AEB6F" w14:textId="77777777" w:rsidR="00B056EA" w:rsidRDefault="00B056EA">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B2B754" w14:textId="77777777" w:rsidR="00B056EA" w:rsidRDefault="00B056EA" w:rsidP="00153BF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67669">
      <w:rPr>
        <w:rStyle w:val="PageNumber"/>
        <w:noProof/>
      </w:rPr>
      <w:t>1</w:t>
    </w:r>
    <w:r>
      <w:rPr>
        <w:rStyle w:val="PageNumber"/>
      </w:rPr>
      <w:fldChar w:fldCharType="end"/>
    </w:r>
  </w:p>
  <w:p w14:paraId="51C03B60" w14:textId="77777777" w:rsidR="00B056EA" w:rsidRDefault="00B056EA">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62D4E5" w14:textId="77777777" w:rsidR="00B056EA" w:rsidRDefault="00B056EA" w:rsidP="00391C49">
      <w:r>
        <w:separator/>
      </w:r>
    </w:p>
  </w:footnote>
  <w:footnote w:type="continuationSeparator" w:id="0">
    <w:p w14:paraId="3E662D12" w14:textId="77777777" w:rsidR="00B056EA" w:rsidRDefault="00B056EA" w:rsidP="00391C49">
      <w:r>
        <w:continuationSeparator/>
      </w:r>
    </w:p>
  </w:footnote>
  <w:footnote w:id="1">
    <w:p w14:paraId="71FC2526" w14:textId="36B6012D" w:rsidR="00B056EA" w:rsidRPr="00946E9F" w:rsidRDefault="00B056EA" w:rsidP="00946E9F">
      <w:pPr>
        <w:pStyle w:val="FootnoteText"/>
        <w:spacing w:after="0" w:line="240" w:lineRule="auto"/>
        <w:rPr>
          <w:rFonts w:ascii="Times New Roman" w:hAnsi="Times New Roman" w:cs="Times New Roman"/>
          <w:sz w:val="20"/>
          <w:szCs w:val="20"/>
          <w:lang w:val="en-US"/>
        </w:rPr>
      </w:pPr>
      <w:r w:rsidRPr="00946E9F">
        <w:rPr>
          <w:rStyle w:val="FootnoteReference"/>
          <w:rFonts w:ascii="Times New Roman" w:hAnsi="Times New Roman" w:cs="Times New Roman"/>
          <w:sz w:val="20"/>
          <w:szCs w:val="20"/>
        </w:rPr>
        <w:footnoteRef/>
      </w:r>
      <w:r w:rsidRPr="00946E9F">
        <w:rPr>
          <w:rFonts w:ascii="Times New Roman" w:hAnsi="Times New Roman" w:cs="Times New Roman"/>
          <w:sz w:val="20"/>
          <w:szCs w:val="20"/>
        </w:rPr>
        <w:t xml:space="preserve"> Eg. E. Schmid, Taking Economic, Social and Cultural Rights Seriously in International Criminal Law, Cambridge University Press, 2015; </w:t>
      </w:r>
      <w:r w:rsidRPr="00946E9F">
        <w:rPr>
          <w:rFonts w:ascii="Times New Roman" w:hAnsi="Times New Roman" w:cs="Times New Roman"/>
          <w:color w:val="000000" w:themeColor="text1"/>
          <w:sz w:val="20"/>
          <w:szCs w:val="20"/>
          <w:lang w:val="en-US"/>
        </w:rPr>
        <w:t>R. Cryer, ‘</w:t>
      </w:r>
      <w:hyperlink r:id="rId1" w:history="1">
        <w:r w:rsidRPr="00946E9F">
          <w:rPr>
            <w:rStyle w:val="Hyperlink"/>
            <w:rFonts w:ascii="Times New Roman" w:eastAsia="Times New Roman" w:hAnsi="Times New Roman" w:cs="Times New Roman"/>
            <w:bCs/>
            <w:color w:val="000000" w:themeColor="text1"/>
            <w:sz w:val="20"/>
            <w:szCs w:val="20"/>
            <w:u w:val="none"/>
            <w:bdr w:val="none" w:sz="0" w:space="0" w:color="auto" w:frame="1"/>
          </w:rPr>
          <w:t>ESIL-International Human Rights Law Symposium: International Criminal Law and International Human Rights Law</w:t>
        </w:r>
      </w:hyperlink>
      <w:r w:rsidRPr="00946E9F">
        <w:rPr>
          <w:rFonts w:ascii="Times New Roman" w:eastAsia="Times New Roman" w:hAnsi="Times New Roman" w:cs="Times New Roman"/>
          <w:bCs/>
          <w:color w:val="000000" w:themeColor="text1"/>
          <w:sz w:val="20"/>
          <w:szCs w:val="20"/>
        </w:rPr>
        <w:t>’</w:t>
      </w:r>
      <w:r w:rsidRPr="00946E9F">
        <w:rPr>
          <w:rFonts w:ascii="Times New Roman" w:hAnsi="Times New Roman" w:cs="Times New Roman"/>
          <w:color w:val="000000" w:themeColor="text1"/>
          <w:sz w:val="20"/>
          <w:szCs w:val="20"/>
          <w:lang w:val="en-US"/>
        </w:rPr>
        <w:t xml:space="preserve"> EJIL Talk, </w:t>
      </w:r>
      <w:hyperlink r:id="rId2" w:history="1">
        <w:r w:rsidRPr="00946E9F">
          <w:rPr>
            <w:rStyle w:val="Hyperlink"/>
            <w:rFonts w:ascii="Times New Roman" w:hAnsi="Times New Roman" w:cs="Times New Roman"/>
            <w:color w:val="000000" w:themeColor="text1"/>
            <w:sz w:val="20"/>
            <w:szCs w:val="20"/>
            <w:u w:val="none"/>
            <w:lang w:val="en-US"/>
          </w:rPr>
          <w:t>http://www.ejiltalk.org/esil-international-human-rights-law-symposium-international-criminal-law-and-international-human-rights-law/</w:t>
        </w:r>
      </w:hyperlink>
      <w:r w:rsidRPr="00946E9F">
        <w:rPr>
          <w:rFonts w:ascii="Times New Roman" w:hAnsi="Times New Roman" w:cs="Times New Roman"/>
          <w:color w:val="000000" w:themeColor="text1"/>
          <w:sz w:val="20"/>
          <w:szCs w:val="20"/>
          <w:lang w:val="en-US"/>
        </w:rPr>
        <w:t xml:space="preserve"> accessed 15 March 2016/</w:t>
      </w:r>
    </w:p>
  </w:footnote>
  <w:footnote w:id="2">
    <w:p w14:paraId="41F93D75" w14:textId="2E857AF0"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color w:val="000000" w:themeColor="text1"/>
          <w:sz w:val="20"/>
          <w:szCs w:val="20"/>
          <w:lang w:val="en-US"/>
        </w:rPr>
        <w:t>Article 21(3) Rome Statute.</w:t>
      </w:r>
    </w:p>
  </w:footnote>
  <w:footnote w:id="3">
    <w:p w14:paraId="191DB22F" w14:textId="121A849E"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Prosecutor v. Saif Al-Islam Gaddafi and Abdullah Al-Senussi</w:t>
      </w:r>
      <w:r w:rsidRPr="00946E9F">
        <w:rPr>
          <w:rFonts w:ascii="Times New Roman" w:hAnsi="Times New Roman" w:cs="Times New Roman"/>
          <w:color w:val="000000" w:themeColor="text1"/>
          <w:sz w:val="20"/>
          <w:szCs w:val="20"/>
        </w:rPr>
        <w:t xml:space="preserve"> (ICC-01/11-01/11 OA 4), Judgment on the appeal of Mr Abdullah Al-Senussi against the decision of Pre-Trial Chamber I of 11 October 2013 entitled ‘Decision on the admissibility of the case against Abdullah Al-Senussi’ (24 July 2014), (‘</w:t>
      </w:r>
      <w:r w:rsidRPr="00946E9F">
        <w:rPr>
          <w:rFonts w:ascii="Times New Roman" w:hAnsi="Times New Roman" w:cs="Times New Roman"/>
          <w:i/>
          <w:color w:val="000000" w:themeColor="text1"/>
          <w:sz w:val="20"/>
          <w:szCs w:val="20"/>
          <w:lang w:val="en-US"/>
        </w:rPr>
        <w:t>Al Senussi</w:t>
      </w:r>
      <w:r w:rsidRPr="00946E9F">
        <w:rPr>
          <w:rFonts w:ascii="Times New Roman" w:hAnsi="Times New Roman" w:cs="Times New Roman"/>
          <w:color w:val="000000" w:themeColor="text1"/>
          <w:sz w:val="20"/>
          <w:szCs w:val="20"/>
          <w:lang w:val="en-US"/>
        </w:rPr>
        <w:t xml:space="preserve"> </w:t>
      </w:r>
      <w:r w:rsidRPr="00946E9F">
        <w:rPr>
          <w:rFonts w:ascii="Times New Roman" w:hAnsi="Times New Roman" w:cs="Times New Roman"/>
          <w:color w:val="000000" w:themeColor="text1"/>
          <w:sz w:val="20"/>
          <w:szCs w:val="20"/>
        </w:rPr>
        <w:t>Appeal Judgment’</w:t>
      </w:r>
      <w:r w:rsidRPr="00946E9F">
        <w:rPr>
          <w:rFonts w:ascii="Times New Roman" w:hAnsi="Times New Roman" w:cs="Times New Roman"/>
          <w:iCs/>
          <w:color w:val="000000" w:themeColor="text1"/>
          <w:sz w:val="20"/>
          <w:szCs w:val="20"/>
        </w:rPr>
        <w:t>)</w:t>
      </w:r>
      <w:r w:rsidRPr="00946E9F">
        <w:rPr>
          <w:rFonts w:ascii="Times New Roman" w:hAnsi="Times New Roman" w:cs="Times New Roman"/>
          <w:color w:val="000000" w:themeColor="text1"/>
          <w:sz w:val="20"/>
          <w:szCs w:val="20"/>
          <w:lang w:val="en-US"/>
        </w:rPr>
        <w:t>, para. 219.</w:t>
      </w:r>
    </w:p>
  </w:footnote>
  <w:footnote w:id="4">
    <w:p w14:paraId="29BFFCF0" w14:textId="26BF4675" w:rsidR="00B056EA" w:rsidRPr="00946E9F" w:rsidRDefault="00B056EA" w:rsidP="00946E9F">
      <w:pPr>
        <w:widowControl w:val="0"/>
        <w:autoSpaceDE w:val="0"/>
        <w:autoSpaceDN w:val="0"/>
        <w:adjustRightInd w:val="0"/>
        <w:rPr>
          <w:rFonts w:ascii="Times New Roman" w:hAnsi="Times New Roman" w:cs="Times New Roman"/>
          <w:color w:val="000000" w:themeColor="text1"/>
          <w:sz w:val="20"/>
          <w:szCs w:val="20"/>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Prosecutor v. Joseph Kony et al</w:t>
      </w:r>
      <w:r w:rsidRPr="00946E9F">
        <w:rPr>
          <w:rFonts w:ascii="Times New Roman" w:hAnsi="Times New Roman" w:cs="Times New Roman"/>
          <w:color w:val="000000" w:themeColor="text1"/>
          <w:sz w:val="20"/>
          <w:szCs w:val="20"/>
        </w:rPr>
        <w:t xml:space="preserve"> (ICC-02/04-01/05 OA 3), ‘</w:t>
      </w:r>
      <w:r w:rsidRPr="00946E9F">
        <w:rPr>
          <w:rFonts w:ascii="Times New Roman" w:hAnsi="Times New Roman" w:cs="Times New Roman"/>
          <w:iCs/>
          <w:color w:val="000000" w:themeColor="text1"/>
          <w:sz w:val="20"/>
          <w:szCs w:val="20"/>
        </w:rPr>
        <w:t xml:space="preserve">Judgment on the appeal of the Defence against the "Decision on the admissibility of the case under article 19 (1) of the Statute" of 10 March 2009’ </w:t>
      </w:r>
      <w:r w:rsidRPr="00946E9F">
        <w:rPr>
          <w:rFonts w:ascii="Times New Roman" w:hAnsi="Times New Roman" w:cs="Times New Roman"/>
          <w:color w:val="000000" w:themeColor="text1"/>
          <w:sz w:val="20"/>
          <w:szCs w:val="20"/>
        </w:rPr>
        <w:t>(16 September 2009) (‘</w:t>
      </w:r>
      <w:r w:rsidRPr="00946E9F">
        <w:rPr>
          <w:rFonts w:ascii="Times New Roman" w:hAnsi="Times New Roman" w:cs="Times New Roman"/>
          <w:i/>
          <w:color w:val="000000" w:themeColor="text1"/>
          <w:sz w:val="20"/>
          <w:szCs w:val="20"/>
        </w:rPr>
        <w:t>Kony</w:t>
      </w:r>
      <w:r w:rsidRPr="00946E9F">
        <w:rPr>
          <w:rFonts w:ascii="Times New Roman" w:hAnsi="Times New Roman" w:cs="Times New Roman"/>
          <w:color w:val="000000" w:themeColor="text1"/>
          <w:sz w:val="20"/>
          <w:szCs w:val="20"/>
        </w:rPr>
        <w:t xml:space="preserve"> Appeal Judgment’), paras. 64-66.</w:t>
      </w:r>
    </w:p>
  </w:footnote>
  <w:footnote w:id="5">
    <w:p w14:paraId="2EE2A34C" w14:textId="1E5E67C2" w:rsidR="00B056EA" w:rsidRPr="00946E9F" w:rsidRDefault="00B056EA" w:rsidP="00946E9F">
      <w:pPr>
        <w:widowControl w:val="0"/>
        <w:autoSpaceDE w:val="0"/>
        <w:autoSpaceDN w:val="0"/>
        <w:adjustRightInd w:val="0"/>
        <w:rPr>
          <w:rFonts w:ascii="Times New Roman" w:hAnsi="Times New Roman" w:cs="Times New Roman"/>
          <w:iCs/>
          <w:color w:val="000000" w:themeColor="text1"/>
          <w:sz w:val="20"/>
          <w:szCs w:val="20"/>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Prosecutor v. Jermain Katanga</w:t>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Cs/>
          <w:color w:val="000000" w:themeColor="text1"/>
          <w:sz w:val="20"/>
          <w:szCs w:val="20"/>
        </w:rPr>
        <w:t xml:space="preserve">01/04-01/07 (OA 3), ‘Judgment on the appeal of Mr. Germain Katanga against the decision of Pre-Trial Chamber I entitled "Decision on the Defence Request Concerning Languages", </w:t>
      </w:r>
      <w:r w:rsidRPr="00946E9F">
        <w:rPr>
          <w:rFonts w:ascii="Times New Roman" w:hAnsi="Times New Roman" w:cs="Times New Roman"/>
          <w:color w:val="000000" w:themeColor="text1"/>
          <w:sz w:val="20"/>
          <w:szCs w:val="20"/>
        </w:rPr>
        <w:t>(27 May 2008) (‘</w:t>
      </w:r>
      <w:r w:rsidRPr="00946E9F">
        <w:rPr>
          <w:rFonts w:ascii="Times New Roman" w:hAnsi="Times New Roman" w:cs="Times New Roman"/>
          <w:i/>
          <w:color w:val="000000" w:themeColor="text1"/>
          <w:sz w:val="20"/>
          <w:szCs w:val="20"/>
        </w:rPr>
        <w:t xml:space="preserve">Katanga </w:t>
      </w:r>
      <w:r w:rsidRPr="00946E9F">
        <w:rPr>
          <w:rFonts w:ascii="Times New Roman" w:hAnsi="Times New Roman" w:cs="Times New Roman"/>
          <w:color w:val="000000" w:themeColor="text1"/>
          <w:sz w:val="20"/>
          <w:szCs w:val="20"/>
        </w:rPr>
        <w:t>Languages Judgment’), paras. 62-63.</w:t>
      </w:r>
    </w:p>
  </w:footnote>
  <w:footnote w:id="6">
    <w:p w14:paraId="201B0508" w14:textId="2DE9BCDE"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Article 6(3) ECHR and 14(3) ICCPR. </w:t>
      </w:r>
    </w:p>
  </w:footnote>
  <w:footnote w:id="7">
    <w:p w14:paraId="055CCD59" w14:textId="471C3896" w:rsidR="00B056EA" w:rsidRPr="00946E9F" w:rsidRDefault="00B056EA" w:rsidP="00946E9F">
      <w:pPr>
        <w:widowControl w:val="0"/>
        <w:autoSpaceDE w:val="0"/>
        <w:autoSpaceDN w:val="0"/>
        <w:adjustRightInd w:val="0"/>
        <w:rPr>
          <w:rFonts w:ascii="Times New Roman" w:hAnsi="Times New Roman" w:cs="Times New Roman"/>
          <w:color w:val="000000" w:themeColor="text1"/>
          <w:sz w:val="20"/>
          <w:szCs w:val="20"/>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Cs/>
          <w:color w:val="000000" w:themeColor="text1"/>
          <w:sz w:val="20"/>
          <w:szCs w:val="20"/>
        </w:rPr>
        <w:t>P. Lemmens, ‘The right to a fair trial and its multiple manifestations: Article 6(1) ECHR’ in E. Brems and J. Gerards in Shaping Rights in the ECHR The Role of the European Court of Human Rights in Determining the Scope of Human Rights (CUP, 2015)</w:t>
      </w:r>
      <w:r w:rsidRPr="00946E9F">
        <w:rPr>
          <w:rFonts w:ascii="Times New Roman" w:hAnsi="Times New Roman" w:cs="Times New Roman"/>
          <w:color w:val="000000" w:themeColor="text1"/>
          <w:sz w:val="20"/>
          <w:szCs w:val="20"/>
        </w:rPr>
        <w:t xml:space="preserve">, p.  312. </w:t>
      </w:r>
      <w:r w:rsidRPr="00946E9F">
        <w:rPr>
          <w:rFonts w:ascii="Times New Roman" w:eastAsia="Times New Roman" w:hAnsi="Times New Roman" w:cs="Times New Roman"/>
          <w:color w:val="000000" w:themeColor="text1"/>
          <w:sz w:val="20"/>
          <w:szCs w:val="20"/>
          <w:shd w:val="clear" w:color="auto" w:fill="FFFFFF"/>
        </w:rPr>
        <w:t>Article 6(1) of the ECHR stipulates: “In the determination of his civil rights and obligations or of any criminal charge against him, everyone is entitled to a fair and public hearing within a reasonable time by an independent and impartial tribunal established by law.”</w:t>
      </w:r>
    </w:p>
  </w:footnote>
  <w:footnote w:id="8">
    <w:p w14:paraId="712E05D1" w14:textId="37675FAA" w:rsidR="00B056EA" w:rsidRPr="00946E9F" w:rsidRDefault="00B056EA" w:rsidP="00946E9F">
      <w:pPr>
        <w:widowControl w:val="0"/>
        <w:tabs>
          <w:tab w:val="left" w:pos="220"/>
          <w:tab w:val="left" w:pos="720"/>
        </w:tabs>
        <w:autoSpaceDE w:val="0"/>
        <w:autoSpaceDN w:val="0"/>
        <w:adjustRightInd w:val="0"/>
        <w:rPr>
          <w:rFonts w:ascii="Times New Roman" w:hAnsi="Times New Roman" w:cs="Times New Roman"/>
          <w:color w:val="000000" w:themeColor="text1"/>
          <w:sz w:val="20"/>
          <w:szCs w:val="20"/>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ECtHR (GC), </w:t>
      </w:r>
      <w:r w:rsidRPr="00946E9F">
        <w:rPr>
          <w:rFonts w:ascii="Times New Roman" w:hAnsi="Times New Roman" w:cs="Times New Roman"/>
          <w:i/>
          <w:iCs/>
          <w:color w:val="000000" w:themeColor="text1"/>
          <w:sz w:val="20"/>
          <w:szCs w:val="20"/>
        </w:rPr>
        <w:t xml:space="preserve">Al-Khawaja and Tahery </w:t>
      </w:r>
      <w:r w:rsidRPr="00946E9F">
        <w:rPr>
          <w:rFonts w:ascii="Times New Roman" w:hAnsi="Times New Roman" w:cs="Times New Roman"/>
          <w:color w:val="000000" w:themeColor="text1"/>
          <w:sz w:val="20"/>
          <w:szCs w:val="20"/>
        </w:rPr>
        <w:t xml:space="preserve">v. </w:t>
      </w:r>
      <w:r w:rsidRPr="00946E9F">
        <w:rPr>
          <w:rFonts w:ascii="Times New Roman" w:hAnsi="Times New Roman" w:cs="Times New Roman"/>
          <w:i/>
          <w:iCs/>
          <w:color w:val="000000" w:themeColor="text1"/>
          <w:sz w:val="20"/>
          <w:szCs w:val="20"/>
        </w:rPr>
        <w:t>United Kingdom</w:t>
      </w:r>
      <w:r w:rsidRPr="00946E9F">
        <w:rPr>
          <w:rFonts w:ascii="Times New Roman" w:hAnsi="Times New Roman" w:cs="Times New Roman"/>
          <w:color w:val="000000" w:themeColor="text1"/>
          <w:sz w:val="20"/>
          <w:szCs w:val="20"/>
        </w:rPr>
        <w:t>, 15 December 2011, para. 118  as cited by Lemmens, p. 312, emphasis added.</w:t>
      </w:r>
    </w:p>
  </w:footnote>
  <w:footnote w:id="9">
    <w:p w14:paraId="657B63E6" w14:textId="37BAB06D"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lang w:val="en-US"/>
        </w:rPr>
        <w:t xml:space="preserve">Lubanga </w:t>
      </w:r>
      <w:r w:rsidRPr="00946E9F">
        <w:rPr>
          <w:rFonts w:ascii="Times New Roman" w:hAnsi="Times New Roman" w:cs="Times New Roman"/>
          <w:color w:val="000000" w:themeColor="text1"/>
          <w:sz w:val="20"/>
          <w:szCs w:val="20"/>
          <w:lang w:val="en-US"/>
        </w:rPr>
        <w:t>Reparations Decision, para. 177.</w:t>
      </w:r>
    </w:p>
  </w:footnote>
  <w:footnote w:id="10">
    <w:p w14:paraId="506F30BF" w14:textId="1D9CAE6B" w:rsidR="00B056EA" w:rsidRPr="00946E9F" w:rsidRDefault="00B056EA" w:rsidP="00946E9F">
      <w:pPr>
        <w:pStyle w:val="FootnoteText"/>
        <w:spacing w:after="0" w:line="240" w:lineRule="auto"/>
        <w:jc w:val="both"/>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Prosecutor v. </w:t>
      </w:r>
      <w:r w:rsidRPr="00946E9F">
        <w:rPr>
          <w:rFonts w:ascii="Times New Roman" w:hAnsi="Times New Roman" w:cs="Times New Roman"/>
          <w:i/>
          <w:color w:val="000000" w:themeColor="text1"/>
          <w:sz w:val="20"/>
          <w:szCs w:val="20"/>
        </w:rPr>
        <w:t>Thomas Lubanga Dyilo</w:t>
      </w:r>
      <w:r w:rsidRPr="00946E9F">
        <w:rPr>
          <w:rFonts w:ascii="Times New Roman" w:hAnsi="Times New Roman" w:cs="Times New Roman"/>
          <w:color w:val="000000" w:themeColor="text1"/>
          <w:sz w:val="20"/>
          <w:szCs w:val="20"/>
        </w:rPr>
        <w:t>, ICC-01/04-01/06, Separate and Dissenting Opinion of Judge Odio Benito to the Trial Chamber I, Judgment pursuant Article 74 of the Statute, 14 March 2012 (‘Separate and Dissenting Opinion of Judge Odio Benito’), para. 7.</w:t>
      </w:r>
    </w:p>
  </w:footnote>
  <w:footnote w:id="11">
    <w:p w14:paraId="54AE010D" w14:textId="77777777" w:rsidR="00B056EA" w:rsidRPr="00946E9F" w:rsidRDefault="00B056EA" w:rsidP="00946E9F">
      <w:pPr>
        <w:jc w:val="both"/>
        <w:rPr>
          <w:rFonts w:ascii="Times New Roman" w:hAnsi="Times New Roman" w:cs="Times New Roman"/>
          <w:color w:val="000000" w:themeColor="text1"/>
          <w:sz w:val="20"/>
          <w:szCs w:val="20"/>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Article 64(2) reads as follows: “The Trial Chamber shall ensure that a trial is fair and expeditious and is conducted with full respect for the rights of the accused and due regard for the protection of victims and witnesses.”</w:t>
      </w:r>
    </w:p>
  </w:footnote>
  <w:footnote w:id="12">
    <w:p w14:paraId="326B3E9E" w14:textId="77777777" w:rsidR="00B056EA" w:rsidRPr="00946E9F" w:rsidRDefault="00B056EA" w:rsidP="00946E9F">
      <w:pPr>
        <w:pStyle w:val="FootnoteText"/>
        <w:spacing w:after="0" w:line="240" w:lineRule="auto"/>
        <w:jc w:val="both"/>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Article 67(1)(a)-(c) of the Rome Statute.</w:t>
      </w:r>
    </w:p>
  </w:footnote>
  <w:footnote w:id="13">
    <w:p w14:paraId="24A6A678" w14:textId="4DE1D7C9"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lang w:val="en-US"/>
        </w:rPr>
        <w:t>Al Senussi</w:t>
      </w:r>
      <w:r w:rsidRPr="00946E9F">
        <w:rPr>
          <w:rFonts w:ascii="Times New Roman" w:hAnsi="Times New Roman" w:cs="Times New Roman"/>
          <w:color w:val="000000" w:themeColor="text1"/>
          <w:sz w:val="20"/>
          <w:szCs w:val="20"/>
          <w:lang w:val="en-US"/>
        </w:rPr>
        <w:t xml:space="preserve"> Appeal Judgment; </w:t>
      </w:r>
      <w:r w:rsidRPr="00946E9F">
        <w:rPr>
          <w:rFonts w:ascii="Times New Roman" w:hAnsi="Times New Roman" w:cs="Times New Roman"/>
          <w:i/>
          <w:color w:val="000000" w:themeColor="text1"/>
          <w:sz w:val="20"/>
          <w:szCs w:val="20"/>
        </w:rPr>
        <w:t>Prosecutor v. Saif Al-Islam Gaddafi and Abdullah Al-Senussi</w:t>
      </w:r>
      <w:r w:rsidRPr="00946E9F">
        <w:rPr>
          <w:rFonts w:ascii="Times New Roman" w:hAnsi="Times New Roman" w:cs="Times New Roman"/>
          <w:color w:val="000000" w:themeColor="text1"/>
          <w:sz w:val="20"/>
          <w:szCs w:val="20"/>
        </w:rPr>
        <w:t xml:space="preserve"> (ICC-01/11-01/11), ‘Decision on the admissibility of the case against Abdullah Al-Senussi’ (11 October 2013), (‘</w:t>
      </w:r>
      <w:r w:rsidRPr="00946E9F">
        <w:rPr>
          <w:rFonts w:ascii="Times New Roman" w:hAnsi="Times New Roman" w:cs="Times New Roman"/>
          <w:i/>
          <w:color w:val="000000" w:themeColor="text1"/>
          <w:sz w:val="20"/>
          <w:szCs w:val="20"/>
          <w:lang w:val="en-US"/>
        </w:rPr>
        <w:t>Al Senussi</w:t>
      </w:r>
      <w:r w:rsidRPr="00946E9F">
        <w:rPr>
          <w:rFonts w:ascii="Times New Roman" w:hAnsi="Times New Roman" w:cs="Times New Roman"/>
          <w:color w:val="000000" w:themeColor="text1"/>
          <w:sz w:val="20"/>
          <w:szCs w:val="20"/>
          <w:lang w:val="en-US"/>
        </w:rPr>
        <w:t xml:space="preserve"> </w:t>
      </w:r>
      <w:r w:rsidRPr="00946E9F">
        <w:rPr>
          <w:rFonts w:ascii="Times New Roman" w:hAnsi="Times New Roman" w:cs="Times New Roman"/>
          <w:color w:val="000000" w:themeColor="text1"/>
          <w:sz w:val="20"/>
          <w:szCs w:val="20"/>
        </w:rPr>
        <w:t>Pre-Trial Decision</w:t>
      </w:r>
      <w:r w:rsidRPr="00946E9F">
        <w:rPr>
          <w:rFonts w:ascii="Times New Roman" w:hAnsi="Times New Roman" w:cs="Times New Roman"/>
          <w:iCs/>
          <w:color w:val="000000" w:themeColor="text1"/>
          <w:sz w:val="20"/>
          <w:szCs w:val="20"/>
        </w:rPr>
        <w:t>’).</w:t>
      </w:r>
    </w:p>
  </w:footnote>
  <w:footnote w:id="14">
    <w:p w14:paraId="287DA245" w14:textId="36396F3A" w:rsidR="00B056EA" w:rsidRPr="00946E9F" w:rsidRDefault="00B056EA" w:rsidP="00946E9F">
      <w:pPr>
        <w:jc w:val="both"/>
        <w:rPr>
          <w:rFonts w:ascii="Times New Roman" w:hAnsi="Times New Roman" w:cs="Times New Roman"/>
          <w:color w:val="000000" w:themeColor="text1"/>
          <w:sz w:val="20"/>
          <w:szCs w:val="20"/>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 Schabas, </w:t>
      </w:r>
      <w:r w:rsidRPr="00946E9F">
        <w:rPr>
          <w:rFonts w:ascii="Times New Roman" w:hAnsi="Times New Roman" w:cs="Times New Roman"/>
          <w:i/>
          <w:color w:val="000000" w:themeColor="text1"/>
          <w:sz w:val="20"/>
          <w:szCs w:val="20"/>
        </w:rPr>
        <w:t>The International Criminal Court: A Commentary on the Rome Statute</w:t>
      </w:r>
      <w:r w:rsidRPr="00946E9F">
        <w:rPr>
          <w:rFonts w:ascii="Times New Roman" w:hAnsi="Times New Roman" w:cs="Times New Roman"/>
          <w:color w:val="000000" w:themeColor="text1"/>
          <w:sz w:val="20"/>
          <w:szCs w:val="20"/>
        </w:rPr>
        <w:t>, (OUP, 2010), at 398-399.</w:t>
      </w:r>
    </w:p>
  </w:footnote>
  <w:footnote w:id="15">
    <w:p w14:paraId="0F08020C" w14:textId="6D28A0BB"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color w:val="000000" w:themeColor="text1"/>
          <w:sz w:val="20"/>
          <w:szCs w:val="20"/>
          <w:lang w:val="en-US"/>
        </w:rPr>
        <w:t>Ibid.</w:t>
      </w:r>
    </w:p>
  </w:footnote>
  <w:footnote w:id="16">
    <w:p w14:paraId="64F00F96" w14:textId="77548D58"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color w:val="000000" w:themeColor="text1"/>
          <w:sz w:val="20"/>
          <w:szCs w:val="20"/>
          <w:lang w:val="en-US"/>
        </w:rPr>
        <w:t>L. Gradoni, ‘General Framework of International Criminal Procedure’ in International Criminal Procedure: Principles and Rules, G. Sluiter et al (eds) (OUP 2012),  p.  76.</w:t>
      </w:r>
    </w:p>
  </w:footnote>
  <w:footnote w:id="17">
    <w:p w14:paraId="3C57456F" w14:textId="4BD7E615"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color w:val="000000" w:themeColor="text1"/>
          <w:sz w:val="20"/>
          <w:szCs w:val="20"/>
          <w:lang w:val="en-US"/>
        </w:rPr>
        <w:t>Article 54(1)(c) of the Rome Statute.</w:t>
      </w:r>
    </w:p>
  </w:footnote>
  <w:footnote w:id="18">
    <w:p w14:paraId="299C3572" w14:textId="5AB2A90B"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Prosecutor v</w:t>
      </w:r>
      <w:r w:rsidRPr="00946E9F">
        <w:rPr>
          <w:rFonts w:ascii="Times New Roman" w:hAnsi="Times New Roman" w:cs="Times New Roman"/>
          <w:i/>
          <w:color w:val="000000" w:themeColor="text1"/>
          <w:sz w:val="20"/>
          <w:szCs w:val="20"/>
        </w:rPr>
        <w:t>. Furundžija</w:t>
      </w:r>
      <w:r w:rsidRPr="00946E9F">
        <w:rPr>
          <w:rFonts w:ascii="Times New Roman" w:hAnsi="Times New Roman" w:cs="Times New Roman"/>
          <w:color w:val="000000" w:themeColor="text1"/>
          <w:sz w:val="20"/>
          <w:szCs w:val="20"/>
        </w:rPr>
        <w:t>, ICTY Case No. IT-95-17/1-T, Trial Judgment, 10 December 1998</w:t>
      </w:r>
      <w:r w:rsidRPr="00946E9F">
        <w:rPr>
          <w:rFonts w:ascii="Times New Roman" w:hAnsi="Times New Roman" w:cs="Times New Roman"/>
          <w:color w:val="000000" w:themeColor="text1"/>
          <w:sz w:val="20"/>
          <w:szCs w:val="20"/>
          <w:lang w:val="en-US"/>
        </w:rPr>
        <w:t>, paras. 143 et sq.</w:t>
      </w:r>
    </w:p>
  </w:footnote>
  <w:footnote w:id="19">
    <w:p w14:paraId="40286FEA" w14:textId="78F27A03" w:rsidR="00B056EA" w:rsidRPr="00946E9F" w:rsidRDefault="00B056EA" w:rsidP="00946E9F">
      <w:pPr>
        <w:rPr>
          <w:rFonts w:ascii="Times New Roman" w:eastAsia="Times New Roman" w:hAnsi="Times New Roman" w:cs="Times New Roman"/>
          <w:color w:val="000000" w:themeColor="text1"/>
          <w:sz w:val="20"/>
          <w:szCs w:val="20"/>
          <w:lang w:val="en-GB"/>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Kallon and Kamara</w:t>
      </w:r>
      <w:r w:rsidRPr="00946E9F">
        <w:rPr>
          <w:rFonts w:ascii="Times New Roman" w:hAnsi="Times New Roman" w:cs="Times New Roman"/>
          <w:color w:val="000000" w:themeColor="text1"/>
          <w:sz w:val="20"/>
          <w:szCs w:val="20"/>
        </w:rPr>
        <w:t xml:space="preserve"> Appeal Decision, 13 March 2004, para. 84; </w:t>
      </w:r>
      <w:r w:rsidRPr="00946E9F">
        <w:rPr>
          <w:rFonts w:ascii="Times New Roman" w:eastAsia="Times New Roman" w:hAnsi="Times New Roman" w:cs="Times New Roman"/>
          <w:color w:val="000000" w:themeColor="text1"/>
          <w:sz w:val="20"/>
          <w:szCs w:val="20"/>
          <w:lang w:val="en-GB"/>
        </w:rPr>
        <w:t>Prosecutor v. Kondewa, case No. SCSL-2004-14-AR72(E), Decision on lack of jurisdiction/abuse of process: amnesty provided by the Lomé Accord, Separate Opinion of Justice Robertson, (25 May 2004), paras. 30 et sq.</w:t>
      </w:r>
    </w:p>
  </w:footnote>
  <w:footnote w:id="20">
    <w:p w14:paraId="412E50E4" w14:textId="77777777" w:rsidR="00B056EA" w:rsidRPr="00946E9F" w:rsidRDefault="00B056EA" w:rsidP="00946E9F">
      <w:pPr>
        <w:pStyle w:val="FootnoteText"/>
        <w:spacing w:after="0" w:line="240" w:lineRule="auto"/>
        <w:jc w:val="both"/>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Style w:val="A3"/>
          <w:rFonts w:ascii="Times New Roman" w:hAnsi="Times New Roman" w:cs="Times New Roman"/>
          <w:color w:val="000000" w:themeColor="text1"/>
          <w:sz w:val="20"/>
          <w:szCs w:val="20"/>
        </w:rPr>
        <w:t xml:space="preserve">IACHR Report 26/92, Case 10.287, </w:t>
      </w:r>
      <w:r w:rsidRPr="00946E9F">
        <w:rPr>
          <w:rStyle w:val="A3"/>
          <w:rFonts w:ascii="Times New Roman" w:hAnsi="Times New Roman" w:cs="Times New Roman"/>
          <w:i/>
          <w:iCs/>
          <w:color w:val="000000" w:themeColor="text1"/>
          <w:sz w:val="20"/>
          <w:szCs w:val="20"/>
        </w:rPr>
        <w:t xml:space="preserve">Las Hojas Massacre </w:t>
      </w:r>
      <w:r w:rsidRPr="00946E9F">
        <w:rPr>
          <w:rStyle w:val="A3"/>
          <w:rFonts w:ascii="Times New Roman" w:hAnsi="Times New Roman" w:cs="Times New Roman"/>
          <w:color w:val="000000" w:themeColor="text1"/>
          <w:sz w:val="20"/>
          <w:szCs w:val="20"/>
        </w:rPr>
        <w:t>(El Salvador), September 24, 1992; IACHR Report 29/92, Cases 10.029, 10.036, 10.145, 10.305, 10.372, 10.373, and 10.375, Uruguay, October 2, 1992; Report 28/92, Cases 10.147, 10.181, 10.240, 10.262, 10.309, and 10.311, Argentina, October 2, 1992.</w:t>
      </w:r>
    </w:p>
  </w:footnote>
  <w:footnote w:id="21">
    <w:p w14:paraId="28E203A9" w14:textId="77777777" w:rsidR="00B056EA" w:rsidRPr="00946E9F" w:rsidRDefault="00B056EA" w:rsidP="00946E9F">
      <w:pPr>
        <w:widowControl w:val="0"/>
        <w:autoSpaceDE w:val="0"/>
        <w:autoSpaceDN w:val="0"/>
        <w:adjustRightInd w:val="0"/>
        <w:jc w:val="both"/>
        <w:rPr>
          <w:rFonts w:ascii="Times New Roman" w:hAnsi="Times New Roman" w:cs="Times New Roman"/>
          <w:color w:val="000000" w:themeColor="text1"/>
          <w:sz w:val="20"/>
          <w:szCs w:val="20"/>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Eg. Barrios Altos v. Peru, 2001 Inter-Am. Ct. H.R. (ser. C) No. 75, 42 (Mar.14, 2001), para. 41 et sq.</w:t>
      </w:r>
    </w:p>
  </w:footnote>
  <w:footnote w:id="22">
    <w:p w14:paraId="5F572F92" w14:textId="6A63610F" w:rsidR="00B056EA" w:rsidRPr="00946E9F" w:rsidRDefault="00B056EA" w:rsidP="00946E9F">
      <w:pPr>
        <w:pStyle w:val="Heading2"/>
        <w:shd w:val="clear" w:color="auto" w:fill="FFFFFF"/>
        <w:spacing w:before="0" w:beforeAutospacing="0" w:after="0" w:afterAutospacing="0"/>
        <w:textAlignment w:val="baseline"/>
        <w:rPr>
          <w:rFonts w:ascii="Times New Roman" w:eastAsia="Times New Roman" w:hAnsi="Times New Roman" w:cs="Times New Roman"/>
          <w:b w:val="0"/>
          <w:bCs w:val="0"/>
          <w:color w:val="000000" w:themeColor="text1"/>
          <w:sz w:val="20"/>
          <w:szCs w:val="20"/>
        </w:rPr>
      </w:pPr>
      <w:r w:rsidRPr="00946E9F">
        <w:rPr>
          <w:rStyle w:val="FootnoteReference"/>
          <w:rFonts w:ascii="Times New Roman" w:hAnsi="Times New Roman" w:cs="Times New Roman"/>
          <w:b w:val="0"/>
          <w:color w:val="000000" w:themeColor="text1"/>
          <w:sz w:val="20"/>
          <w:szCs w:val="20"/>
        </w:rPr>
        <w:footnoteRef/>
      </w:r>
      <w:r w:rsidRPr="00946E9F">
        <w:rPr>
          <w:rFonts w:ascii="Times New Roman" w:hAnsi="Times New Roman" w:cs="Times New Roman"/>
          <w:b w:val="0"/>
          <w:color w:val="000000" w:themeColor="text1"/>
          <w:sz w:val="20"/>
          <w:szCs w:val="20"/>
        </w:rPr>
        <w:t xml:space="preserve"> </w:t>
      </w:r>
      <w:r w:rsidRPr="00946E9F">
        <w:rPr>
          <w:rFonts w:ascii="Times New Roman" w:hAnsi="Times New Roman" w:cs="Times New Roman"/>
          <w:b w:val="0"/>
          <w:color w:val="000000" w:themeColor="text1"/>
          <w:sz w:val="20"/>
          <w:szCs w:val="20"/>
          <w:lang w:val="en-US"/>
        </w:rPr>
        <w:t>Cryer</w:t>
      </w:r>
      <w:r>
        <w:rPr>
          <w:rFonts w:ascii="Times New Roman" w:hAnsi="Times New Roman" w:cs="Times New Roman"/>
          <w:b w:val="0"/>
          <w:color w:val="000000" w:themeColor="text1"/>
          <w:sz w:val="20"/>
          <w:szCs w:val="20"/>
          <w:lang w:val="en-US"/>
        </w:rPr>
        <w:t xml:space="preserve">, </w:t>
      </w:r>
      <w:r w:rsidRPr="00946E9F">
        <w:rPr>
          <w:rFonts w:ascii="Times New Roman" w:hAnsi="Times New Roman" w:cs="Times New Roman"/>
          <w:b w:val="0"/>
          <w:i/>
          <w:color w:val="000000" w:themeColor="text1"/>
          <w:sz w:val="20"/>
          <w:szCs w:val="20"/>
          <w:lang w:val="en-US"/>
        </w:rPr>
        <w:t>supra</w:t>
      </w:r>
      <w:r>
        <w:rPr>
          <w:rFonts w:ascii="Times New Roman" w:hAnsi="Times New Roman" w:cs="Times New Roman"/>
          <w:b w:val="0"/>
          <w:color w:val="000000" w:themeColor="text1"/>
          <w:sz w:val="20"/>
          <w:szCs w:val="20"/>
          <w:lang w:val="en-US"/>
        </w:rPr>
        <w:t xml:space="preserve"> note 1.</w:t>
      </w:r>
    </w:p>
  </w:footnote>
  <w:footnote w:id="23">
    <w:p w14:paraId="523BA7C7" w14:textId="636BD074"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See eg. D. Luban, ‘Beyond Moral Minimalism: Response to Crimes Against Humanity’, </w:t>
      </w:r>
      <w:r w:rsidRPr="00946E9F">
        <w:rPr>
          <w:rFonts w:ascii="Times New Roman" w:hAnsi="Times New Roman" w:cs="Times New Roman"/>
          <w:i/>
          <w:color w:val="000000" w:themeColor="text1"/>
          <w:sz w:val="20"/>
          <w:szCs w:val="20"/>
        </w:rPr>
        <w:t xml:space="preserve">Ethics and International Affairs </w:t>
      </w:r>
      <w:r w:rsidRPr="00946E9F">
        <w:rPr>
          <w:rFonts w:ascii="Times New Roman" w:hAnsi="Times New Roman" w:cs="Times New Roman"/>
          <w:color w:val="000000" w:themeColor="text1"/>
          <w:sz w:val="20"/>
          <w:szCs w:val="20"/>
        </w:rPr>
        <w:t>(2006).</w:t>
      </w:r>
    </w:p>
  </w:footnote>
  <w:footnote w:id="24">
    <w:p w14:paraId="65B515E6" w14:textId="77777777" w:rsidR="00B056EA" w:rsidRPr="00946E9F" w:rsidRDefault="00B056EA" w:rsidP="00946E9F">
      <w:pPr>
        <w:pStyle w:val="FootnoteText"/>
        <w:spacing w:after="0" w:line="240" w:lineRule="auto"/>
        <w:jc w:val="both"/>
        <w:rPr>
          <w:rFonts w:ascii="Times New Roman" w:hAnsi="Times New Roman" w:cs="Times New Roman"/>
          <w:color w:val="000000" w:themeColor="text1"/>
          <w:sz w:val="20"/>
          <w:szCs w:val="20"/>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Article 7(2)(a) of the Rome Statute.</w:t>
      </w:r>
    </w:p>
  </w:footnote>
  <w:footnote w:id="25">
    <w:p w14:paraId="6F161588" w14:textId="09E27867" w:rsidR="00B056EA" w:rsidRPr="00946E9F" w:rsidRDefault="00B056EA" w:rsidP="00946E9F">
      <w:pPr>
        <w:widowControl w:val="0"/>
        <w:autoSpaceDE w:val="0"/>
        <w:autoSpaceDN w:val="0"/>
        <w:adjustRightInd w:val="0"/>
        <w:jc w:val="both"/>
        <w:rPr>
          <w:rFonts w:ascii="Times New Roman" w:hAnsi="Times New Roman" w:cs="Times New Roman"/>
          <w:color w:val="000000" w:themeColor="text1"/>
          <w:sz w:val="20"/>
          <w:szCs w:val="20"/>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Situation in the Republic of Kenya, Case No. ICC-01/09, Decision Pursuant to Article 15 of the Rome Statute on the Authorization of an Investigation into the Situation in the Republic of Kenya; (‘Kenya Decision’), para. 92. </w:t>
      </w:r>
    </w:p>
  </w:footnote>
  <w:footnote w:id="26">
    <w:p w14:paraId="3D4501B6" w14:textId="77777777" w:rsidR="00B056EA" w:rsidRPr="00946E9F" w:rsidRDefault="00B056EA" w:rsidP="00946E9F">
      <w:pPr>
        <w:pStyle w:val="FootnoteText"/>
        <w:spacing w:after="0" w:line="240" w:lineRule="auto"/>
        <w:jc w:val="both"/>
        <w:rPr>
          <w:rFonts w:ascii="Times New Roman" w:hAnsi="Times New Roman" w:cs="Times New Roman"/>
          <w:color w:val="000000" w:themeColor="text1"/>
          <w:sz w:val="20"/>
          <w:szCs w:val="20"/>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Ibid.</w:t>
      </w:r>
    </w:p>
  </w:footnote>
  <w:footnote w:id="27">
    <w:p w14:paraId="0DFF8B27" w14:textId="77777777" w:rsidR="00B056EA" w:rsidRPr="00946E9F" w:rsidRDefault="00B056EA" w:rsidP="00946E9F">
      <w:pPr>
        <w:pStyle w:val="FootnoteText"/>
        <w:spacing w:after="0" w:line="240" w:lineRule="auto"/>
        <w:jc w:val="both"/>
        <w:rPr>
          <w:rFonts w:ascii="Times New Roman" w:hAnsi="Times New Roman" w:cs="Times New Roman"/>
          <w:color w:val="000000" w:themeColor="text1"/>
          <w:sz w:val="20"/>
          <w:szCs w:val="20"/>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Prosecutor v</w:t>
      </w:r>
      <w:r w:rsidRPr="00946E9F">
        <w:rPr>
          <w:rFonts w:ascii="Times New Roman" w:hAnsi="Times New Roman" w:cs="Times New Roman"/>
          <w:i/>
          <w:color w:val="000000" w:themeColor="text1"/>
          <w:sz w:val="20"/>
          <w:szCs w:val="20"/>
        </w:rPr>
        <w:t>. Tadić</w:t>
      </w:r>
      <w:r w:rsidRPr="00946E9F">
        <w:rPr>
          <w:rFonts w:ascii="Times New Roman" w:hAnsi="Times New Roman" w:cs="Times New Roman"/>
          <w:color w:val="000000" w:themeColor="text1"/>
          <w:sz w:val="20"/>
          <w:szCs w:val="20"/>
        </w:rPr>
        <w:t>, ICTY Case No. IT-94-1-T, Trial Judgment, 7 May 1997 (‘</w:t>
      </w:r>
      <w:r w:rsidRPr="00946E9F">
        <w:rPr>
          <w:rFonts w:ascii="Times New Roman" w:hAnsi="Times New Roman" w:cs="Times New Roman"/>
          <w:i/>
          <w:color w:val="000000" w:themeColor="text1"/>
          <w:sz w:val="20"/>
          <w:szCs w:val="20"/>
        </w:rPr>
        <w:t>Tadic</w:t>
      </w:r>
      <w:r w:rsidRPr="00946E9F">
        <w:rPr>
          <w:rFonts w:ascii="Times New Roman" w:hAnsi="Times New Roman" w:cs="Times New Roman"/>
          <w:color w:val="000000" w:themeColor="text1"/>
          <w:sz w:val="20"/>
          <w:szCs w:val="20"/>
        </w:rPr>
        <w:t xml:space="preserve"> Trial Judgment’), para. 697.</w:t>
      </w:r>
    </w:p>
  </w:footnote>
  <w:footnote w:id="28">
    <w:p w14:paraId="104753B4" w14:textId="77777777"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hyperlink r:id="rId3" w:history="1">
        <w:r w:rsidRPr="00946E9F">
          <w:rPr>
            <w:rStyle w:val="Hyperlink"/>
            <w:rFonts w:ascii="Times New Roman" w:hAnsi="Times New Roman" w:cs="Times New Roman"/>
            <w:color w:val="000000" w:themeColor="text1"/>
            <w:sz w:val="20"/>
            <w:szCs w:val="20"/>
            <w:u w:val="none"/>
          </w:rPr>
          <w:t>http://www.icc-cpi.int/iccdocs/otp/SAS-HON-Article_5_Report-Oct2015-ENG.PDF</w:t>
        </w:r>
      </w:hyperlink>
      <w:r w:rsidRPr="00946E9F">
        <w:rPr>
          <w:rFonts w:ascii="Times New Roman" w:hAnsi="Times New Roman" w:cs="Times New Roman"/>
          <w:color w:val="000000" w:themeColor="text1"/>
          <w:sz w:val="20"/>
          <w:szCs w:val="20"/>
        </w:rPr>
        <w:t>, para 40</w:t>
      </w:r>
    </w:p>
  </w:footnote>
  <w:footnote w:id="29">
    <w:p w14:paraId="2BBDB747" w14:textId="77777777" w:rsidR="00B056EA" w:rsidRPr="00946E9F" w:rsidRDefault="00B056EA" w:rsidP="00946E9F">
      <w:pPr>
        <w:rPr>
          <w:rFonts w:ascii="Times New Roman" w:eastAsia="Times New Roman" w:hAnsi="Times New Roman" w:cs="Times New Roman"/>
          <w:color w:val="000000" w:themeColor="text1"/>
          <w:sz w:val="20"/>
          <w:szCs w:val="20"/>
          <w:lang w:val="en-GB"/>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UN SC</w:t>
      </w:r>
      <w:r w:rsidRPr="00946E9F">
        <w:rPr>
          <w:rFonts w:ascii="Times New Roman" w:eastAsia="Times New Roman" w:hAnsi="Times New Roman" w:cs="Times New Roman"/>
          <w:color w:val="000000" w:themeColor="text1"/>
          <w:sz w:val="20"/>
          <w:szCs w:val="20"/>
          <w:shd w:val="clear" w:color="auto" w:fill="FFFFFF"/>
          <w:lang w:val="en-GB"/>
        </w:rPr>
        <w:t> Resolution 1970, 26 February 2011.</w:t>
      </w:r>
    </w:p>
  </w:footnote>
  <w:footnote w:id="30">
    <w:p w14:paraId="0FBB8E15" w14:textId="2630B795" w:rsidR="00B056EA" w:rsidRPr="00946E9F" w:rsidRDefault="00B056EA" w:rsidP="00946E9F">
      <w:pPr>
        <w:pStyle w:val="NormalWeb"/>
        <w:shd w:val="clear" w:color="auto" w:fill="FFFFFF"/>
        <w:spacing w:before="0" w:beforeAutospacing="0" w:after="0" w:afterAutospacing="0"/>
        <w:rPr>
          <w:rFonts w:ascii="Times New Roman" w:hAnsi="Times New Roman"/>
          <w:color w:val="000000" w:themeColor="text1"/>
        </w:rPr>
      </w:pPr>
      <w:r w:rsidRPr="00946E9F">
        <w:rPr>
          <w:rStyle w:val="FootnoteReference"/>
          <w:rFonts w:ascii="Times New Roman" w:hAnsi="Times New Roman"/>
          <w:color w:val="000000" w:themeColor="text1"/>
        </w:rPr>
        <w:footnoteRef/>
      </w:r>
      <w:r w:rsidRPr="00946E9F">
        <w:rPr>
          <w:rFonts w:ascii="Times New Roman" w:hAnsi="Times New Roman"/>
          <w:color w:val="000000" w:themeColor="text1"/>
        </w:rPr>
        <w:t xml:space="preserve"> On 22 November 2011, Pre-Trial Chamber I formally terminated the case against Muammar Gaddafi due to his death.</w:t>
      </w:r>
    </w:p>
  </w:footnote>
  <w:footnote w:id="31">
    <w:p w14:paraId="5B6AF3A0" w14:textId="19957BDB"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color w:val="000000" w:themeColor="text1"/>
          <w:sz w:val="20"/>
          <w:szCs w:val="20"/>
          <w:lang w:val="en-US"/>
        </w:rPr>
        <w:t xml:space="preserve">Article 17(1) of the Rome Statute. </w:t>
      </w:r>
    </w:p>
  </w:footnote>
  <w:footnote w:id="32">
    <w:p w14:paraId="4B52D709" w14:textId="27C6E185" w:rsidR="00B056EA" w:rsidRPr="00946E9F" w:rsidRDefault="00B056EA" w:rsidP="00946E9F">
      <w:pPr>
        <w:widowControl w:val="0"/>
        <w:autoSpaceDE w:val="0"/>
        <w:autoSpaceDN w:val="0"/>
        <w:adjustRightInd w:val="0"/>
        <w:rPr>
          <w:rFonts w:ascii="Times New Roman" w:hAnsi="Times New Roman" w:cs="Times New Roman"/>
          <w:color w:val="000000" w:themeColor="text1"/>
          <w:sz w:val="20"/>
          <w:szCs w:val="20"/>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i/>
          <w:color w:val="000000" w:themeColor="text1"/>
          <w:sz w:val="20"/>
          <w:szCs w:val="20"/>
        </w:rPr>
        <w:t xml:space="preserve"> Al Senussi </w:t>
      </w:r>
      <w:r w:rsidRPr="00946E9F">
        <w:rPr>
          <w:rFonts w:ascii="Times New Roman" w:hAnsi="Times New Roman" w:cs="Times New Roman"/>
          <w:color w:val="000000" w:themeColor="text1"/>
          <w:sz w:val="20"/>
          <w:szCs w:val="20"/>
        </w:rPr>
        <w:t>Appeal Judgment,</w:t>
      </w:r>
      <w:r w:rsidRPr="00946E9F">
        <w:rPr>
          <w:rFonts w:ascii="Times New Roman" w:hAnsi="Times New Roman" w:cs="Times New Roman"/>
          <w:iCs/>
          <w:color w:val="000000" w:themeColor="text1"/>
          <w:sz w:val="20"/>
          <w:szCs w:val="20"/>
        </w:rPr>
        <w:t xml:space="preserve"> </w:t>
      </w:r>
      <w:r w:rsidRPr="00946E9F">
        <w:rPr>
          <w:rFonts w:ascii="Times New Roman" w:hAnsi="Times New Roman" w:cs="Times New Roman"/>
          <w:color w:val="000000" w:themeColor="text1"/>
          <w:sz w:val="20"/>
          <w:szCs w:val="20"/>
        </w:rPr>
        <w:t>para. 119.</w:t>
      </w:r>
    </w:p>
  </w:footnote>
  <w:footnote w:id="33">
    <w:p w14:paraId="4410597F" w14:textId="77777777" w:rsidR="00B056EA" w:rsidRPr="00946E9F" w:rsidRDefault="00B056EA" w:rsidP="00946E9F">
      <w:pPr>
        <w:pStyle w:val="FootnoteText"/>
        <w:spacing w:after="0" w:line="240" w:lineRule="auto"/>
        <w:jc w:val="both"/>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color w:val="000000" w:themeColor="text1"/>
          <w:sz w:val="20"/>
          <w:szCs w:val="20"/>
          <w:lang w:val="en-US"/>
        </w:rPr>
        <w:t>Article 17(2) of the Rome Statute.</w:t>
      </w:r>
    </w:p>
  </w:footnote>
  <w:footnote w:id="34">
    <w:p w14:paraId="32D3D0C9" w14:textId="1D3DC77D"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Al-Senussi</w:t>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color w:val="000000" w:themeColor="text1"/>
          <w:sz w:val="20"/>
          <w:szCs w:val="20"/>
          <w:lang w:val="en-US"/>
        </w:rPr>
        <w:t>Pre-Trial Decision, para. 311.</w:t>
      </w:r>
    </w:p>
  </w:footnote>
  <w:footnote w:id="35">
    <w:p w14:paraId="3A80047E" w14:textId="43F850E1" w:rsidR="00B056EA" w:rsidRPr="00946E9F" w:rsidRDefault="00B056EA" w:rsidP="00946E9F">
      <w:pPr>
        <w:widowControl w:val="0"/>
        <w:autoSpaceDE w:val="0"/>
        <w:autoSpaceDN w:val="0"/>
        <w:adjustRightInd w:val="0"/>
        <w:rPr>
          <w:rFonts w:ascii="Times New Roman" w:hAnsi="Times New Roman" w:cs="Times New Roman"/>
          <w:color w:val="000000" w:themeColor="text1"/>
          <w:sz w:val="20"/>
          <w:szCs w:val="20"/>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Prosecutor v. Saif Al-Islam Gaddafi and Abdullah Al-Senussi</w:t>
      </w:r>
      <w:r w:rsidRPr="00946E9F">
        <w:rPr>
          <w:rFonts w:ascii="Times New Roman" w:hAnsi="Times New Roman" w:cs="Times New Roman"/>
          <w:color w:val="000000" w:themeColor="text1"/>
          <w:sz w:val="20"/>
          <w:szCs w:val="20"/>
        </w:rPr>
        <w:t xml:space="preserve"> (ICC-01/11-01/11 OA 4), Judgment on the appeal of Libya against the decision of Pre-Trial Chamber I of 31 May 2013 entitled “Decision on the admissibility of the case against Saif Al-Islam Gaddafi” (‘</w:t>
      </w:r>
      <w:r w:rsidRPr="00946E9F">
        <w:rPr>
          <w:rFonts w:ascii="Times New Roman" w:hAnsi="Times New Roman" w:cs="Times New Roman"/>
          <w:i/>
          <w:color w:val="000000" w:themeColor="text1"/>
          <w:sz w:val="20"/>
          <w:szCs w:val="20"/>
        </w:rPr>
        <w:t xml:space="preserve">Gaddafi </w:t>
      </w:r>
      <w:r w:rsidRPr="00946E9F">
        <w:rPr>
          <w:rFonts w:ascii="Times New Roman" w:hAnsi="Times New Roman" w:cs="Times New Roman"/>
          <w:color w:val="000000" w:themeColor="text1"/>
          <w:sz w:val="20"/>
          <w:szCs w:val="20"/>
        </w:rPr>
        <w:t>Appeal Judgment’) (21 May 2014), para. 213.</w:t>
      </w:r>
    </w:p>
  </w:footnote>
  <w:footnote w:id="36">
    <w:p w14:paraId="13B85E4C" w14:textId="1F2DBE7D"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Al-Senussi</w:t>
      </w:r>
      <w:r w:rsidRPr="00946E9F">
        <w:rPr>
          <w:rFonts w:ascii="Times New Roman" w:hAnsi="Times New Roman" w:cs="Times New Roman"/>
          <w:color w:val="000000" w:themeColor="text1"/>
          <w:sz w:val="20"/>
          <w:szCs w:val="20"/>
        </w:rPr>
        <w:t xml:space="preserve"> Appeal Judgment, </w:t>
      </w:r>
      <w:r w:rsidRPr="00946E9F">
        <w:rPr>
          <w:rFonts w:ascii="Times New Roman" w:hAnsi="Times New Roman" w:cs="Times New Roman"/>
          <w:color w:val="000000" w:themeColor="text1"/>
          <w:sz w:val="20"/>
          <w:szCs w:val="20"/>
          <w:lang w:val="en-US"/>
        </w:rPr>
        <w:t>para. 93.</w:t>
      </w:r>
    </w:p>
  </w:footnote>
  <w:footnote w:id="37">
    <w:p w14:paraId="23063DB0" w14:textId="7F395674"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Al-Senussi</w:t>
      </w:r>
      <w:r w:rsidRPr="00946E9F">
        <w:rPr>
          <w:rFonts w:ascii="Times New Roman" w:hAnsi="Times New Roman" w:cs="Times New Roman"/>
          <w:color w:val="000000" w:themeColor="text1"/>
          <w:sz w:val="20"/>
          <w:szCs w:val="20"/>
        </w:rPr>
        <w:t xml:space="preserve"> Appeal Judgment, paras. 95-96.</w:t>
      </w:r>
    </w:p>
  </w:footnote>
  <w:footnote w:id="38">
    <w:p w14:paraId="372B11A7" w14:textId="3D2E2D99"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color w:val="000000" w:themeColor="text1"/>
          <w:sz w:val="20"/>
          <w:szCs w:val="20"/>
          <w:lang w:val="en-US"/>
        </w:rPr>
        <w:t>Rule 51 of the Rules of Evidence and Procedure. See also Schabas, p. 345.</w:t>
      </w:r>
    </w:p>
  </w:footnote>
  <w:footnote w:id="39">
    <w:p w14:paraId="29E785F1" w14:textId="1E1B65C8"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color w:val="000000" w:themeColor="text1"/>
          <w:sz w:val="20"/>
          <w:szCs w:val="20"/>
          <w:lang w:val="en-US"/>
        </w:rPr>
        <w:t xml:space="preserve">Both representatives for Victims and the Defence made arguments to that effect. </w:t>
      </w:r>
      <w:r w:rsidRPr="00946E9F">
        <w:rPr>
          <w:rFonts w:ascii="Times New Roman" w:hAnsi="Times New Roman" w:cs="Times New Roman"/>
          <w:i/>
          <w:color w:val="000000" w:themeColor="text1"/>
          <w:sz w:val="20"/>
          <w:szCs w:val="20"/>
        </w:rPr>
        <w:t>Al-Senussi</w:t>
      </w:r>
      <w:r w:rsidRPr="00946E9F">
        <w:rPr>
          <w:rFonts w:ascii="Times New Roman" w:hAnsi="Times New Roman" w:cs="Times New Roman"/>
          <w:color w:val="000000" w:themeColor="text1"/>
          <w:sz w:val="20"/>
          <w:szCs w:val="20"/>
        </w:rPr>
        <w:t xml:space="preserve"> Appeal Judgment</w:t>
      </w:r>
      <w:r w:rsidRPr="00946E9F">
        <w:rPr>
          <w:rFonts w:ascii="Times New Roman" w:hAnsi="Times New Roman" w:cs="Times New Roman"/>
          <w:color w:val="000000" w:themeColor="text1"/>
          <w:sz w:val="20"/>
          <w:szCs w:val="20"/>
          <w:lang w:val="en-US"/>
        </w:rPr>
        <w:t>, paras. 204-210.</w:t>
      </w:r>
    </w:p>
  </w:footnote>
  <w:footnote w:id="40">
    <w:p w14:paraId="0B9B4989" w14:textId="47788CAA" w:rsidR="00B056EA" w:rsidRPr="00946E9F" w:rsidRDefault="00B056EA" w:rsidP="00946E9F">
      <w:pPr>
        <w:widowControl w:val="0"/>
        <w:autoSpaceDE w:val="0"/>
        <w:autoSpaceDN w:val="0"/>
        <w:adjustRightInd w:val="0"/>
        <w:rPr>
          <w:rFonts w:ascii="Times New Roman" w:hAnsi="Times New Roman" w:cs="Times New Roman"/>
          <w:sz w:val="20"/>
          <w:szCs w:val="20"/>
        </w:rPr>
      </w:pPr>
      <w:r w:rsidRPr="00946E9F">
        <w:rPr>
          <w:rStyle w:val="FootnoteReference"/>
          <w:rFonts w:ascii="Times New Roman" w:hAnsi="Times New Roman" w:cs="Times New Roman"/>
          <w:sz w:val="20"/>
          <w:szCs w:val="20"/>
        </w:rPr>
        <w:footnoteRef/>
      </w:r>
      <w:r w:rsidRPr="00946E9F">
        <w:rPr>
          <w:rFonts w:ascii="Times New Roman" w:hAnsi="Times New Roman" w:cs="Times New Roman"/>
          <w:sz w:val="20"/>
          <w:szCs w:val="20"/>
        </w:rPr>
        <w:t xml:space="preserve"> K. Heller, ‘The Shadow Side of Complementarity: The Effect of Article 17 of the Rome Statute on National Due Process’, 17 Criminal Law Forum (2006), pp. 255–280.</w:t>
      </w:r>
    </w:p>
  </w:footnote>
  <w:footnote w:id="41">
    <w:p w14:paraId="3090FA9A" w14:textId="20593C6F" w:rsidR="00B056EA" w:rsidRPr="00946E9F" w:rsidRDefault="00B056EA" w:rsidP="00946E9F">
      <w:pPr>
        <w:pStyle w:val="FootnoteText"/>
        <w:spacing w:after="0" w:line="240" w:lineRule="auto"/>
        <w:rPr>
          <w:rFonts w:ascii="Times New Roman" w:hAnsi="Times New Roman" w:cs="Times New Roman"/>
          <w:sz w:val="20"/>
          <w:szCs w:val="20"/>
          <w:lang w:val="en-US"/>
        </w:rPr>
      </w:pPr>
      <w:r w:rsidRPr="00946E9F">
        <w:rPr>
          <w:rStyle w:val="FootnoteReference"/>
          <w:rFonts w:ascii="Times New Roman" w:hAnsi="Times New Roman" w:cs="Times New Roman"/>
          <w:sz w:val="20"/>
          <w:szCs w:val="20"/>
        </w:rPr>
        <w:footnoteRef/>
      </w:r>
      <w:r w:rsidRPr="00946E9F">
        <w:rPr>
          <w:rFonts w:ascii="Times New Roman" w:hAnsi="Times New Roman" w:cs="Times New Roman"/>
          <w:sz w:val="20"/>
          <w:szCs w:val="20"/>
        </w:rPr>
        <w:t xml:space="preserve"> </w:t>
      </w:r>
      <w:r w:rsidRPr="00946E9F">
        <w:rPr>
          <w:rFonts w:ascii="Times New Roman" w:hAnsi="Times New Roman" w:cs="Times New Roman"/>
          <w:sz w:val="20"/>
          <w:szCs w:val="20"/>
          <w:lang w:val="en-US"/>
        </w:rPr>
        <w:t>Ibid, p. 261; Article 17(2)(c) of the Rome Statute, emphasis added.</w:t>
      </w:r>
    </w:p>
  </w:footnote>
  <w:footnote w:id="42">
    <w:p w14:paraId="7E537544" w14:textId="137CC512" w:rsidR="00B056EA" w:rsidRPr="00946E9F" w:rsidRDefault="00B056EA" w:rsidP="00946E9F">
      <w:pPr>
        <w:pStyle w:val="FootnoteText"/>
        <w:spacing w:after="0" w:line="240" w:lineRule="auto"/>
        <w:rPr>
          <w:rFonts w:ascii="Times New Roman" w:hAnsi="Times New Roman" w:cs="Times New Roman"/>
          <w:sz w:val="20"/>
          <w:szCs w:val="20"/>
          <w:lang w:val="en-US"/>
        </w:rPr>
      </w:pPr>
      <w:r w:rsidRPr="00946E9F">
        <w:rPr>
          <w:rStyle w:val="FootnoteReference"/>
          <w:rFonts w:ascii="Times New Roman" w:hAnsi="Times New Roman" w:cs="Times New Roman"/>
          <w:sz w:val="20"/>
          <w:szCs w:val="20"/>
        </w:rPr>
        <w:footnoteRef/>
      </w:r>
      <w:r w:rsidRPr="00946E9F">
        <w:rPr>
          <w:rFonts w:ascii="Times New Roman" w:hAnsi="Times New Roman" w:cs="Times New Roman"/>
          <w:sz w:val="20"/>
          <w:szCs w:val="20"/>
        </w:rPr>
        <w:t xml:space="preserve"> </w:t>
      </w:r>
      <w:r w:rsidRPr="00946E9F">
        <w:rPr>
          <w:rFonts w:ascii="Times New Roman" w:hAnsi="Times New Roman" w:cs="Times New Roman"/>
          <w:sz w:val="20"/>
          <w:szCs w:val="20"/>
          <w:lang w:val="en-US"/>
        </w:rPr>
        <w:t>Ibid, p. 262.</w:t>
      </w:r>
    </w:p>
  </w:footnote>
  <w:footnote w:id="43">
    <w:p w14:paraId="4A5EAA96" w14:textId="66834F9D" w:rsidR="00B056EA" w:rsidRPr="00946E9F" w:rsidRDefault="00B056EA" w:rsidP="00946E9F">
      <w:pPr>
        <w:pStyle w:val="FootnoteText"/>
        <w:spacing w:after="0" w:line="240" w:lineRule="auto"/>
        <w:rPr>
          <w:rFonts w:ascii="Times New Roman" w:hAnsi="Times New Roman" w:cs="Times New Roman"/>
          <w:sz w:val="20"/>
          <w:szCs w:val="20"/>
          <w:lang w:val="en-US"/>
        </w:rPr>
      </w:pPr>
      <w:r w:rsidRPr="00946E9F">
        <w:rPr>
          <w:rStyle w:val="FootnoteReference"/>
          <w:rFonts w:ascii="Times New Roman" w:hAnsi="Times New Roman" w:cs="Times New Roman"/>
          <w:sz w:val="20"/>
          <w:szCs w:val="20"/>
        </w:rPr>
        <w:footnoteRef/>
      </w:r>
      <w:r w:rsidRPr="00946E9F">
        <w:rPr>
          <w:rFonts w:ascii="Times New Roman" w:hAnsi="Times New Roman" w:cs="Times New Roman"/>
          <w:sz w:val="20"/>
          <w:szCs w:val="20"/>
        </w:rPr>
        <w:t xml:space="preserve"> </w:t>
      </w:r>
      <w:r w:rsidRPr="00946E9F">
        <w:rPr>
          <w:rFonts w:ascii="Times New Roman" w:hAnsi="Times New Roman" w:cs="Times New Roman"/>
          <w:sz w:val="20"/>
          <w:szCs w:val="20"/>
          <w:lang w:val="en-US"/>
        </w:rPr>
        <w:t>Article 17(2)(a) of the Rome Statute.</w:t>
      </w:r>
    </w:p>
  </w:footnote>
  <w:footnote w:id="44">
    <w:p w14:paraId="045D57ED" w14:textId="327C12FD"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Al-Senussi</w:t>
      </w:r>
      <w:r w:rsidRPr="00946E9F">
        <w:rPr>
          <w:rFonts w:ascii="Times New Roman" w:hAnsi="Times New Roman" w:cs="Times New Roman"/>
          <w:color w:val="000000" w:themeColor="text1"/>
          <w:sz w:val="20"/>
          <w:szCs w:val="20"/>
        </w:rPr>
        <w:t xml:space="preserve"> Appeal Judgment, para. 79. See also </w:t>
      </w:r>
      <w:r w:rsidRPr="00946E9F">
        <w:rPr>
          <w:rFonts w:ascii="Times New Roman" w:hAnsi="Times New Roman" w:cs="Times New Roman"/>
          <w:i/>
          <w:color w:val="000000" w:themeColor="text1"/>
          <w:sz w:val="20"/>
          <w:szCs w:val="20"/>
          <w:lang w:val="en-US"/>
        </w:rPr>
        <w:t>Gaddafi</w:t>
      </w:r>
      <w:r w:rsidRPr="00946E9F">
        <w:rPr>
          <w:rFonts w:ascii="Times New Roman" w:hAnsi="Times New Roman" w:cs="Times New Roman"/>
          <w:color w:val="000000" w:themeColor="text1"/>
          <w:sz w:val="20"/>
          <w:szCs w:val="20"/>
          <w:lang w:val="en-US"/>
        </w:rPr>
        <w:t xml:space="preserve"> Appeal Judgment, para. 146;</w:t>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color w:val="000000" w:themeColor="text1"/>
          <w:sz w:val="20"/>
          <w:szCs w:val="20"/>
          <w:lang w:val="en-US"/>
        </w:rPr>
        <w:t>Prosecutor v. William Samoei Ruto et al, “Judgment on the appeal of the Prosecutor against the decision of Trial Chamber V(a) of 18 June entitled ‘Decision on Mr Ruto's Request for Excusal from Continuous Presence at Trial’”, 25 October 2013, ICC-01/09-01/11-1066 (OA 5), para. 60</w:t>
      </w:r>
    </w:p>
  </w:footnote>
  <w:footnote w:id="45">
    <w:p w14:paraId="07980D5E" w14:textId="1BE0841B"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Al-Senussi</w:t>
      </w:r>
      <w:r w:rsidRPr="00946E9F">
        <w:rPr>
          <w:rFonts w:ascii="Times New Roman" w:hAnsi="Times New Roman" w:cs="Times New Roman"/>
          <w:color w:val="000000" w:themeColor="text1"/>
          <w:sz w:val="20"/>
          <w:szCs w:val="20"/>
        </w:rPr>
        <w:t xml:space="preserve"> Appeal Judgment</w:t>
      </w:r>
      <w:r w:rsidRPr="00946E9F">
        <w:rPr>
          <w:rFonts w:ascii="Times New Roman" w:hAnsi="Times New Roman" w:cs="Times New Roman"/>
          <w:color w:val="000000" w:themeColor="text1"/>
          <w:sz w:val="20"/>
          <w:szCs w:val="20"/>
          <w:lang w:val="en-US"/>
        </w:rPr>
        <w:t xml:space="preserve">, para. 79. </w:t>
      </w:r>
    </w:p>
  </w:footnote>
  <w:footnote w:id="46">
    <w:p w14:paraId="3AACB139" w14:textId="516B68B9"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Al-Senussi</w:t>
      </w:r>
      <w:r w:rsidRPr="00946E9F">
        <w:rPr>
          <w:rFonts w:ascii="Times New Roman" w:hAnsi="Times New Roman" w:cs="Times New Roman"/>
          <w:color w:val="000000" w:themeColor="text1"/>
          <w:sz w:val="20"/>
          <w:szCs w:val="20"/>
        </w:rPr>
        <w:t xml:space="preserve"> Appeal Judgment</w:t>
      </w:r>
      <w:r w:rsidRPr="00946E9F">
        <w:rPr>
          <w:rFonts w:ascii="Times New Roman" w:hAnsi="Times New Roman" w:cs="Times New Roman"/>
          <w:color w:val="000000" w:themeColor="text1"/>
          <w:sz w:val="20"/>
          <w:szCs w:val="20"/>
          <w:lang w:val="en-US"/>
        </w:rPr>
        <w:t>, para. 124.</w:t>
      </w:r>
    </w:p>
  </w:footnote>
  <w:footnote w:id="47">
    <w:p w14:paraId="2A63EB8D" w14:textId="1CA23FE6"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Al-Senussi</w:t>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color w:val="000000" w:themeColor="text1"/>
          <w:sz w:val="20"/>
          <w:szCs w:val="20"/>
          <w:lang w:val="en-US"/>
        </w:rPr>
        <w:t>PTC, para. 230.</w:t>
      </w:r>
    </w:p>
  </w:footnote>
  <w:footnote w:id="48">
    <w:p w14:paraId="1E8AE1C5" w14:textId="6525DD31"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Al-Senussi</w:t>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color w:val="000000" w:themeColor="text1"/>
          <w:sz w:val="20"/>
          <w:szCs w:val="20"/>
          <w:lang w:val="en-US"/>
        </w:rPr>
        <w:t>PTC 292, 304-306.</w:t>
      </w:r>
    </w:p>
  </w:footnote>
  <w:footnote w:id="49">
    <w:p w14:paraId="521649F6" w14:textId="536C627B"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Al-Senussi</w:t>
      </w:r>
      <w:r w:rsidRPr="00946E9F">
        <w:rPr>
          <w:rFonts w:ascii="Times New Roman" w:hAnsi="Times New Roman" w:cs="Times New Roman"/>
          <w:color w:val="000000" w:themeColor="text1"/>
          <w:sz w:val="20"/>
          <w:szCs w:val="20"/>
        </w:rPr>
        <w:t xml:space="preserve"> Appeal Judgment</w:t>
      </w:r>
      <w:r w:rsidRPr="00946E9F">
        <w:rPr>
          <w:rFonts w:ascii="Times New Roman" w:hAnsi="Times New Roman" w:cs="Times New Roman"/>
          <w:color w:val="000000" w:themeColor="text1"/>
          <w:sz w:val="20"/>
          <w:szCs w:val="20"/>
          <w:lang w:val="en-US"/>
        </w:rPr>
        <w:t>, para. 131.</w:t>
      </w:r>
    </w:p>
  </w:footnote>
  <w:footnote w:id="50">
    <w:p w14:paraId="47C4958C" w14:textId="27B19B25"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color w:val="000000" w:themeColor="text1"/>
          <w:sz w:val="20"/>
          <w:szCs w:val="20"/>
          <w:lang w:val="en-US"/>
        </w:rPr>
        <w:t xml:space="preserve">Article 58(2) of the Rules of Evidence and Procedure. </w:t>
      </w:r>
      <w:r w:rsidRPr="00946E9F">
        <w:rPr>
          <w:rFonts w:ascii="Times New Roman" w:hAnsi="Times New Roman" w:cs="Times New Roman"/>
          <w:i/>
          <w:color w:val="000000" w:themeColor="text1"/>
          <w:sz w:val="20"/>
          <w:szCs w:val="20"/>
        </w:rPr>
        <w:t>Al-Senussi</w:t>
      </w:r>
      <w:r w:rsidRPr="00946E9F">
        <w:rPr>
          <w:rFonts w:ascii="Times New Roman" w:hAnsi="Times New Roman" w:cs="Times New Roman"/>
          <w:color w:val="000000" w:themeColor="text1"/>
          <w:sz w:val="20"/>
          <w:szCs w:val="20"/>
        </w:rPr>
        <w:t xml:space="preserve"> Appeal Judgment</w:t>
      </w:r>
      <w:r w:rsidRPr="00946E9F">
        <w:rPr>
          <w:rFonts w:ascii="Times New Roman" w:hAnsi="Times New Roman" w:cs="Times New Roman"/>
          <w:color w:val="000000" w:themeColor="text1"/>
          <w:sz w:val="20"/>
          <w:szCs w:val="20"/>
          <w:lang w:val="en-US"/>
        </w:rPr>
        <w:t xml:space="preserve">, para. 150. </w:t>
      </w:r>
    </w:p>
  </w:footnote>
  <w:footnote w:id="51">
    <w:p w14:paraId="56606EF5" w14:textId="3359CF1B"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Al-Senussi</w:t>
      </w:r>
      <w:r w:rsidRPr="00946E9F">
        <w:rPr>
          <w:rFonts w:ascii="Times New Roman" w:hAnsi="Times New Roman" w:cs="Times New Roman"/>
          <w:color w:val="000000" w:themeColor="text1"/>
          <w:sz w:val="20"/>
          <w:szCs w:val="20"/>
        </w:rPr>
        <w:t xml:space="preserve"> Appeal Judgment</w:t>
      </w:r>
      <w:r w:rsidRPr="00946E9F">
        <w:rPr>
          <w:rFonts w:ascii="Times New Roman" w:hAnsi="Times New Roman" w:cs="Times New Roman"/>
          <w:color w:val="000000" w:themeColor="text1"/>
          <w:sz w:val="20"/>
          <w:szCs w:val="20"/>
          <w:lang w:val="en-US"/>
        </w:rPr>
        <w:t xml:space="preserve">, paras. 146-147. </w:t>
      </w:r>
    </w:p>
  </w:footnote>
  <w:footnote w:id="52">
    <w:p w14:paraId="672BF48A" w14:textId="5CF13519"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Al-Senussi</w:t>
      </w:r>
      <w:r w:rsidRPr="00946E9F">
        <w:rPr>
          <w:rFonts w:ascii="Times New Roman" w:hAnsi="Times New Roman" w:cs="Times New Roman"/>
          <w:color w:val="000000" w:themeColor="text1"/>
          <w:sz w:val="20"/>
          <w:szCs w:val="20"/>
        </w:rPr>
        <w:t xml:space="preserve"> PTC, para. 292, </w:t>
      </w:r>
      <w:r w:rsidRPr="00946E9F">
        <w:rPr>
          <w:rFonts w:ascii="Times New Roman" w:hAnsi="Times New Roman" w:cs="Times New Roman"/>
          <w:i/>
          <w:color w:val="000000" w:themeColor="text1"/>
          <w:sz w:val="20"/>
          <w:szCs w:val="20"/>
        </w:rPr>
        <w:t>Al-Senussi</w:t>
      </w:r>
      <w:r w:rsidRPr="00946E9F">
        <w:rPr>
          <w:rFonts w:ascii="Times New Roman" w:hAnsi="Times New Roman" w:cs="Times New Roman"/>
          <w:color w:val="000000" w:themeColor="text1"/>
          <w:sz w:val="20"/>
          <w:szCs w:val="20"/>
        </w:rPr>
        <w:t xml:space="preserve"> Appeal Judgment, paras. 181, 189.</w:t>
      </w:r>
    </w:p>
  </w:footnote>
  <w:footnote w:id="53">
    <w:p w14:paraId="6DD8A767" w14:textId="1116C588"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Al-Senussi</w:t>
      </w:r>
      <w:r w:rsidRPr="00946E9F">
        <w:rPr>
          <w:rFonts w:ascii="Times New Roman" w:hAnsi="Times New Roman" w:cs="Times New Roman"/>
          <w:color w:val="000000" w:themeColor="text1"/>
          <w:sz w:val="20"/>
          <w:szCs w:val="20"/>
        </w:rPr>
        <w:t xml:space="preserve"> Appeal Judgment,</w:t>
      </w:r>
      <w:r w:rsidRPr="00946E9F">
        <w:rPr>
          <w:rFonts w:ascii="Times New Roman" w:hAnsi="Times New Roman" w:cs="Times New Roman"/>
          <w:color w:val="000000" w:themeColor="text1"/>
          <w:sz w:val="20"/>
          <w:szCs w:val="20"/>
          <w:lang w:val="en-US"/>
        </w:rPr>
        <w:t xml:space="preserve"> paras. 244;  256.</w:t>
      </w:r>
    </w:p>
  </w:footnote>
  <w:footnote w:id="54">
    <w:p w14:paraId="2B9B1F1E" w14:textId="13297B8A"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Al-Senussi</w:t>
      </w:r>
      <w:r w:rsidRPr="00946E9F">
        <w:rPr>
          <w:rFonts w:ascii="Times New Roman" w:hAnsi="Times New Roman" w:cs="Times New Roman"/>
          <w:color w:val="000000" w:themeColor="text1"/>
          <w:sz w:val="20"/>
          <w:szCs w:val="20"/>
        </w:rPr>
        <w:t xml:space="preserve"> Appeal Judgment, paras. 287;  295.</w:t>
      </w:r>
    </w:p>
  </w:footnote>
  <w:footnote w:id="55">
    <w:p w14:paraId="0D0664F8" w14:textId="7D9E9B0B" w:rsidR="00B056EA" w:rsidRPr="00946E9F" w:rsidRDefault="00B056EA" w:rsidP="00946E9F">
      <w:pPr>
        <w:pStyle w:val="FootnoteText"/>
        <w:spacing w:after="0" w:line="240" w:lineRule="auto"/>
        <w:rPr>
          <w:rFonts w:ascii="Times New Roman" w:hAnsi="Times New Roman" w:cs="Times New Roman"/>
          <w:sz w:val="20"/>
          <w:szCs w:val="20"/>
          <w:lang w:val="en-US"/>
        </w:rPr>
      </w:pPr>
      <w:r w:rsidRPr="00946E9F">
        <w:rPr>
          <w:rStyle w:val="FootnoteReference"/>
          <w:rFonts w:ascii="Times New Roman" w:hAnsi="Times New Roman" w:cs="Times New Roman"/>
          <w:sz w:val="20"/>
          <w:szCs w:val="20"/>
        </w:rPr>
        <w:footnoteRef/>
      </w:r>
      <w:r w:rsidRPr="00946E9F">
        <w:rPr>
          <w:rFonts w:ascii="Times New Roman" w:hAnsi="Times New Roman" w:cs="Times New Roman"/>
          <w:sz w:val="20"/>
          <w:szCs w:val="20"/>
        </w:rPr>
        <w:t xml:space="preserve"> </w:t>
      </w:r>
      <w:r w:rsidRPr="00946E9F">
        <w:rPr>
          <w:rFonts w:ascii="Times New Roman" w:hAnsi="Times New Roman" w:cs="Times New Roman"/>
          <w:i/>
          <w:sz w:val="20"/>
          <w:szCs w:val="20"/>
          <w:lang w:val="en-US"/>
        </w:rPr>
        <w:t>Cf.</w:t>
      </w:r>
      <w:r w:rsidRPr="00946E9F">
        <w:rPr>
          <w:rFonts w:ascii="Times New Roman" w:hAnsi="Times New Roman" w:cs="Times New Roman"/>
          <w:sz w:val="20"/>
          <w:szCs w:val="20"/>
          <w:lang w:val="en-US"/>
        </w:rPr>
        <w:t xml:space="preserve"> Heller, supra note 39.</w:t>
      </w:r>
    </w:p>
  </w:footnote>
  <w:footnote w:id="56">
    <w:p w14:paraId="5E469782" w14:textId="5B4E8F4E"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Al-Senussi</w:t>
      </w:r>
      <w:r w:rsidRPr="00946E9F">
        <w:rPr>
          <w:rFonts w:ascii="Times New Roman" w:hAnsi="Times New Roman" w:cs="Times New Roman"/>
          <w:color w:val="000000" w:themeColor="text1"/>
          <w:sz w:val="20"/>
          <w:szCs w:val="20"/>
        </w:rPr>
        <w:t xml:space="preserve"> Appeal Judgment</w:t>
      </w:r>
      <w:r w:rsidRPr="00946E9F">
        <w:rPr>
          <w:rFonts w:ascii="Times New Roman" w:hAnsi="Times New Roman" w:cs="Times New Roman"/>
          <w:color w:val="000000" w:themeColor="text1"/>
          <w:sz w:val="20"/>
          <w:szCs w:val="20"/>
          <w:lang w:val="en-US"/>
        </w:rPr>
        <w:t>, para. 145.</w:t>
      </w:r>
    </w:p>
  </w:footnote>
  <w:footnote w:id="57">
    <w:p w14:paraId="552F3C81" w14:textId="0E2CE931"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Al-Senussi</w:t>
      </w:r>
      <w:r w:rsidRPr="00946E9F">
        <w:rPr>
          <w:rFonts w:ascii="Times New Roman" w:hAnsi="Times New Roman" w:cs="Times New Roman"/>
          <w:color w:val="000000" w:themeColor="text1"/>
          <w:sz w:val="20"/>
          <w:szCs w:val="20"/>
        </w:rPr>
        <w:t xml:space="preserve"> Appeal Judgment</w:t>
      </w:r>
      <w:r w:rsidRPr="00946E9F">
        <w:rPr>
          <w:rFonts w:ascii="Times New Roman" w:hAnsi="Times New Roman" w:cs="Times New Roman"/>
          <w:color w:val="000000" w:themeColor="text1"/>
          <w:sz w:val="20"/>
          <w:szCs w:val="20"/>
          <w:lang w:val="en-US"/>
        </w:rPr>
        <w:t xml:space="preserve">, para 169. See also </w:t>
      </w:r>
      <w:r w:rsidRPr="00946E9F">
        <w:rPr>
          <w:rFonts w:ascii="Times New Roman" w:hAnsi="Times New Roman" w:cs="Times New Roman"/>
          <w:i/>
          <w:color w:val="000000" w:themeColor="text1"/>
          <w:sz w:val="20"/>
          <w:szCs w:val="20"/>
          <w:lang w:val="en-US"/>
        </w:rPr>
        <w:t>Kony</w:t>
      </w:r>
      <w:r w:rsidRPr="00946E9F">
        <w:rPr>
          <w:rFonts w:ascii="Times New Roman" w:hAnsi="Times New Roman" w:cs="Times New Roman"/>
          <w:color w:val="000000" w:themeColor="text1"/>
          <w:sz w:val="20"/>
          <w:szCs w:val="20"/>
          <w:lang w:val="en-US"/>
        </w:rPr>
        <w:t xml:space="preserve"> </w:t>
      </w:r>
      <w:r w:rsidRPr="00946E9F">
        <w:rPr>
          <w:rFonts w:ascii="Times New Roman" w:hAnsi="Times New Roman" w:cs="Times New Roman"/>
          <w:color w:val="000000" w:themeColor="text1"/>
          <w:sz w:val="20"/>
          <w:szCs w:val="20"/>
        </w:rPr>
        <w:t>Appeal Judgment</w:t>
      </w:r>
      <w:r w:rsidRPr="00946E9F">
        <w:rPr>
          <w:rFonts w:ascii="Times New Roman" w:hAnsi="Times New Roman" w:cs="Times New Roman"/>
          <w:color w:val="000000" w:themeColor="text1"/>
          <w:sz w:val="20"/>
          <w:szCs w:val="20"/>
          <w:lang w:val="en-US"/>
        </w:rPr>
        <w:t>, para. 66.</w:t>
      </w:r>
    </w:p>
  </w:footnote>
  <w:footnote w:id="58">
    <w:p w14:paraId="07B7033A" w14:textId="09D3B648"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Al-Senussi</w:t>
      </w:r>
      <w:r w:rsidRPr="00946E9F">
        <w:rPr>
          <w:rFonts w:ascii="Times New Roman" w:hAnsi="Times New Roman" w:cs="Times New Roman"/>
          <w:color w:val="000000" w:themeColor="text1"/>
          <w:sz w:val="20"/>
          <w:szCs w:val="20"/>
        </w:rPr>
        <w:t xml:space="preserve"> Appeal Judgment</w:t>
      </w:r>
      <w:r w:rsidRPr="00946E9F">
        <w:rPr>
          <w:rFonts w:ascii="Times New Roman" w:hAnsi="Times New Roman" w:cs="Times New Roman"/>
          <w:color w:val="000000" w:themeColor="text1"/>
          <w:sz w:val="20"/>
          <w:szCs w:val="20"/>
          <w:lang w:val="en-US"/>
        </w:rPr>
        <w:t>, para. 190; 229; 230.</w:t>
      </w:r>
    </w:p>
  </w:footnote>
  <w:footnote w:id="59">
    <w:p w14:paraId="4943D7F9" w14:textId="3D8E6AA1"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Al-Senussi</w:t>
      </w:r>
      <w:r w:rsidRPr="00946E9F">
        <w:rPr>
          <w:rFonts w:ascii="Times New Roman" w:hAnsi="Times New Roman" w:cs="Times New Roman"/>
          <w:color w:val="000000" w:themeColor="text1"/>
          <w:sz w:val="20"/>
          <w:szCs w:val="20"/>
        </w:rPr>
        <w:t xml:space="preserve"> Appeal Judgment</w:t>
      </w:r>
      <w:r w:rsidRPr="00946E9F">
        <w:rPr>
          <w:rFonts w:ascii="Times New Roman" w:hAnsi="Times New Roman" w:cs="Times New Roman"/>
          <w:color w:val="000000" w:themeColor="text1"/>
          <w:sz w:val="20"/>
          <w:szCs w:val="20"/>
          <w:lang w:val="en-US"/>
        </w:rPr>
        <w:t>, para. 191.</w:t>
      </w:r>
    </w:p>
  </w:footnote>
  <w:footnote w:id="60">
    <w:p w14:paraId="235DFCA4" w14:textId="013950E7"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Al-Senussi</w:t>
      </w:r>
      <w:r w:rsidRPr="00946E9F">
        <w:rPr>
          <w:rFonts w:ascii="Times New Roman" w:hAnsi="Times New Roman" w:cs="Times New Roman"/>
          <w:color w:val="000000" w:themeColor="text1"/>
          <w:sz w:val="20"/>
          <w:szCs w:val="20"/>
        </w:rPr>
        <w:t xml:space="preserve"> Appeal Judgment</w:t>
      </w:r>
      <w:r w:rsidRPr="00946E9F">
        <w:rPr>
          <w:rFonts w:ascii="Times New Roman" w:hAnsi="Times New Roman" w:cs="Times New Roman"/>
          <w:color w:val="000000" w:themeColor="text1"/>
          <w:sz w:val="20"/>
          <w:szCs w:val="20"/>
          <w:lang w:val="en-US"/>
        </w:rPr>
        <w:t>, para. 218.</w:t>
      </w:r>
    </w:p>
  </w:footnote>
  <w:footnote w:id="61">
    <w:p w14:paraId="03019949" w14:textId="7670BC3A"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i/>
          <w:color w:val="000000" w:themeColor="text1"/>
          <w:sz w:val="20"/>
          <w:szCs w:val="20"/>
        </w:rPr>
        <w:t>Al-Senussi</w:t>
      </w:r>
      <w:r w:rsidRPr="00946E9F">
        <w:rPr>
          <w:rFonts w:ascii="Times New Roman" w:hAnsi="Times New Roman" w:cs="Times New Roman"/>
          <w:color w:val="000000" w:themeColor="text1"/>
          <w:sz w:val="20"/>
          <w:szCs w:val="20"/>
        </w:rPr>
        <w:t xml:space="preserve"> Appeal Judgment</w:t>
      </w:r>
      <w:r w:rsidRPr="00946E9F">
        <w:rPr>
          <w:rFonts w:ascii="Times New Roman" w:hAnsi="Times New Roman" w:cs="Times New Roman"/>
          <w:color w:val="000000" w:themeColor="text1"/>
          <w:sz w:val="20"/>
          <w:szCs w:val="20"/>
          <w:lang w:val="en-US"/>
        </w:rPr>
        <w:t>, paras. 219-220.</w:t>
      </w:r>
    </w:p>
  </w:footnote>
  <w:footnote w:id="62">
    <w:p w14:paraId="69E85009" w14:textId="5E6DD50E" w:rsidR="00B056EA" w:rsidRPr="00946E9F" w:rsidRDefault="00B056EA" w:rsidP="00946E9F">
      <w:pPr>
        <w:pStyle w:val="FootnoteText"/>
        <w:spacing w:after="0" w:line="240" w:lineRule="auto"/>
        <w:rPr>
          <w:rFonts w:ascii="Times New Roman" w:hAnsi="Times New Roman" w:cs="Times New Roman"/>
          <w:sz w:val="20"/>
          <w:szCs w:val="20"/>
          <w:lang w:val="en-US"/>
        </w:rPr>
      </w:pPr>
      <w:r w:rsidRPr="00946E9F">
        <w:rPr>
          <w:rStyle w:val="FootnoteReference"/>
          <w:rFonts w:ascii="Times New Roman" w:hAnsi="Times New Roman" w:cs="Times New Roman"/>
          <w:sz w:val="20"/>
          <w:szCs w:val="20"/>
        </w:rPr>
        <w:footnoteRef/>
      </w:r>
      <w:r w:rsidRPr="00946E9F">
        <w:rPr>
          <w:rFonts w:ascii="Times New Roman" w:hAnsi="Times New Roman" w:cs="Times New Roman"/>
          <w:sz w:val="20"/>
          <w:szCs w:val="20"/>
        </w:rPr>
        <w:t xml:space="preserve"> </w:t>
      </w:r>
      <w:r w:rsidRPr="00946E9F">
        <w:rPr>
          <w:rFonts w:ascii="Times New Roman" w:hAnsi="Times New Roman" w:cs="Times New Roman"/>
          <w:sz w:val="20"/>
          <w:szCs w:val="20"/>
          <w:lang w:val="en-US"/>
        </w:rPr>
        <w:t xml:space="preserve">Heller, supra note </w:t>
      </w:r>
      <w:r>
        <w:rPr>
          <w:rFonts w:ascii="Times New Roman" w:hAnsi="Times New Roman" w:cs="Times New Roman"/>
          <w:sz w:val="20"/>
          <w:szCs w:val="20"/>
          <w:lang w:val="en-US"/>
        </w:rPr>
        <w:t>40</w:t>
      </w:r>
      <w:r w:rsidRPr="00946E9F">
        <w:rPr>
          <w:rFonts w:ascii="Times New Roman" w:hAnsi="Times New Roman" w:cs="Times New Roman"/>
          <w:sz w:val="20"/>
          <w:szCs w:val="20"/>
          <w:lang w:val="en-US"/>
        </w:rPr>
        <w:t>.</w:t>
      </w:r>
    </w:p>
  </w:footnote>
  <w:footnote w:id="63">
    <w:p w14:paraId="02F2139B" w14:textId="2DCE3464"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color w:val="000000" w:themeColor="text1"/>
          <w:sz w:val="20"/>
          <w:szCs w:val="20"/>
          <w:lang w:val="en-US"/>
        </w:rPr>
        <w:t>A. Mowbray, European Convention on Human Rights (OUP, 2012), p. 427.</w:t>
      </w:r>
    </w:p>
  </w:footnote>
  <w:footnote w:id="64">
    <w:p w14:paraId="2FB13653" w14:textId="6078E0FC"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S. Trechsel, ‘Rights in Criminal Proceedings under the ECHR and the ICTY Statute – a Precarious Comparison’, in B. Swaart et al (eds) The Legacy of the International Criminal Tribunal for the Former Yugoslavia (OUP, 2011), p. 154. See also Cryer, </w:t>
      </w:r>
      <w:r w:rsidRPr="00946E9F">
        <w:rPr>
          <w:rFonts w:ascii="Times New Roman" w:hAnsi="Times New Roman" w:cs="Times New Roman"/>
          <w:i/>
          <w:color w:val="000000" w:themeColor="text1"/>
          <w:sz w:val="20"/>
          <w:szCs w:val="20"/>
        </w:rPr>
        <w:t>supra</w:t>
      </w:r>
      <w:r>
        <w:rPr>
          <w:rFonts w:ascii="Times New Roman" w:hAnsi="Times New Roman" w:cs="Times New Roman"/>
          <w:color w:val="000000" w:themeColor="text1"/>
          <w:sz w:val="20"/>
          <w:szCs w:val="20"/>
        </w:rPr>
        <w:t xml:space="preserve"> note </w:t>
      </w:r>
      <w:r w:rsidRPr="00946E9F">
        <w:rPr>
          <w:rFonts w:ascii="Times New Roman" w:hAnsi="Times New Roman" w:cs="Times New Roman"/>
          <w:color w:val="000000" w:themeColor="text1"/>
          <w:sz w:val="20"/>
          <w:szCs w:val="20"/>
        </w:rPr>
        <w:t>1.</w:t>
      </w:r>
    </w:p>
  </w:footnote>
  <w:footnote w:id="65">
    <w:p w14:paraId="07B23CC0" w14:textId="0E2D4220"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color w:val="000000" w:themeColor="text1"/>
          <w:sz w:val="20"/>
          <w:szCs w:val="20"/>
          <w:lang w:val="en-US"/>
        </w:rPr>
        <w:t>Article 20(1) of the ICTY/R Statutes; Article 19(1) of the ICTR Statute; Article 64(2) of the Rome Statute.</w:t>
      </w:r>
    </w:p>
  </w:footnote>
  <w:footnote w:id="66">
    <w:p w14:paraId="00E51262" w14:textId="523D0D9D" w:rsidR="00B056EA" w:rsidRPr="00946E9F" w:rsidRDefault="00B056EA" w:rsidP="00946E9F">
      <w:pPr>
        <w:widowControl w:val="0"/>
        <w:autoSpaceDE w:val="0"/>
        <w:autoSpaceDN w:val="0"/>
        <w:adjustRightInd w:val="0"/>
        <w:rPr>
          <w:rFonts w:ascii="Times New Roman" w:hAnsi="Times New Roman" w:cs="Times New Roman"/>
          <w:color w:val="000000" w:themeColor="text1"/>
          <w:sz w:val="20"/>
          <w:szCs w:val="20"/>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Prosecutor v. </w:t>
      </w:r>
      <w:r w:rsidRPr="00946E9F">
        <w:rPr>
          <w:rFonts w:ascii="Times New Roman" w:eastAsia="Times New Roman" w:hAnsi="Times New Roman" w:cs="Times New Roman"/>
          <w:i/>
          <w:color w:val="000000" w:themeColor="text1"/>
          <w:sz w:val="20"/>
          <w:szCs w:val="20"/>
          <w:lang w:val="en-GB"/>
        </w:rPr>
        <w:t>William Samoei Ruto and Mr Joshua Arap Sang</w:t>
      </w:r>
      <w:r w:rsidRPr="00946E9F">
        <w:rPr>
          <w:rFonts w:ascii="Times New Roman" w:eastAsia="Times New Roman" w:hAnsi="Times New Roman" w:cs="Times New Roman"/>
          <w:color w:val="000000" w:themeColor="text1"/>
          <w:sz w:val="20"/>
          <w:szCs w:val="20"/>
          <w:lang w:val="en-GB"/>
        </w:rPr>
        <w:t xml:space="preserve">, </w:t>
      </w:r>
      <w:r w:rsidRPr="00946E9F">
        <w:rPr>
          <w:rFonts w:ascii="Times New Roman" w:hAnsi="Times New Roman" w:cs="Times New Roman"/>
          <w:color w:val="000000" w:themeColor="text1"/>
          <w:sz w:val="20"/>
          <w:szCs w:val="20"/>
        </w:rPr>
        <w:t>Reasons for the Decision on Admission of Certain Evidence Connected to Witness [REDACTED], rendered on [REDACTED], ICC-01/09-01/11, T. Ch (V)(a), 16 December 2014, para. 43.</w:t>
      </w:r>
    </w:p>
  </w:footnote>
  <w:footnote w:id="67">
    <w:p w14:paraId="0E824DF6" w14:textId="1101C9FB"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color w:val="000000" w:themeColor="text1"/>
          <w:sz w:val="20"/>
          <w:szCs w:val="20"/>
          <w:lang w:val="en-US"/>
        </w:rPr>
        <w:t>Ibid, para. 40.</w:t>
      </w:r>
    </w:p>
  </w:footnote>
  <w:footnote w:id="68">
    <w:p w14:paraId="1E5CAC98" w14:textId="5FE3AC8F"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 </w:t>
      </w:r>
      <w:r w:rsidRPr="00946E9F">
        <w:rPr>
          <w:rFonts w:ascii="Times New Roman" w:hAnsi="Times New Roman" w:cs="Times New Roman"/>
          <w:color w:val="000000" w:themeColor="text1"/>
          <w:sz w:val="20"/>
          <w:szCs w:val="20"/>
          <w:lang w:val="en-US"/>
        </w:rPr>
        <w:t xml:space="preserve">Jordash and J. Coughlan, </w:t>
      </w:r>
      <w:r w:rsidRPr="00946E9F">
        <w:rPr>
          <w:rFonts w:ascii="Times New Roman" w:hAnsi="Times New Roman" w:cs="Times New Roman"/>
          <w:color w:val="000000" w:themeColor="text1"/>
          <w:sz w:val="20"/>
          <w:szCs w:val="20"/>
        </w:rPr>
        <w:t xml:space="preserve">‘The Right to be Informed of the Nature and Cause of the Charges: A Potentially Formidable Jurisprudential Legacy,’ in S. Darcy and J. Powderly (eds) </w:t>
      </w:r>
      <w:r w:rsidRPr="00946E9F">
        <w:rPr>
          <w:rFonts w:ascii="Times New Roman" w:hAnsi="Times New Roman" w:cs="Times New Roman"/>
          <w:i/>
          <w:color w:val="000000" w:themeColor="text1"/>
          <w:sz w:val="20"/>
          <w:szCs w:val="20"/>
        </w:rPr>
        <w:t>Judicial Creativity at the International Criminal Tribunals</w:t>
      </w:r>
      <w:r w:rsidRPr="00946E9F">
        <w:rPr>
          <w:rFonts w:ascii="Times New Roman" w:hAnsi="Times New Roman" w:cs="Times New Roman"/>
          <w:color w:val="000000" w:themeColor="text1"/>
          <w:sz w:val="20"/>
          <w:szCs w:val="20"/>
        </w:rPr>
        <w:t xml:space="preserve"> (OUP, 2010), </w:t>
      </w:r>
      <w:r w:rsidRPr="00946E9F">
        <w:rPr>
          <w:rFonts w:ascii="Times New Roman" w:hAnsi="Times New Roman" w:cs="Times New Roman"/>
          <w:color w:val="000000" w:themeColor="text1"/>
          <w:sz w:val="20"/>
          <w:szCs w:val="20"/>
          <w:lang w:val="en-US"/>
        </w:rPr>
        <w:t xml:space="preserve">p. 289, citing </w:t>
      </w:r>
      <w:r w:rsidRPr="00946E9F">
        <w:rPr>
          <w:rFonts w:ascii="Times New Roman" w:hAnsi="Times New Roman" w:cs="Times New Roman"/>
          <w:i/>
          <w:color w:val="000000" w:themeColor="text1"/>
          <w:sz w:val="20"/>
          <w:szCs w:val="20"/>
          <w:lang w:val="en-US"/>
        </w:rPr>
        <w:t>Prosecutor v. Kvocka</w:t>
      </w:r>
      <w:r w:rsidRPr="00946E9F">
        <w:rPr>
          <w:rFonts w:ascii="Times New Roman" w:hAnsi="Times New Roman" w:cs="Times New Roman"/>
          <w:color w:val="000000" w:themeColor="text1"/>
          <w:sz w:val="20"/>
          <w:szCs w:val="20"/>
          <w:lang w:val="en-US"/>
        </w:rPr>
        <w:t xml:space="preserve"> (Trial Chamber Decision on Defence Preliminary Motion on Form of Indictment, IT-97-25-PT (11 February 2000), para. 37.</w:t>
      </w:r>
    </w:p>
  </w:footnote>
  <w:footnote w:id="69">
    <w:p w14:paraId="575AA452" w14:textId="42C6F875" w:rsidR="00B056EA" w:rsidRPr="00946E9F" w:rsidRDefault="00B056EA" w:rsidP="00946E9F">
      <w:pPr>
        <w:pStyle w:val="FootnoteText"/>
        <w:spacing w:after="0" w:line="240" w:lineRule="auto"/>
        <w:rPr>
          <w:rFonts w:ascii="Times New Roman" w:hAnsi="Times New Roman" w:cs="Times New Roman"/>
          <w:color w:val="000000" w:themeColor="text1"/>
          <w:sz w:val="20"/>
          <w:szCs w:val="20"/>
          <w:lang w:val="en-US"/>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Fonts w:ascii="Times New Roman" w:hAnsi="Times New Roman" w:cs="Times New Roman"/>
          <w:color w:val="000000" w:themeColor="text1"/>
          <w:sz w:val="20"/>
          <w:szCs w:val="20"/>
          <w:lang w:val="en-US"/>
        </w:rPr>
        <w:t>Article 21(4)(a) of the ICTY Statute; Jordash and Coughlan, p. 290.</w:t>
      </w:r>
    </w:p>
  </w:footnote>
  <w:footnote w:id="70">
    <w:p w14:paraId="4C32399B" w14:textId="26A5DE24" w:rsidR="00B056EA" w:rsidRPr="00946E9F" w:rsidRDefault="00B056EA" w:rsidP="00946E9F">
      <w:pPr>
        <w:widowControl w:val="0"/>
        <w:tabs>
          <w:tab w:val="left" w:pos="220"/>
          <w:tab w:val="left" w:pos="720"/>
        </w:tabs>
        <w:autoSpaceDE w:val="0"/>
        <w:autoSpaceDN w:val="0"/>
        <w:adjustRightInd w:val="0"/>
        <w:rPr>
          <w:rFonts w:ascii="Times New Roman" w:hAnsi="Times New Roman" w:cs="Times New Roman"/>
          <w:color w:val="000000" w:themeColor="text1"/>
          <w:sz w:val="20"/>
          <w:szCs w:val="20"/>
        </w:rPr>
      </w:pPr>
      <w:r w:rsidRPr="00946E9F">
        <w:rPr>
          <w:rStyle w:val="FootnoteReference"/>
          <w:rFonts w:ascii="Times New Roman" w:hAnsi="Times New Roman" w:cs="Times New Roman"/>
          <w:color w:val="000000" w:themeColor="text1"/>
          <w:sz w:val="20"/>
          <w:szCs w:val="20"/>
        </w:rPr>
        <w:footnoteRef/>
      </w:r>
      <w:r w:rsidRPr="00946E9F">
        <w:rPr>
          <w:rFonts w:ascii="Times New Roman" w:hAnsi="Times New Roman" w:cs="Times New Roman"/>
          <w:color w:val="000000" w:themeColor="text1"/>
          <w:sz w:val="20"/>
          <w:szCs w:val="20"/>
        </w:rPr>
        <w:t xml:space="preserve"> </w:t>
      </w:r>
      <w:r w:rsidRPr="00946E9F">
        <w:rPr>
          <w:rStyle w:val="Emphasis"/>
          <w:rFonts w:ascii="Times New Roman" w:eastAsia="Times New Roman" w:hAnsi="Times New Roman" w:cs="Times New Roman"/>
          <w:bCs/>
          <w:iCs w:val="0"/>
          <w:color w:val="000000" w:themeColor="text1"/>
          <w:sz w:val="20"/>
          <w:szCs w:val="20"/>
          <w:shd w:val="clear" w:color="auto" w:fill="FFFFFF"/>
        </w:rPr>
        <w:t>John Murray v</w:t>
      </w:r>
      <w:r w:rsidRPr="00946E9F">
        <w:rPr>
          <w:rFonts w:ascii="Times New Roman" w:eastAsia="Times New Roman" w:hAnsi="Times New Roman" w:cs="Times New Roman"/>
          <w:color w:val="000000" w:themeColor="text1"/>
          <w:sz w:val="20"/>
          <w:szCs w:val="20"/>
          <w:shd w:val="clear" w:color="auto" w:fill="FFFFFF"/>
        </w:rPr>
        <w:t>.</w:t>
      </w:r>
      <w:r w:rsidRPr="00946E9F">
        <w:rPr>
          <w:rStyle w:val="apple-converted-space"/>
          <w:rFonts w:ascii="Times New Roman" w:eastAsia="Times New Roman" w:hAnsi="Times New Roman" w:cs="Times New Roman"/>
          <w:color w:val="000000" w:themeColor="text1"/>
          <w:sz w:val="20"/>
          <w:szCs w:val="20"/>
          <w:shd w:val="clear" w:color="auto" w:fill="FFFFFF"/>
        </w:rPr>
        <w:t> </w:t>
      </w:r>
      <w:r w:rsidRPr="00946E9F">
        <w:rPr>
          <w:rStyle w:val="Emphasis"/>
          <w:rFonts w:ascii="Times New Roman" w:eastAsia="Times New Roman" w:hAnsi="Times New Roman" w:cs="Times New Roman"/>
          <w:bCs/>
          <w:iCs w:val="0"/>
          <w:color w:val="000000" w:themeColor="text1"/>
          <w:sz w:val="20"/>
          <w:szCs w:val="20"/>
          <w:shd w:val="clear" w:color="auto" w:fill="FFFFFF"/>
        </w:rPr>
        <w:t>United Kingdom</w:t>
      </w:r>
      <w:r w:rsidRPr="00946E9F">
        <w:rPr>
          <w:rStyle w:val="apple-converted-space"/>
          <w:rFonts w:ascii="Times New Roman" w:eastAsia="Times New Roman" w:hAnsi="Times New Roman" w:cs="Times New Roman"/>
          <w:color w:val="000000" w:themeColor="text1"/>
          <w:sz w:val="20"/>
          <w:szCs w:val="20"/>
          <w:shd w:val="clear" w:color="auto" w:fill="FFFFFF"/>
        </w:rPr>
        <w:t> </w:t>
      </w:r>
      <w:r w:rsidRPr="00946E9F">
        <w:rPr>
          <w:rFonts w:ascii="Times New Roman" w:eastAsia="Times New Roman" w:hAnsi="Times New Roman" w:cs="Times New Roman"/>
          <w:color w:val="000000" w:themeColor="text1"/>
          <w:sz w:val="20"/>
          <w:szCs w:val="20"/>
          <w:shd w:val="clear" w:color="auto" w:fill="FFFFFF"/>
        </w:rPr>
        <w:t>(no. 18731/91), 8 February</w:t>
      </w:r>
      <w:r w:rsidRPr="00946E9F">
        <w:rPr>
          <w:rStyle w:val="apple-converted-space"/>
          <w:rFonts w:ascii="Times New Roman" w:eastAsia="Times New Roman" w:hAnsi="Times New Roman" w:cs="Times New Roman"/>
          <w:color w:val="000000" w:themeColor="text1"/>
          <w:sz w:val="20"/>
          <w:szCs w:val="20"/>
          <w:shd w:val="clear" w:color="auto" w:fill="FFFFFF"/>
        </w:rPr>
        <w:t> </w:t>
      </w:r>
      <w:r w:rsidRPr="00946E9F">
        <w:rPr>
          <w:rStyle w:val="Emphasis"/>
          <w:rFonts w:ascii="Times New Roman" w:eastAsia="Times New Roman" w:hAnsi="Times New Roman" w:cs="Times New Roman"/>
          <w:bCs/>
          <w:i w:val="0"/>
          <w:iCs w:val="0"/>
          <w:color w:val="000000" w:themeColor="text1"/>
          <w:sz w:val="20"/>
          <w:szCs w:val="20"/>
          <w:shd w:val="clear" w:color="auto" w:fill="FFFFFF"/>
        </w:rPr>
        <w:t xml:space="preserve">1996, </w:t>
      </w:r>
      <w:r w:rsidRPr="00946E9F">
        <w:rPr>
          <w:rFonts w:ascii="Times New Roman" w:hAnsi="Times New Roman" w:cs="Times New Roman"/>
          <w:color w:val="000000" w:themeColor="text1"/>
          <w:sz w:val="20"/>
          <w:szCs w:val="20"/>
        </w:rPr>
        <w:t xml:space="preserve">para. 66; </w:t>
      </w:r>
      <w:r w:rsidRPr="00946E9F">
        <w:rPr>
          <w:rFonts w:ascii="Times New Roman" w:hAnsi="Times New Roman" w:cs="Times New Roman"/>
          <w:i/>
          <w:iCs/>
          <w:color w:val="000000" w:themeColor="text1"/>
          <w:sz w:val="20"/>
          <w:szCs w:val="20"/>
        </w:rPr>
        <w:t xml:space="preserve">Salduz </w:t>
      </w:r>
      <w:r w:rsidRPr="00946E9F">
        <w:rPr>
          <w:rFonts w:ascii="Times New Roman" w:hAnsi="Times New Roman" w:cs="Times New Roman"/>
          <w:color w:val="000000" w:themeColor="text1"/>
          <w:sz w:val="20"/>
          <w:szCs w:val="20"/>
        </w:rPr>
        <w:t xml:space="preserve"> v. </w:t>
      </w:r>
      <w:r w:rsidRPr="00946E9F">
        <w:rPr>
          <w:rFonts w:ascii="Times New Roman" w:hAnsi="Times New Roman" w:cs="Times New Roman"/>
          <w:i/>
          <w:iCs/>
          <w:color w:val="000000" w:themeColor="text1"/>
          <w:sz w:val="20"/>
          <w:szCs w:val="20"/>
        </w:rPr>
        <w:t>Turkey</w:t>
      </w:r>
      <w:r w:rsidRPr="00946E9F">
        <w:rPr>
          <w:rFonts w:ascii="Times New Roman" w:hAnsi="Times New Roman" w:cs="Times New Roman"/>
          <w:color w:val="000000" w:themeColor="text1"/>
          <w:sz w:val="20"/>
          <w:szCs w:val="20"/>
        </w:rPr>
        <w:t>, 27 November 2008, para. 52.</w:t>
      </w:r>
    </w:p>
    <w:p w14:paraId="0A6C1D45" w14:textId="7D95563D" w:rsidR="00B056EA" w:rsidRPr="00946E9F" w:rsidRDefault="00B056EA" w:rsidP="00946E9F">
      <w:pPr>
        <w:rPr>
          <w:rFonts w:ascii="Times New Roman" w:eastAsia="Times New Roman" w:hAnsi="Times New Roman" w:cs="Times New Roman"/>
          <w:color w:val="000000" w:themeColor="text1"/>
          <w:sz w:val="20"/>
          <w:szCs w:val="20"/>
        </w:rPr>
      </w:pP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39A0DA" w14:textId="2C853EF4" w:rsidR="00B056EA" w:rsidRDefault="00B056EA" w:rsidP="005C146B">
    <w:pPr>
      <w:pStyle w:val="Header"/>
      <w:jc w:val="cent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92"/>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A370D83"/>
    <w:multiLevelType w:val="hybridMultilevel"/>
    <w:tmpl w:val="92DED570"/>
    <w:lvl w:ilvl="0" w:tplc="ECD89DC8">
      <w:start w:val="3"/>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7A0C14"/>
    <w:multiLevelType w:val="hybridMultilevel"/>
    <w:tmpl w:val="ADF4114E"/>
    <w:lvl w:ilvl="0" w:tplc="F468C144">
      <w:start w:val="1"/>
      <w:numFmt w:val="decimal"/>
      <w:lvlText w:val="%1."/>
      <w:lvlJc w:val="left"/>
      <w:pPr>
        <w:tabs>
          <w:tab w:val="num" w:pos="360"/>
        </w:tabs>
        <w:ind w:left="360" w:hanging="360"/>
      </w:pPr>
      <w:rPr>
        <w:i w:val="0"/>
      </w:rPr>
    </w:lvl>
    <w:lvl w:ilvl="1" w:tplc="1C6CB91E">
      <w:start w:val="1"/>
      <w:numFmt w:val="upperLetter"/>
      <w:lvlText w:val="%2."/>
      <w:lvlJc w:val="left"/>
      <w:pPr>
        <w:tabs>
          <w:tab w:val="num" w:pos="1515"/>
        </w:tabs>
        <w:ind w:left="1515" w:hanging="435"/>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nsid w:val="11CA1A5C"/>
    <w:multiLevelType w:val="hybridMultilevel"/>
    <w:tmpl w:val="B2E6B4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65443D8"/>
    <w:multiLevelType w:val="hybridMultilevel"/>
    <w:tmpl w:val="B73E57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AA31B5"/>
    <w:multiLevelType w:val="hybridMultilevel"/>
    <w:tmpl w:val="62F01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2DC3554"/>
    <w:multiLevelType w:val="hybridMultilevel"/>
    <w:tmpl w:val="38EC3F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312598E"/>
    <w:multiLevelType w:val="hybridMultilevel"/>
    <w:tmpl w:val="A7D8AE6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0510A9D"/>
    <w:multiLevelType w:val="hybridMultilevel"/>
    <w:tmpl w:val="D0E8F6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8D12071"/>
    <w:multiLevelType w:val="hybridMultilevel"/>
    <w:tmpl w:val="8228B5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46F330E"/>
    <w:multiLevelType w:val="hybridMultilevel"/>
    <w:tmpl w:val="D7EADF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88E6B22"/>
    <w:multiLevelType w:val="hybridMultilevel"/>
    <w:tmpl w:val="B128F8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4703B86"/>
    <w:multiLevelType w:val="hybridMultilevel"/>
    <w:tmpl w:val="AB100B46"/>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E0D189B"/>
    <w:multiLevelType w:val="hybridMultilevel"/>
    <w:tmpl w:val="37A8B07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3"/>
  </w:num>
  <w:num w:numId="2">
    <w:abstractNumId w:val="8"/>
  </w:num>
  <w:num w:numId="3">
    <w:abstractNumId w:val="6"/>
  </w:num>
  <w:num w:numId="4">
    <w:abstractNumId w:val="12"/>
  </w:num>
  <w:num w:numId="5">
    <w:abstractNumId w:val="10"/>
  </w:num>
  <w:num w:numId="6">
    <w:abstractNumId w:val="11"/>
  </w:num>
  <w:num w:numId="7">
    <w:abstractNumId w:val="5"/>
  </w:num>
  <w:num w:numId="8">
    <w:abstractNumId w:val="9"/>
  </w:num>
  <w:num w:numId="9">
    <w:abstractNumId w:val="13"/>
  </w:num>
  <w:num w:numId="10">
    <w:abstractNumId w:val="4"/>
  </w:num>
  <w:num w:numId="11">
    <w:abstractNumId w:val="0"/>
  </w:num>
  <w:num w:numId="12">
    <w:abstractNumId w:val="7"/>
  </w:num>
  <w:num w:numId="13">
    <w:abstractNumId w:val="1"/>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2741"/>
    <w:rsid w:val="000002C9"/>
    <w:rsid w:val="00004474"/>
    <w:rsid w:val="0001274D"/>
    <w:rsid w:val="00020E65"/>
    <w:rsid w:val="00022F6B"/>
    <w:rsid w:val="00023FE4"/>
    <w:rsid w:val="00033F8E"/>
    <w:rsid w:val="00034C7B"/>
    <w:rsid w:val="00034D27"/>
    <w:rsid w:val="00035796"/>
    <w:rsid w:val="00043166"/>
    <w:rsid w:val="00044483"/>
    <w:rsid w:val="00045118"/>
    <w:rsid w:val="00045D67"/>
    <w:rsid w:val="00047920"/>
    <w:rsid w:val="000527C5"/>
    <w:rsid w:val="00052F41"/>
    <w:rsid w:val="00056E30"/>
    <w:rsid w:val="000634DB"/>
    <w:rsid w:val="00072B6D"/>
    <w:rsid w:val="00073BE5"/>
    <w:rsid w:val="00081CA7"/>
    <w:rsid w:val="000919F1"/>
    <w:rsid w:val="00094674"/>
    <w:rsid w:val="00095EEB"/>
    <w:rsid w:val="000A05C5"/>
    <w:rsid w:val="000A0849"/>
    <w:rsid w:val="000A1443"/>
    <w:rsid w:val="000B1D2E"/>
    <w:rsid w:val="000B6B2A"/>
    <w:rsid w:val="000C1F23"/>
    <w:rsid w:val="000C377A"/>
    <w:rsid w:val="000C46A3"/>
    <w:rsid w:val="000D1773"/>
    <w:rsid w:val="000D1CF7"/>
    <w:rsid w:val="000D20DF"/>
    <w:rsid w:val="000D7AB6"/>
    <w:rsid w:val="000E407B"/>
    <w:rsid w:val="000E409D"/>
    <w:rsid w:val="000E4ABB"/>
    <w:rsid w:val="000E4AEF"/>
    <w:rsid w:val="001057C9"/>
    <w:rsid w:val="00105CD2"/>
    <w:rsid w:val="001135B5"/>
    <w:rsid w:val="001212F3"/>
    <w:rsid w:val="00125256"/>
    <w:rsid w:val="0013086F"/>
    <w:rsid w:val="001350F3"/>
    <w:rsid w:val="00140974"/>
    <w:rsid w:val="00142F77"/>
    <w:rsid w:val="00143EAA"/>
    <w:rsid w:val="001441E4"/>
    <w:rsid w:val="00153BF1"/>
    <w:rsid w:val="00155DAE"/>
    <w:rsid w:val="001666AA"/>
    <w:rsid w:val="001715ED"/>
    <w:rsid w:val="00182520"/>
    <w:rsid w:val="00183CD5"/>
    <w:rsid w:val="00190C38"/>
    <w:rsid w:val="001910EE"/>
    <w:rsid w:val="001934AB"/>
    <w:rsid w:val="0019372D"/>
    <w:rsid w:val="001972DF"/>
    <w:rsid w:val="001A079F"/>
    <w:rsid w:val="001A6E50"/>
    <w:rsid w:val="001B1646"/>
    <w:rsid w:val="001B3FCE"/>
    <w:rsid w:val="001C2A4F"/>
    <w:rsid w:val="001D251B"/>
    <w:rsid w:val="001E09AA"/>
    <w:rsid w:val="001E4B88"/>
    <w:rsid w:val="001F2591"/>
    <w:rsid w:val="0020266F"/>
    <w:rsid w:val="002031DD"/>
    <w:rsid w:val="00204214"/>
    <w:rsid w:val="002057A8"/>
    <w:rsid w:val="0021093A"/>
    <w:rsid w:val="00211F4F"/>
    <w:rsid w:val="002161D5"/>
    <w:rsid w:val="00216B1A"/>
    <w:rsid w:val="0022799E"/>
    <w:rsid w:val="00231FC0"/>
    <w:rsid w:val="00232A6B"/>
    <w:rsid w:val="00236985"/>
    <w:rsid w:val="00237A8B"/>
    <w:rsid w:val="002433C1"/>
    <w:rsid w:val="00243D12"/>
    <w:rsid w:val="00250A65"/>
    <w:rsid w:val="00253ECC"/>
    <w:rsid w:val="00255BF2"/>
    <w:rsid w:val="00257F38"/>
    <w:rsid w:val="00260ABE"/>
    <w:rsid w:val="00261566"/>
    <w:rsid w:val="00261B95"/>
    <w:rsid w:val="002736DB"/>
    <w:rsid w:val="00273AEA"/>
    <w:rsid w:val="00277E9B"/>
    <w:rsid w:val="00280879"/>
    <w:rsid w:val="00280BE3"/>
    <w:rsid w:val="00281A4E"/>
    <w:rsid w:val="00283E56"/>
    <w:rsid w:val="00284DB1"/>
    <w:rsid w:val="00292B17"/>
    <w:rsid w:val="00296DC0"/>
    <w:rsid w:val="00297DE4"/>
    <w:rsid w:val="002B0A6D"/>
    <w:rsid w:val="002B0F0A"/>
    <w:rsid w:val="002B41E0"/>
    <w:rsid w:val="002C3588"/>
    <w:rsid w:val="002C3591"/>
    <w:rsid w:val="002C4BFB"/>
    <w:rsid w:val="002C55B2"/>
    <w:rsid w:val="002C67A6"/>
    <w:rsid w:val="002D0F92"/>
    <w:rsid w:val="002E2DF6"/>
    <w:rsid w:val="002E39AE"/>
    <w:rsid w:val="002F1B5C"/>
    <w:rsid w:val="002F31B2"/>
    <w:rsid w:val="003001AB"/>
    <w:rsid w:val="0030174C"/>
    <w:rsid w:val="00301882"/>
    <w:rsid w:val="00302897"/>
    <w:rsid w:val="00305845"/>
    <w:rsid w:val="00307296"/>
    <w:rsid w:val="00307D92"/>
    <w:rsid w:val="003147B5"/>
    <w:rsid w:val="00316CE8"/>
    <w:rsid w:val="00321FD8"/>
    <w:rsid w:val="00324741"/>
    <w:rsid w:val="00325A5B"/>
    <w:rsid w:val="00330940"/>
    <w:rsid w:val="00330D95"/>
    <w:rsid w:val="0034172C"/>
    <w:rsid w:val="003425E2"/>
    <w:rsid w:val="003428C8"/>
    <w:rsid w:val="00350565"/>
    <w:rsid w:val="00363E0F"/>
    <w:rsid w:val="0036504A"/>
    <w:rsid w:val="003679C4"/>
    <w:rsid w:val="00374857"/>
    <w:rsid w:val="003774E6"/>
    <w:rsid w:val="003809B7"/>
    <w:rsid w:val="00381BF6"/>
    <w:rsid w:val="00390B94"/>
    <w:rsid w:val="00391C49"/>
    <w:rsid w:val="00393344"/>
    <w:rsid w:val="00395C34"/>
    <w:rsid w:val="00396E2C"/>
    <w:rsid w:val="003A3082"/>
    <w:rsid w:val="003A41B4"/>
    <w:rsid w:val="003A65B6"/>
    <w:rsid w:val="003B1A41"/>
    <w:rsid w:val="003B200B"/>
    <w:rsid w:val="003B79DC"/>
    <w:rsid w:val="003B7EFC"/>
    <w:rsid w:val="003C3F87"/>
    <w:rsid w:val="003C41C4"/>
    <w:rsid w:val="003C6170"/>
    <w:rsid w:val="003D218B"/>
    <w:rsid w:val="003E065B"/>
    <w:rsid w:val="003F5F56"/>
    <w:rsid w:val="003F7B3D"/>
    <w:rsid w:val="00413A0E"/>
    <w:rsid w:val="004217E9"/>
    <w:rsid w:val="004219CD"/>
    <w:rsid w:val="00426411"/>
    <w:rsid w:val="00426533"/>
    <w:rsid w:val="00427A91"/>
    <w:rsid w:val="00427EAC"/>
    <w:rsid w:val="00431AEF"/>
    <w:rsid w:val="00435ABE"/>
    <w:rsid w:val="004438E4"/>
    <w:rsid w:val="0046432C"/>
    <w:rsid w:val="00466CDD"/>
    <w:rsid w:val="00471C5D"/>
    <w:rsid w:val="00473AB6"/>
    <w:rsid w:val="0047433A"/>
    <w:rsid w:val="00481389"/>
    <w:rsid w:val="004914A9"/>
    <w:rsid w:val="0049353D"/>
    <w:rsid w:val="004B4004"/>
    <w:rsid w:val="004C0073"/>
    <w:rsid w:val="004C1E69"/>
    <w:rsid w:val="004C47D4"/>
    <w:rsid w:val="004D37C9"/>
    <w:rsid w:val="004D5D31"/>
    <w:rsid w:val="004E0184"/>
    <w:rsid w:val="004E46AF"/>
    <w:rsid w:val="004E77D9"/>
    <w:rsid w:val="004F22AB"/>
    <w:rsid w:val="00505C12"/>
    <w:rsid w:val="00510A5C"/>
    <w:rsid w:val="00514B14"/>
    <w:rsid w:val="0052054E"/>
    <w:rsid w:val="00524932"/>
    <w:rsid w:val="00526241"/>
    <w:rsid w:val="00526681"/>
    <w:rsid w:val="0053043A"/>
    <w:rsid w:val="00537DB7"/>
    <w:rsid w:val="00550665"/>
    <w:rsid w:val="00550902"/>
    <w:rsid w:val="00552721"/>
    <w:rsid w:val="00560EDB"/>
    <w:rsid w:val="00567836"/>
    <w:rsid w:val="00592834"/>
    <w:rsid w:val="00594D87"/>
    <w:rsid w:val="005A4262"/>
    <w:rsid w:val="005B2FB3"/>
    <w:rsid w:val="005B6218"/>
    <w:rsid w:val="005C146B"/>
    <w:rsid w:val="005C18AC"/>
    <w:rsid w:val="005C4A93"/>
    <w:rsid w:val="005D4D2B"/>
    <w:rsid w:val="005E031C"/>
    <w:rsid w:val="005E09F4"/>
    <w:rsid w:val="005E6194"/>
    <w:rsid w:val="005E6521"/>
    <w:rsid w:val="005F1711"/>
    <w:rsid w:val="005F7554"/>
    <w:rsid w:val="0060118E"/>
    <w:rsid w:val="006027B2"/>
    <w:rsid w:val="006066C4"/>
    <w:rsid w:val="00610D9A"/>
    <w:rsid w:val="0061682A"/>
    <w:rsid w:val="006223F8"/>
    <w:rsid w:val="0063224A"/>
    <w:rsid w:val="00644D9C"/>
    <w:rsid w:val="0064675D"/>
    <w:rsid w:val="00657956"/>
    <w:rsid w:val="006644AF"/>
    <w:rsid w:val="006702DD"/>
    <w:rsid w:val="00683CE8"/>
    <w:rsid w:val="006A7C82"/>
    <w:rsid w:val="006B2069"/>
    <w:rsid w:val="006B2955"/>
    <w:rsid w:val="006B7BF9"/>
    <w:rsid w:val="006C10D9"/>
    <w:rsid w:val="006C3641"/>
    <w:rsid w:val="006C3C8A"/>
    <w:rsid w:val="006C5675"/>
    <w:rsid w:val="006E328B"/>
    <w:rsid w:val="006F110C"/>
    <w:rsid w:val="006F7D98"/>
    <w:rsid w:val="00700E88"/>
    <w:rsid w:val="00702BC7"/>
    <w:rsid w:val="0070340B"/>
    <w:rsid w:val="007040C8"/>
    <w:rsid w:val="00704333"/>
    <w:rsid w:val="0070536C"/>
    <w:rsid w:val="007116A9"/>
    <w:rsid w:val="007120EF"/>
    <w:rsid w:val="00713550"/>
    <w:rsid w:val="00715A8D"/>
    <w:rsid w:val="00721EE8"/>
    <w:rsid w:val="00724750"/>
    <w:rsid w:val="00724F84"/>
    <w:rsid w:val="00733092"/>
    <w:rsid w:val="00735BE3"/>
    <w:rsid w:val="007372E6"/>
    <w:rsid w:val="00741411"/>
    <w:rsid w:val="00743209"/>
    <w:rsid w:val="00743264"/>
    <w:rsid w:val="00744774"/>
    <w:rsid w:val="00744852"/>
    <w:rsid w:val="007462A0"/>
    <w:rsid w:val="00752741"/>
    <w:rsid w:val="00753E1F"/>
    <w:rsid w:val="00755B9F"/>
    <w:rsid w:val="00762E31"/>
    <w:rsid w:val="00775136"/>
    <w:rsid w:val="00784794"/>
    <w:rsid w:val="00787658"/>
    <w:rsid w:val="0079037B"/>
    <w:rsid w:val="007903E5"/>
    <w:rsid w:val="00795E41"/>
    <w:rsid w:val="007979E0"/>
    <w:rsid w:val="007A1900"/>
    <w:rsid w:val="007A2E2F"/>
    <w:rsid w:val="007A6D5A"/>
    <w:rsid w:val="007B1635"/>
    <w:rsid w:val="007B20ED"/>
    <w:rsid w:val="007B4A75"/>
    <w:rsid w:val="007B5F5A"/>
    <w:rsid w:val="007C3748"/>
    <w:rsid w:val="007C3B73"/>
    <w:rsid w:val="007C486F"/>
    <w:rsid w:val="007C74E9"/>
    <w:rsid w:val="007D08B9"/>
    <w:rsid w:val="007D40AD"/>
    <w:rsid w:val="007E0537"/>
    <w:rsid w:val="007E44FC"/>
    <w:rsid w:val="007E645D"/>
    <w:rsid w:val="007F07BC"/>
    <w:rsid w:val="007F1B22"/>
    <w:rsid w:val="007F3007"/>
    <w:rsid w:val="00800A54"/>
    <w:rsid w:val="008024DC"/>
    <w:rsid w:val="00802966"/>
    <w:rsid w:val="00802A1D"/>
    <w:rsid w:val="00805392"/>
    <w:rsid w:val="008115BB"/>
    <w:rsid w:val="0081196F"/>
    <w:rsid w:val="008148AC"/>
    <w:rsid w:val="00816F0D"/>
    <w:rsid w:val="008206A9"/>
    <w:rsid w:val="00825766"/>
    <w:rsid w:val="008331A8"/>
    <w:rsid w:val="00834887"/>
    <w:rsid w:val="008361F3"/>
    <w:rsid w:val="008372A1"/>
    <w:rsid w:val="00842479"/>
    <w:rsid w:val="00844347"/>
    <w:rsid w:val="008454C3"/>
    <w:rsid w:val="00854ED3"/>
    <w:rsid w:val="00867841"/>
    <w:rsid w:val="00885790"/>
    <w:rsid w:val="00886B79"/>
    <w:rsid w:val="008906A9"/>
    <w:rsid w:val="008906C3"/>
    <w:rsid w:val="008A26F9"/>
    <w:rsid w:val="008A3AE6"/>
    <w:rsid w:val="008A3BAC"/>
    <w:rsid w:val="008A632A"/>
    <w:rsid w:val="008B0CB8"/>
    <w:rsid w:val="008B75BC"/>
    <w:rsid w:val="008B773F"/>
    <w:rsid w:val="008C586E"/>
    <w:rsid w:val="008C5A25"/>
    <w:rsid w:val="008D38C1"/>
    <w:rsid w:val="008D674B"/>
    <w:rsid w:val="008D702D"/>
    <w:rsid w:val="008E45D5"/>
    <w:rsid w:val="008E6CBC"/>
    <w:rsid w:val="0090025F"/>
    <w:rsid w:val="009069ED"/>
    <w:rsid w:val="00907C66"/>
    <w:rsid w:val="00907E36"/>
    <w:rsid w:val="00910D24"/>
    <w:rsid w:val="00912934"/>
    <w:rsid w:val="009142F1"/>
    <w:rsid w:val="00917B4B"/>
    <w:rsid w:val="00922481"/>
    <w:rsid w:val="00932F99"/>
    <w:rsid w:val="00943247"/>
    <w:rsid w:val="00945622"/>
    <w:rsid w:val="00946E9F"/>
    <w:rsid w:val="009628CA"/>
    <w:rsid w:val="00962A01"/>
    <w:rsid w:val="00967AEE"/>
    <w:rsid w:val="00970659"/>
    <w:rsid w:val="00971395"/>
    <w:rsid w:val="009810FE"/>
    <w:rsid w:val="00984547"/>
    <w:rsid w:val="00992DA0"/>
    <w:rsid w:val="00993937"/>
    <w:rsid w:val="00997A66"/>
    <w:rsid w:val="009A1130"/>
    <w:rsid w:val="009A73B6"/>
    <w:rsid w:val="009B558A"/>
    <w:rsid w:val="009C6481"/>
    <w:rsid w:val="009D7ADB"/>
    <w:rsid w:val="009E1770"/>
    <w:rsid w:val="009E429E"/>
    <w:rsid w:val="009E45FF"/>
    <w:rsid w:val="009E4601"/>
    <w:rsid w:val="009F2051"/>
    <w:rsid w:val="00A04238"/>
    <w:rsid w:val="00A127E9"/>
    <w:rsid w:val="00A128A3"/>
    <w:rsid w:val="00A1293F"/>
    <w:rsid w:val="00A16B3A"/>
    <w:rsid w:val="00A17B14"/>
    <w:rsid w:val="00A21365"/>
    <w:rsid w:val="00A218B2"/>
    <w:rsid w:val="00A23356"/>
    <w:rsid w:val="00A2404B"/>
    <w:rsid w:val="00A26562"/>
    <w:rsid w:val="00A27681"/>
    <w:rsid w:val="00A4280F"/>
    <w:rsid w:val="00A4433F"/>
    <w:rsid w:val="00A61302"/>
    <w:rsid w:val="00A638E1"/>
    <w:rsid w:val="00A74CF4"/>
    <w:rsid w:val="00A80082"/>
    <w:rsid w:val="00A9047C"/>
    <w:rsid w:val="00A96B21"/>
    <w:rsid w:val="00AA7A40"/>
    <w:rsid w:val="00AB3B2B"/>
    <w:rsid w:val="00AB3E35"/>
    <w:rsid w:val="00AB6E83"/>
    <w:rsid w:val="00AB7599"/>
    <w:rsid w:val="00AC36D9"/>
    <w:rsid w:val="00AC6CE6"/>
    <w:rsid w:val="00AE00D4"/>
    <w:rsid w:val="00AE106D"/>
    <w:rsid w:val="00AE5443"/>
    <w:rsid w:val="00AF1BC2"/>
    <w:rsid w:val="00B0499B"/>
    <w:rsid w:val="00B056EA"/>
    <w:rsid w:val="00B11A85"/>
    <w:rsid w:val="00B17E43"/>
    <w:rsid w:val="00B20249"/>
    <w:rsid w:val="00B2300E"/>
    <w:rsid w:val="00B2550D"/>
    <w:rsid w:val="00B42093"/>
    <w:rsid w:val="00B42604"/>
    <w:rsid w:val="00B443D9"/>
    <w:rsid w:val="00B55849"/>
    <w:rsid w:val="00B571B2"/>
    <w:rsid w:val="00B578DE"/>
    <w:rsid w:val="00B57D93"/>
    <w:rsid w:val="00B63591"/>
    <w:rsid w:val="00B65CE8"/>
    <w:rsid w:val="00B764C8"/>
    <w:rsid w:val="00B80628"/>
    <w:rsid w:val="00B8486C"/>
    <w:rsid w:val="00B9543E"/>
    <w:rsid w:val="00BA0608"/>
    <w:rsid w:val="00BB03EC"/>
    <w:rsid w:val="00BC5466"/>
    <w:rsid w:val="00BC5743"/>
    <w:rsid w:val="00BC6918"/>
    <w:rsid w:val="00BD3E98"/>
    <w:rsid w:val="00BD7800"/>
    <w:rsid w:val="00BF2DE3"/>
    <w:rsid w:val="00BF676C"/>
    <w:rsid w:val="00C03320"/>
    <w:rsid w:val="00C07537"/>
    <w:rsid w:val="00C1005D"/>
    <w:rsid w:val="00C11E7F"/>
    <w:rsid w:val="00C12951"/>
    <w:rsid w:val="00C14915"/>
    <w:rsid w:val="00C14B79"/>
    <w:rsid w:val="00C20E7A"/>
    <w:rsid w:val="00C4614B"/>
    <w:rsid w:val="00C46F49"/>
    <w:rsid w:val="00C565E1"/>
    <w:rsid w:val="00C57769"/>
    <w:rsid w:val="00C64C50"/>
    <w:rsid w:val="00C66462"/>
    <w:rsid w:val="00C71345"/>
    <w:rsid w:val="00C85646"/>
    <w:rsid w:val="00C86833"/>
    <w:rsid w:val="00C916DC"/>
    <w:rsid w:val="00C96C41"/>
    <w:rsid w:val="00C9752E"/>
    <w:rsid w:val="00CA44CE"/>
    <w:rsid w:val="00CA630D"/>
    <w:rsid w:val="00CB3039"/>
    <w:rsid w:val="00CB7751"/>
    <w:rsid w:val="00CC0868"/>
    <w:rsid w:val="00CC7679"/>
    <w:rsid w:val="00CD789F"/>
    <w:rsid w:val="00CE1A10"/>
    <w:rsid w:val="00CE2AE7"/>
    <w:rsid w:val="00CE48F3"/>
    <w:rsid w:val="00CE5F57"/>
    <w:rsid w:val="00CF2E3C"/>
    <w:rsid w:val="00CF434E"/>
    <w:rsid w:val="00D07FCD"/>
    <w:rsid w:val="00D127CA"/>
    <w:rsid w:val="00D16DD7"/>
    <w:rsid w:val="00D20697"/>
    <w:rsid w:val="00D21B27"/>
    <w:rsid w:val="00D3548C"/>
    <w:rsid w:val="00D409AE"/>
    <w:rsid w:val="00D45D66"/>
    <w:rsid w:val="00D47C28"/>
    <w:rsid w:val="00D57692"/>
    <w:rsid w:val="00D64D23"/>
    <w:rsid w:val="00D67775"/>
    <w:rsid w:val="00D76EB5"/>
    <w:rsid w:val="00D8539C"/>
    <w:rsid w:val="00D860EA"/>
    <w:rsid w:val="00D876C1"/>
    <w:rsid w:val="00D92195"/>
    <w:rsid w:val="00D92EA7"/>
    <w:rsid w:val="00D93A2B"/>
    <w:rsid w:val="00DA490A"/>
    <w:rsid w:val="00DB4B82"/>
    <w:rsid w:val="00DC0128"/>
    <w:rsid w:val="00DC2CB2"/>
    <w:rsid w:val="00DD47BD"/>
    <w:rsid w:val="00DD7BDB"/>
    <w:rsid w:val="00DF165A"/>
    <w:rsid w:val="00E17CC1"/>
    <w:rsid w:val="00E22D79"/>
    <w:rsid w:val="00E33193"/>
    <w:rsid w:val="00E3377C"/>
    <w:rsid w:val="00E37CEF"/>
    <w:rsid w:val="00E40D68"/>
    <w:rsid w:val="00E41A8D"/>
    <w:rsid w:val="00E43547"/>
    <w:rsid w:val="00E471A1"/>
    <w:rsid w:val="00E534DC"/>
    <w:rsid w:val="00E55984"/>
    <w:rsid w:val="00E578CE"/>
    <w:rsid w:val="00E647EA"/>
    <w:rsid w:val="00E7214B"/>
    <w:rsid w:val="00E72411"/>
    <w:rsid w:val="00E7565C"/>
    <w:rsid w:val="00E83064"/>
    <w:rsid w:val="00E8488B"/>
    <w:rsid w:val="00E931C8"/>
    <w:rsid w:val="00E93759"/>
    <w:rsid w:val="00EA020A"/>
    <w:rsid w:val="00EA7DC6"/>
    <w:rsid w:val="00EB1CAB"/>
    <w:rsid w:val="00EB2EFA"/>
    <w:rsid w:val="00EC04F2"/>
    <w:rsid w:val="00EC0B41"/>
    <w:rsid w:val="00EC2302"/>
    <w:rsid w:val="00EC616A"/>
    <w:rsid w:val="00EC716E"/>
    <w:rsid w:val="00ED2E1E"/>
    <w:rsid w:val="00ED3BEC"/>
    <w:rsid w:val="00EE0334"/>
    <w:rsid w:val="00EE0F03"/>
    <w:rsid w:val="00EE0FAB"/>
    <w:rsid w:val="00EE50EA"/>
    <w:rsid w:val="00EE5DB3"/>
    <w:rsid w:val="00EF3397"/>
    <w:rsid w:val="00EF4AF1"/>
    <w:rsid w:val="00F027CE"/>
    <w:rsid w:val="00F11CFA"/>
    <w:rsid w:val="00F157DA"/>
    <w:rsid w:val="00F257D9"/>
    <w:rsid w:val="00F330F1"/>
    <w:rsid w:val="00F34236"/>
    <w:rsid w:val="00F403FF"/>
    <w:rsid w:val="00F406CB"/>
    <w:rsid w:val="00F433F5"/>
    <w:rsid w:val="00F46638"/>
    <w:rsid w:val="00F46DA0"/>
    <w:rsid w:val="00F671A0"/>
    <w:rsid w:val="00F67669"/>
    <w:rsid w:val="00F737A5"/>
    <w:rsid w:val="00F73B83"/>
    <w:rsid w:val="00F74FA3"/>
    <w:rsid w:val="00F75745"/>
    <w:rsid w:val="00F85601"/>
    <w:rsid w:val="00F934E5"/>
    <w:rsid w:val="00F97746"/>
    <w:rsid w:val="00FA0258"/>
    <w:rsid w:val="00FA1D1C"/>
    <w:rsid w:val="00FA46FD"/>
    <w:rsid w:val="00FA4C94"/>
    <w:rsid w:val="00FA4EA3"/>
    <w:rsid w:val="00FA69BE"/>
    <w:rsid w:val="00FB03FD"/>
    <w:rsid w:val="00FB7C64"/>
    <w:rsid w:val="00FC47BA"/>
    <w:rsid w:val="00FD03E3"/>
    <w:rsid w:val="00FD44B8"/>
    <w:rsid w:val="00FD7AF4"/>
    <w:rsid w:val="00FE01A2"/>
    <w:rsid w:val="00FE1B62"/>
    <w:rsid w:val="00FE5412"/>
    <w:rsid w:val="00FF5BA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73F9B0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094674"/>
    <w:pPr>
      <w:spacing w:before="100" w:beforeAutospacing="1" w:after="100" w:afterAutospacing="1"/>
      <w:outlineLvl w:val="1"/>
    </w:pPr>
    <w:rPr>
      <w:rFonts w:ascii="Times" w:hAnsi="Times"/>
      <w:b/>
      <w:bCs/>
      <w:sz w:val="36"/>
      <w:szCs w:val="3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ootnote Text Char Char Char Char,FA,FA Fußnotentext Char Char,Footnote Text Char1 Char,Footnote Text Char Char Char Char Char Char,Footnote Text Char Char Char,FA Fußnotentext Char Char Char Char Char Char"/>
    <w:basedOn w:val="Normal"/>
    <w:link w:val="FootnoteTextChar"/>
    <w:unhideWhenUsed/>
    <w:rsid w:val="00391C49"/>
    <w:pPr>
      <w:spacing w:after="200" w:line="276" w:lineRule="auto"/>
    </w:pPr>
    <w:rPr>
      <w:rFonts w:eastAsiaTheme="minorHAnsi"/>
      <w:sz w:val="22"/>
      <w:szCs w:val="22"/>
      <w:lang w:val="en-GB"/>
    </w:rPr>
  </w:style>
  <w:style w:type="character" w:customStyle="1" w:styleId="FootnoteTextChar">
    <w:name w:val="Footnote Text Char"/>
    <w:aliases w:val="Footnote Text Char Char Char Char Char,FA Char,FA Fußnotentext Char Char Char,Footnote Text Char1 Char Char,Footnote Text Char Char Char Char Char Char Char,Footnote Text Char Char Char Char1"/>
    <w:basedOn w:val="DefaultParagraphFont"/>
    <w:link w:val="FootnoteText"/>
    <w:rsid w:val="00391C49"/>
    <w:rPr>
      <w:rFonts w:eastAsiaTheme="minorHAnsi"/>
      <w:sz w:val="22"/>
      <w:szCs w:val="22"/>
      <w:lang w:val="en-GB"/>
    </w:rPr>
  </w:style>
  <w:style w:type="character" w:styleId="FootnoteReference">
    <w:name w:val="footnote reference"/>
    <w:aliases w:val="Appel note de bas de page"/>
    <w:basedOn w:val="DefaultParagraphFont"/>
    <w:rsid w:val="00391C49"/>
    <w:rPr>
      <w:vertAlign w:val="superscript"/>
    </w:rPr>
  </w:style>
  <w:style w:type="character" w:styleId="CommentReference">
    <w:name w:val="annotation reference"/>
    <w:basedOn w:val="DefaultParagraphFont"/>
    <w:uiPriority w:val="99"/>
    <w:semiHidden/>
    <w:unhideWhenUsed/>
    <w:rsid w:val="00391C49"/>
    <w:rPr>
      <w:sz w:val="18"/>
      <w:szCs w:val="18"/>
    </w:rPr>
  </w:style>
  <w:style w:type="paragraph" w:styleId="CommentText">
    <w:name w:val="annotation text"/>
    <w:basedOn w:val="Normal"/>
    <w:link w:val="CommentTextChar"/>
    <w:uiPriority w:val="99"/>
    <w:unhideWhenUsed/>
    <w:rsid w:val="00391C49"/>
    <w:pPr>
      <w:spacing w:after="200"/>
    </w:pPr>
    <w:rPr>
      <w:rFonts w:eastAsiaTheme="minorHAnsi"/>
      <w:lang w:val="en-GB"/>
    </w:rPr>
  </w:style>
  <w:style w:type="character" w:customStyle="1" w:styleId="CommentTextChar">
    <w:name w:val="Comment Text Char"/>
    <w:basedOn w:val="DefaultParagraphFont"/>
    <w:link w:val="CommentText"/>
    <w:uiPriority w:val="99"/>
    <w:rsid w:val="00391C49"/>
    <w:rPr>
      <w:rFonts w:eastAsiaTheme="minorHAnsi"/>
      <w:lang w:val="en-GB"/>
    </w:rPr>
  </w:style>
  <w:style w:type="paragraph" w:styleId="BalloonText">
    <w:name w:val="Balloon Text"/>
    <w:basedOn w:val="Normal"/>
    <w:link w:val="BalloonTextChar"/>
    <w:uiPriority w:val="99"/>
    <w:semiHidden/>
    <w:unhideWhenUsed/>
    <w:rsid w:val="00391C4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91C49"/>
    <w:rPr>
      <w:rFonts w:ascii="Lucida Grande" w:hAnsi="Lucida Grande" w:cs="Lucida Grande"/>
      <w:sz w:val="18"/>
      <w:szCs w:val="18"/>
    </w:rPr>
  </w:style>
  <w:style w:type="paragraph" w:styleId="ListParagraph">
    <w:name w:val="List Paragraph"/>
    <w:basedOn w:val="Normal"/>
    <w:uiPriority w:val="34"/>
    <w:qFormat/>
    <w:rsid w:val="00802A1D"/>
    <w:pPr>
      <w:ind w:left="720"/>
      <w:contextualSpacing/>
    </w:pPr>
  </w:style>
  <w:style w:type="character" w:styleId="Hyperlink">
    <w:name w:val="Hyperlink"/>
    <w:basedOn w:val="DefaultParagraphFont"/>
    <w:uiPriority w:val="99"/>
    <w:unhideWhenUsed/>
    <w:rsid w:val="00B65CE8"/>
    <w:rPr>
      <w:color w:val="0000FF" w:themeColor="hyperlink"/>
      <w:u w:val="single"/>
    </w:rPr>
  </w:style>
  <w:style w:type="character" w:customStyle="1" w:styleId="apple-converted-space">
    <w:name w:val="apple-converted-space"/>
    <w:basedOn w:val="DefaultParagraphFont"/>
    <w:rsid w:val="0030174C"/>
  </w:style>
  <w:style w:type="paragraph" w:styleId="NormalWeb">
    <w:name w:val="Normal (Web)"/>
    <w:basedOn w:val="Normal"/>
    <w:uiPriority w:val="99"/>
    <w:unhideWhenUsed/>
    <w:rsid w:val="0030174C"/>
    <w:pPr>
      <w:spacing w:before="100" w:beforeAutospacing="1" w:after="100" w:afterAutospacing="1"/>
    </w:pPr>
    <w:rPr>
      <w:rFonts w:ascii="Times" w:hAnsi="Times" w:cs="Times New Roman"/>
      <w:sz w:val="20"/>
      <w:szCs w:val="20"/>
      <w:lang w:val="en-GB"/>
    </w:rPr>
  </w:style>
  <w:style w:type="paragraph" w:styleId="Header">
    <w:name w:val="header"/>
    <w:basedOn w:val="Normal"/>
    <w:link w:val="HeaderChar"/>
    <w:uiPriority w:val="99"/>
    <w:unhideWhenUsed/>
    <w:rsid w:val="008E6CBC"/>
    <w:pPr>
      <w:tabs>
        <w:tab w:val="center" w:pos="4320"/>
        <w:tab w:val="right" w:pos="8640"/>
      </w:tabs>
    </w:pPr>
  </w:style>
  <w:style w:type="character" w:customStyle="1" w:styleId="HeaderChar">
    <w:name w:val="Header Char"/>
    <w:basedOn w:val="DefaultParagraphFont"/>
    <w:link w:val="Header"/>
    <w:uiPriority w:val="99"/>
    <w:rsid w:val="008E6CBC"/>
  </w:style>
  <w:style w:type="paragraph" w:styleId="Footer">
    <w:name w:val="footer"/>
    <w:basedOn w:val="Normal"/>
    <w:link w:val="FooterChar"/>
    <w:uiPriority w:val="99"/>
    <w:unhideWhenUsed/>
    <w:rsid w:val="008E6CBC"/>
    <w:pPr>
      <w:tabs>
        <w:tab w:val="center" w:pos="4320"/>
        <w:tab w:val="right" w:pos="8640"/>
      </w:tabs>
    </w:pPr>
  </w:style>
  <w:style w:type="character" w:customStyle="1" w:styleId="FooterChar">
    <w:name w:val="Footer Char"/>
    <w:basedOn w:val="DefaultParagraphFont"/>
    <w:link w:val="Footer"/>
    <w:uiPriority w:val="99"/>
    <w:rsid w:val="008E6CBC"/>
  </w:style>
  <w:style w:type="character" w:customStyle="1" w:styleId="A3">
    <w:name w:val="A3"/>
    <w:uiPriority w:val="99"/>
    <w:rsid w:val="008D702D"/>
    <w:rPr>
      <w:rFonts w:cs="Caslon"/>
      <w:color w:val="000000"/>
      <w:sz w:val="18"/>
      <w:szCs w:val="18"/>
    </w:rPr>
  </w:style>
  <w:style w:type="character" w:styleId="Emphasis">
    <w:name w:val="Emphasis"/>
    <w:basedOn w:val="DefaultParagraphFont"/>
    <w:uiPriority w:val="20"/>
    <w:qFormat/>
    <w:rsid w:val="0034172C"/>
    <w:rPr>
      <w:i/>
      <w:iCs/>
    </w:rPr>
  </w:style>
  <w:style w:type="character" w:styleId="FollowedHyperlink">
    <w:name w:val="FollowedHyperlink"/>
    <w:basedOn w:val="DefaultParagraphFont"/>
    <w:uiPriority w:val="99"/>
    <w:semiHidden/>
    <w:unhideWhenUsed/>
    <w:rsid w:val="00211F4F"/>
    <w:rPr>
      <w:color w:val="800080" w:themeColor="followedHyperlink"/>
      <w:u w:val="single"/>
    </w:rPr>
  </w:style>
  <w:style w:type="character" w:customStyle="1" w:styleId="Heading2Char">
    <w:name w:val="Heading 2 Char"/>
    <w:basedOn w:val="DefaultParagraphFont"/>
    <w:link w:val="Heading2"/>
    <w:uiPriority w:val="9"/>
    <w:rsid w:val="00094674"/>
    <w:rPr>
      <w:rFonts w:ascii="Times" w:hAnsi="Times"/>
      <w:b/>
      <w:bCs/>
      <w:sz w:val="36"/>
      <w:szCs w:val="36"/>
      <w:lang w:val="en-GB"/>
    </w:rPr>
  </w:style>
  <w:style w:type="character" w:styleId="PageNumber">
    <w:name w:val="page number"/>
    <w:basedOn w:val="DefaultParagraphFont"/>
    <w:uiPriority w:val="99"/>
    <w:semiHidden/>
    <w:unhideWhenUsed/>
    <w:rsid w:val="00F403FF"/>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094674"/>
    <w:pPr>
      <w:spacing w:before="100" w:beforeAutospacing="1" w:after="100" w:afterAutospacing="1"/>
      <w:outlineLvl w:val="1"/>
    </w:pPr>
    <w:rPr>
      <w:rFonts w:ascii="Times" w:hAnsi="Times"/>
      <w:b/>
      <w:bCs/>
      <w:sz w:val="36"/>
      <w:szCs w:val="3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ootnote Text Char Char Char Char,FA,FA Fußnotentext Char Char,Footnote Text Char1 Char,Footnote Text Char Char Char Char Char Char,Footnote Text Char Char Char,FA Fußnotentext Char Char Char Char Char Char"/>
    <w:basedOn w:val="Normal"/>
    <w:link w:val="FootnoteTextChar"/>
    <w:unhideWhenUsed/>
    <w:rsid w:val="00391C49"/>
    <w:pPr>
      <w:spacing w:after="200" w:line="276" w:lineRule="auto"/>
    </w:pPr>
    <w:rPr>
      <w:rFonts w:eastAsiaTheme="minorHAnsi"/>
      <w:sz w:val="22"/>
      <w:szCs w:val="22"/>
      <w:lang w:val="en-GB"/>
    </w:rPr>
  </w:style>
  <w:style w:type="character" w:customStyle="1" w:styleId="FootnoteTextChar">
    <w:name w:val="Footnote Text Char"/>
    <w:aliases w:val="Footnote Text Char Char Char Char Char,FA Char,FA Fußnotentext Char Char Char,Footnote Text Char1 Char Char,Footnote Text Char Char Char Char Char Char Char,Footnote Text Char Char Char Char1"/>
    <w:basedOn w:val="DefaultParagraphFont"/>
    <w:link w:val="FootnoteText"/>
    <w:rsid w:val="00391C49"/>
    <w:rPr>
      <w:rFonts w:eastAsiaTheme="minorHAnsi"/>
      <w:sz w:val="22"/>
      <w:szCs w:val="22"/>
      <w:lang w:val="en-GB"/>
    </w:rPr>
  </w:style>
  <w:style w:type="character" w:styleId="FootnoteReference">
    <w:name w:val="footnote reference"/>
    <w:aliases w:val="Appel note de bas de page"/>
    <w:basedOn w:val="DefaultParagraphFont"/>
    <w:rsid w:val="00391C49"/>
    <w:rPr>
      <w:vertAlign w:val="superscript"/>
    </w:rPr>
  </w:style>
  <w:style w:type="character" w:styleId="CommentReference">
    <w:name w:val="annotation reference"/>
    <w:basedOn w:val="DefaultParagraphFont"/>
    <w:uiPriority w:val="99"/>
    <w:semiHidden/>
    <w:unhideWhenUsed/>
    <w:rsid w:val="00391C49"/>
    <w:rPr>
      <w:sz w:val="18"/>
      <w:szCs w:val="18"/>
    </w:rPr>
  </w:style>
  <w:style w:type="paragraph" w:styleId="CommentText">
    <w:name w:val="annotation text"/>
    <w:basedOn w:val="Normal"/>
    <w:link w:val="CommentTextChar"/>
    <w:uiPriority w:val="99"/>
    <w:unhideWhenUsed/>
    <w:rsid w:val="00391C49"/>
    <w:pPr>
      <w:spacing w:after="200"/>
    </w:pPr>
    <w:rPr>
      <w:rFonts w:eastAsiaTheme="minorHAnsi"/>
      <w:lang w:val="en-GB"/>
    </w:rPr>
  </w:style>
  <w:style w:type="character" w:customStyle="1" w:styleId="CommentTextChar">
    <w:name w:val="Comment Text Char"/>
    <w:basedOn w:val="DefaultParagraphFont"/>
    <w:link w:val="CommentText"/>
    <w:uiPriority w:val="99"/>
    <w:rsid w:val="00391C49"/>
    <w:rPr>
      <w:rFonts w:eastAsiaTheme="minorHAnsi"/>
      <w:lang w:val="en-GB"/>
    </w:rPr>
  </w:style>
  <w:style w:type="paragraph" w:styleId="BalloonText">
    <w:name w:val="Balloon Text"/>
    <w:basedOn w:val="Normal"/>
    <w:link w:val="BalloonTextChar"/>
    <w:uiPriority w:val="99"/>
    <w:semiHidden/>
    <w:unhideWhenUsed/>
    <w:rsid w:val="00391C4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91C49"/>
    <w:rPr>
      <w:rFonts w:ascii="Lucida Grande" w:hAnsi="Lucida Grande" w:cs="Lucida Grande"/>
      <w:sz w:val="18"/>
      <w:szCs w:val="18"/>
    </w:rPr>
  </w:style>
  <w:style w:type="paragraph" w:styleId="ListParagraph">
    <w:name w:val="List Paragraph"/>
    <w:basedOn w:val="Normal"/>
    <w:uiPriority w:val="34"/>
    <w:qFormat/>
    <w:rsid w:val="00802A1D"/>
    <w:pPr>
      <w:ind w:left="720"/>
      <w:contextualSpacing/>
    </w:pPr>
  </w:style>
  <w:style w:type="character" w:styleId="Hyperlink">
    <w:name w:val="Hyperlink"/>
    <w:basedOn w:val="DefaultParagraphFont"/>
    <w:uiPriority w:val="99"/>
    <w:unhideWhenUsed/>
    <w:rsid w:val="00B65CE8"/>
    <w:rPr>
      <w:color w:val="0000FF" w:themeColor="hyperlink"/>
      <w:u w:val="single"/>
    </w:rPr>
  </w:style>
  <w:style w:type="character" w:customStyle="1" w:styleId="apple-converted-space">
    <w:name w:val="apple-converted-space"/>
    <w:basedOn w:val="DefaultParagraphFont"/>
    <w:rsid w:val="0030174C"/>
  </w:style>
  <w:style w:type="paragraph" w:styleId="NormalWeb">
    <w:name w:val="Normal (Web)"/>
    <w:basedOn w:val="Normal"/>
    <w:uiPriority w:val="99"/>
    <w:unhideWhenUsed/>
    <w:rsid w:val="0030174C"/>
    <w:pPr>
      <w:spacing w:before="100" w:beforeAutospacing="1" w:after="100" w:afterAutospacing="1"/>
    </w:pPr>
    <w:rPr>
      <w:rFonts w:ascii="Times" w:hAnsi="Times" w:cs="Times New Roman"/>
      <w:sz w:val="20"/>
      <w:szCs w:val="20"/>
      <w:lang w:val="en-GB"/>
    </w:rPr>
  </w:style>
  <w:style w:type="paragraph" w:styleId="Header">
    <w:name w:val="header"/>
    <w:basedOn w:val="Normal"/>
    <w:link w:val="HeaderChar"/>
    <w:uiPriority w:val="99"/>
    <w:unhideWhenUsed/>
    <w:rsid w:val="008E6CBC"/>
    <w:pPr>
      <w:tabs>
        <w:tab w:val="center" w:pos="4320"/>
        <w:tab w:val="right" w:pos="8640"/>
      </w:tabs>
    </w:pPr>
  </w:style>
  <w:style w:type="character" w:customStyle="1" w:styleId="HeaderChar">
    <w:name w:val="Header Char"/>
    <w:basedOn w:val="DefaultParagraphFont"/>
    <w:link w:val="Header"/>
    <w:uiPriority w:val="99"/>
    <w:rsid w:val="008E6CBC"/>
  </w:style>
  <w:style w:type="paragraph" w:styleId="Footer">
    <w:name w:val="footer"/>
    <w:basedOn w:val="Normal"/>
    <w:link w:val="FooterChar"/>
    <w:uiPriority w:val="99"/>
    <w:unhideWhenUsed/>
    <w:rsid w:val="008E6CBC"/>
    <w:pPr>
      <w:tabs>
        <w:tab w:val="center" w:pos="4320"/>
        <w:tab w:val="right" w:pos="8640"/>
      </w:tabs>
    </w:pPr>
  </w:style>
  <w:style w:type="character" w:customStyle="1" w:styleId="FooterChar">
    <w:name w:val="Footer Char"/>
    <w:basedOn w:val="DefaultParagraphFont"/>
    <w:link w:val="Footer"/>
    <w:uiPriority w:val="99"/>
    <w:rsid w:val="008E6CBC"/>
  </w:style>
  <w:style w:type="character" w:customStyle="1" w:styleId="A3">
    <w:name w:val="A3"/>
    <w:uiPriority w:val="99"/>
    <w:rsid w:val="008D702D"/>
    <w:rPr>
      <w:rFonts w:cs="Caslon"/>
      <w:color w:val="000000"/>
      <w:sz w:val="18"/>
      <w:szCs w:val="18"/>
    </w:rPr>
  </w:style>
  <w:style w:type="character" w:styleId="Emphasis">
    <w:name w:val="Emphasis"/>
    <w:basedOn w:val="DefaultParagraphFont"/>
    <w:uiPriority w:val="20"/>
    <w:qFormat/>
    <w:rsid w:val="0034172C"/>
    <w:rPr>
      <w:i/>
      <w:iCs/>
    </w:rPr>
  </w:style>
  <w:style w:type="character" w:styleId="FollowedHyperlink">
    <w:name w:val="FollowedHyperlink"/>
    <w:basedOn w:val="DefaultParagraphFont"/>
    <w:uiPriority w:val="99"/>
    <w:semiHidden/>
    <w:unhideWhenUsed/>
    <w:rsid w:val="00211F4F"/>
    <w:rPr>
      <w:color w:val="800080" w:themeColor="followedHyperlink"/>
      <w:u w:val="single"/>
    </w:rPr>
  </w:style>
  <w:style w:type="character" w:customStyle="1" w:styleId="Heading2Char">
    <w:name w:val="Heading 2 Char"/>
    <w:basedOn w:val="DefaultParagraphFont"/>
    <w:link w:val="Heading2"/>
    <w:uiPriority w:val="9"/>
    <w:rsid w:val="00094674"/>
    <w:rPr>
      <w:rFonts w:ascii="Times" w:hAnsi="Times"/>
      <w:b/>
      <w:bCs/>
      <w:sz w:val="36"/>
      <w:szCs w:val="36"/>
      <w:lang w:val="en-GB"/>
    </w:rPr>
  </w:style>
  <w:style w:type="character" w:styleId="PageNumber">
    <w:name w:val="page number"/>
    <w:basedOn w:val="DefaultParagraphFont"/>
    <w:uiPriority w:val="99"/>
    <w:semiHidden/>
    <w:unhideWhenUsed/>
    <w:rsid w:val="00F403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7425178">
      <w:bodyDiv w:val="1"/>
      <w:marLeft w:val="0"/>
      <w:marRight w:val="0"/>
      <w:marTop w:val="0"/>
      <w:marBottom w:val="0"/>
      <w:divBdr>
        <w:top w:val="none" w:sz="0" w:space="0" w:color="auto"/>
        <w:left w:val="none" w:sz="0" w:space="0" w:color="auto"/>
        <w:bottom w:val="none" w:sz="0" w:space="0" w:color="auto"/>
        <w:right w:val="none" w:sz="0" w:space="0" w:color="auto"/>
      </w:divBdr>
    </w:div>
    <w:div w:id="238373829">
      <w:bodyDiv w:val="1"/>
      <w:marLeft w:val="0"/>
      <w:marRight w:val="0"/>
      <w:marTop w:val="0"/>
      <w:marBottom w:val="0"/>
      <w:divBdr>
        <w:top w:val="none" w:sz="0" w:space="0" w:color="auto"/>
        <w:left w:val="none" w:sz="0" w:space="0" w:color="auto"/>
        <w:bottom w:val="none" w:sz="0" w:space="0" w:color="auto"/>
        <w:right w:val="none" w:sz="0" w:space="0" w:color="auto"/>
      </w:divBdr>
    </w:div>
    <w:div w:id="537622832">
      <w:bodyDiv w:val="1"/>
      <w:marLeft w:val="0"/>
      <w:marRight w:val="0"/>
      <w:marTop w:val="0"/>
      <w:marBottom w:val="0"/>
      <w:divBdr>
        <w:top w:val="none" w:sz="0" w:space="0" w:color="auto"/>
        <w:left w:val="none" w:sz="0" w:space="0" w:color="auto"/>
        <w:bottom w:val="none" w:sz="0" w:space="0" w:color="auto"/>
        <w:right w:val="none" w:sz="0" w:space="0" w:color="auto"/>
      </w:divBdr>
    </w:div>
    <w:div w:id="936866143">
      <w:bodyDiv w:val="1"/>
      <w:marLeft w:val="0"/>
      <w:marRight w:val="0"/>
      <w:marTop w:val="0"/>
      <w:marBottom w:val="0"/>
      <w:divBdr>
        <w:top w:val="none" w:sz="0" w:space="0" w:color="auto"/>
        <w:left w:val="none" w:sz="0" w:space="0" w:color="auto"/>
        <w:bottom w:val="none" w:sz="0" w:space="0" w:color="auto"/>
        <w:right w:val="none" w:sz="0" w:space="0" w:color="auto"/>
      </w:divBdr>
    </w:div>
    <w:div w:id="1014654704">
      <w:bodyDiv w:val="1"/>
      <w:marLeft w:val="0"/>
      <w:marRight w:val="0"/>
      <w:marTop w:val="0"/>
      <w:marBottom w:val="0"/>
      <w:divBdr>
        <w:top w:val="none" w:sz="0" w:space="0" w:color="auto"/>
        <w:left w:val="none" w:sz="0" w:space="0" w:color="auto"/>
        <w:bottom w:val="none" w:sz="0" w:space="0" w:color="auto"/>
        <w:right w:val="none" w:sz="0" w:space="0" w:color="auto"/>
      </w:divBdr>
    </w:div>
    <w:div w:id="1095050822">
      <w:bodyDiv w:val="1"/>
      <w:marLeft w:val="0"/>
      <w:marRight w:val="0"/>
      <w:marTop w:val="0"/>
      <w:marBottom w:val="0"/>
      <w:divBdr>
        <w:top w:val="none" w:sz="0" w:space="0" w:color="auto"/>
        <w:left w:val="none" w:sz="0" w:space="0" w:color="auto"/>
        <w:bottom w:val="none" w:sz="0" w:space="0" w:color="auto"/>
        <w:right w:val="none" w:sz="0" w:space="0" w:color="auto"/>
      </w:divBdr>
    </w:div>
    <w:div w:id="1161889520">
      <w:bodyDiv w:val="1"/>
      <w:marLeft w:val="0"/>
      <w:marRight w:val="0"/>
      <w:marTop w:val="0"/>
      <w:marBottom w:val="0"/>
      <w:divBdr>
        <w:top w:val="none" w:sz="0" w:space="0" w:color="auto"/>
        <w:left w:val="none" w:sz="0" w:space="0" w:color="auto"/>
        <w:bottom w:val="none" w:sz="0" w:space="0" w:color="auto"/>
        <w:right w:val="none" w:sz="0" w:space="0" w:color="auto"/>
      </w:divBdr>
    </w:div>
    <w:div w:id="1238128948">
      <w:bodyDiv w:val="1"/>
      <w:marLeft w:val="0"/>
      <w:marRight w:val="0"/>
      <w:marTop w:val="0"/>
      <w:marBottom w:val="0"/>
      <w:divBdr>
        <w:top w:val="none" w:sz="0" w:space="0" w:color="auto"/>
        <w:left w:val="none" w:sz="0" w:space="0" w:color="auto"/>
        <w:bottom w:val="none" w:sz="0" w:space="0" w:color="auto"/>
        <w:right w:val="none" w:sz="0" w:space="0" w:color="auto"/>
      </w:divBdr>
    </w:div>
    <w:div w:id="1401555933">
      <w:bodyDiv w:val="1"/>
      <w:marLeft w:val="0"/>
      <w:marRight w:val="0"/>
      <w:marTop w:val="0"/>
      <w:marBottom w:val="0"/>
      <w:divBdr>
        <w:top w:val="none" w:sz="0" w:space="0" w:color="auto"/>
        <w:left w:val="none" w:sz="0" w:space="0" w:color="auto"/>
        <w:bottom w:val="none" w:sz="0" w:space="0" w:color="auto"/>
        <w:right w:val="none" w:sz="0" w:space="0" w:color="auto"/>
      </w:divBdr>
    </w:div>
    <w:div w:id="1461916074">
      <w:bodyDiv w:val="1"/>
      <w:marLeft w:val="0"/>
      <w:marRight w:val="0"/>
      <w:marTop w:val="0"/>
      <w:marBottom w:val="0"/>
      <w:divBdr>
        <w:top w:val="none" w:sz="0" w:space="0" w:color="auto"/>
        <w:left w:val="none" w:sz="0" w:space="0" w:color="auto"/>
        <w:bottom w:val="none" w:sz="0" w:space="0" w:color="auto"/>
        <w:right w:val="none" w:sz="0" w:space="0" w:color="auto"/>
      </w:divBdr>
    </w:div>
    <w:div w:id="1514489777">
      <w:bodyDiv w:val="1"/>
      <w:marLeft w:val="0"/>
      <w:marRight w:val="0"/>
      <w:marTop w:val="0"/>
      <w:marBottom w:val="0"/>
      <w:divBdr>
        <w:top w:val="none" w:sz="0" w:space="0" w:color="auto"/>
        <w:left w:val="none" w:sz="0" w:space="0" w:color="auto"/>
        <w:bottom w:val="none" w:sz="0" w:space="0" w:color="auto"/>
        <w:right w:val="none" w:sz="0" w:space="0" w:color="auto"/>
      </w:divBdr>
    </w:div>
    <w:div w:id="1815487860">
      <w:bodyDiv w:val="1"/>
      <w:marLeft w:val="0"/>
      <w:marRight w:val="0"/>
      <w:marTop w:val="0"/>
      <w:marBottom w:val="0"/>
      <w:divBdr>
        <w:top w:val="none" w:sz="0" w:space="0" w:color="auto"/>
        <w:left w:val="none" w:sz="0" w:space="0" w:color="auto"/>
        <w:bottom w:val="none" w:sz="0" w:space="0" w:color="auto"/>
        <w:right w:val="none" w:sz="0" w:space="0" w:color="auto"/>
      </w:divBdr>
    </w:div>
    <w:div w:id="2133400850">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www.ejiltalk.org/esil-international-human-rights-law-symposium-international-criminal-law-and-international-human-rights-law/" TargetMode="External"/><Relationship Id="rId2" Type="http://schemas.openxmlformats.org/officeDocument/2006/relationships/hyperlink" Target="http://www.ejiltalk.org/esil-international-human-rights-law-symposium-international-criminal-law-and-international-human-rights-law/" TargetMode="External"/><Relationship Id="rId3" Type="http://schemas.openxmlformats.org/officeDocument/2006/relationships/hyperlink" Target="http://www.icc-cpi.int/iccdocs/otp/SAS-HON-Article_5_Report-Oct2015-ENG.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1354</TotalTime>
  <Pages>23</Pages>
  <Words>5808</Words>
  <Characters>31367</Characters>
  <Application>Microsoft Macintosh Word</Application>
  <DocSecurity>0</DocSecurity>
  <Lines>514</Lines>
  <Paragraphs>56</Paragraphs>
  <ScaleCrop>false</ScaleCrop>
  <Company>University of Copenhagen</Company>
  <LinksUpToDate>false</LinksUpToDate>
  <CharactersWithSpaces>37119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 Aksenova</dc:creator>
  <cp:keywords/>
  <dc:description/>
  <cp:lastModifiedBy>Marina Aksenova</cp:lastModifiedBy>
  <cp:revision>3</cp:revision>
  <cp:lastPrinted>2015-11-20T09:44:00Z</cp:lastPrinted>
  <dcterms:created xsi:type="dcterms:W3CDTF">2016-03-19T09:39:00Z</dcterms:created>
  <dcterms:modified xsi:type="dcterms:W3CDTF">2016-03-20T11:21:00Z</dcterms:modified>
</cp:coreProperties>
</file>