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B5240E" w14:textId="77777777" w:rsidR="008F35E6" w:rsidRPr="0013512D" w:rsidRDefault="008F35E6" w:rsidP="005C247F">
      <w:pPr>
        <w:spacing w:line="360" w:lineRule="auto"/>
        <w:rPr>
          <w:lang w:val="en-GB"/>
        </w:rPr>
      </w:pPr>
    </w:p>
    <w:p w14:paraId="2066EC27" w14:textId="1F1E1F4C" w:rsidR="00B63B82" w:rsidRPr="0013512D" w:rsidRDefault="00314571" w:rsidP="005C247F">
      <w:pPr>
        <w:spacing w:line="360" w:lineRule="auto"/>
        <w:jc w:val="center"/>
        <w:rPr>
          <w:b/>
          <w:lang w:val="en-GB"/>
        </w:rPr>
      </w:pPr>
      <w:r w:rsidRPr="0013512D">
        <w:rPr>
          <w:b/>
          <w:lang w:val="en-GB"/>
        </w:rPr>
        <w:t xml:space="preserve">Setting the Scene: The Use of Art to Promote Reconciliation in International Criminal </w:t>
      </w:r>
      <w:r w:rsidR="00FD16E1" w:rsidRPr="0013512D">
        <w:rPr>
          <w:b/>
          <w:lang w:val="en-GB"/>
        </w:rPr>
        <w:t>Justice</w:t>
      </w:r>
    </w:p>
    <w:p w14:paraId="3AE8DD66" w14:textId="12827064" w:rsidR="005C3328" w:rsidRPr="0013512D" w:rsidRDefault="005C3328" w:rsidP="005C247F">
      <w:pPr>
        <w:spacing w:line="360" w:lineRule="auto"/>
        <w:jc w:val="center"/>
        <w:rPr>
          <w:b/>
          <w:lang w:val="en-GB"/>
        </w:rPr>
      </w:pPr>
    </w:p>
    <w:p w14:paraId="4FA43129" w14:textId="4F4CA174" w:rsidR="00073178" w:rsidRPr="00F162F1" w:rsidRDefault="00F162F1" w:rsidP="00F162F1">
      <w:pPr>
        <w:spacing w:line="360" w:lineRule="auto"/>
        <w:jc w:val="right"/>
        <w:rPr>
          <w:i/>
          <w:lang w:val="en-US"/>
        </w:rPr>
      </w:pPr>
      <w:r w:rsidRPr="00F162F1">
        <w:rPr>
          <w:i/>
          <w:lang w:val="en-US"/>
        </w:rPr>
        <w:t>Marina Aksenova</w:t>
      </w:r>
      <w:r w:rsidRPr="00E35584">
        <w:rPr>
          <w:rStyle w:val="FootnoteReference"/>
          <w:i/>
        </w:rPr>
        <w:footnoteReference w:customMarkFollows="1" w:id="1"/>
        <w:sym w:font="Symbol" w:char="F02A"/>
      </w:r>
      <w:r w:rsidRPr="00F162F1">
        <w:rPr>
          <w:i/>
          <w:lang w:val="en-US"/>
        </w:rPr>
        <w:t xml:space="preserve"> and Amber N. </w:t>
      </w:r>
      <w:proofErr w:type="spellStart"/>
      <w:r w:rsidRPr="00F162F1">
        <w:rPr>
          <w:i/>
          <w:lang w:val="en-US"/>
        </w:rPr>
        <w:t>Rieff</w:t>
      </w:r>
      <w:proofErr w:type="spellEnd"/>
      <w:r w:rsidRPr="00E35584">
        <w:rPr>
          <w:rStyle w:val="FootnoteReference"/>
          <w:i/>
        </w:rPr>
        <w:footnoteReference w:customMarkFollows="1" w:id="2"/>
        <w:sym w:font="Symbol" w:char="F02A"/>
      </w:r>
      <w:r w:rsidRPr="00E35584">
        <w:rPr>
          <w:rStyle w:val="FootnoteReference"/>
          <w:i/>
        </w:rPr>
        <w:sym w:font="Symbol" w:char="F02A"/>
      </w:r>
    </w:p>
    <w:p w14:paraId="68FEC13E" w14:textId="77777777" w:rsidR="00073178" w:rsidRPr="0013512D" w:rsidRDefault="00073178" w:rsidP="005C247F">
      <w:pPr>
        <w:spacing w:line="360" w:lineRule="auto"/>
        <w:jc w:val="center"/>
        <w:rPr>
          <w:b/>
          <w:lang w:val="en-GB"/>
        </w:rPr>
      </w:pPr>
    </w:p>
    <w:p w14:paraId="793F261C" w14:textId="77777777" w:rsidR="005C3328" w:rsidRPr="0013512D" w:rsidRDefault="005C3328" w:rsidP="005C247F">
      <w:pPr>
        <w:pStyle w:val="ListParagraph"/>
        <w:spacing w:line="360" w:lineRule="auto"/>
        <w:jc w:val="right"/>
        <w:rPr>
          <w:rFonts w:ascii="Times New Roman" w:hAnsi="Times New Roman"/>
          <w:lang w:val="en-GB"/>
        </w:rPr>
      </w:pPr>
      <w:r w:rsidRPr="0013512D">
        <w:rPr>
          <w:rFonts w:ascii="Times New Roman" w:hAnsi="Times New Roman"/>
          <w:lang w:val="en-GB"/>
        </w:rPr>
        <w:t>“Let me not pray to be sheltered from dangers, but to be fearless in facing them.  Let me not beg for the stilling of my pain, but for the heart to conquer it.”  ~ Rabindranath Tagore</w:t>
      </w:r>
    </w:p>
    <w:p w14:paraId="5ED8E8F4" w14:textId="77777777" w:rsidR="00FA3EBA" w:rsidRPr="0013512D" w:rsidRDefault="00FA3EBA" w:rsidP="005C247F">
      <w:pPr>
        <w:spacing w:line="360" w:lineRule="auto"/>
        <w:rPr>
          <w:i/>
          <w:lang w:val="en-GB"/>
        </w:rPr>
      </w:pPr>
    </w:p>
    <w:p w14:paraId="19ABBF35" w14:textId="7A37DBEF" w:rsidR="003022A7" w:rsidRPr="0013512D" w:rsidRDefault="003022A7" w:rsidP="005C247F">
      <w:pPr>
        <w:pStyle w:val="ListParagraph"/>
        <w:spacing w:line="360" w:lineRule="auto"/>
        <w:ind w:left="0"/>
        <w:rPr>
          <w:rFonts w:ascii="Times New Roman" w:eastAsiaTheme="minorHAnsi" w:hAnsi="Times New Roman"/>
          <w:color w:val="000000" w:themeColor="text1"/>
          <w:u w:val="single"/>
          <w:lang w:val="en-GB"/>
        </w:rPr>
      </w:pPr>
      <w:r w:rsidRPr="0013512D">
        <w:rPr>
          <w:rFonts w:ascii="Times New Roman" w:eastAsiaTheme="minorHAnsi" w:hAnsi="Times New Roman"/>
          <w:color w:val="000000" w:themeColor="text1"/>
          <w:u w:val="single"/>
          <w:lang w:val="en-GB"/>
        </w:rPr>
        <w:t>Abstract</w:t>
      </w:r>
    </w:p>
    <w:p w14:paraId="6CD31E21" w14:textId="77777777" w:rsidR="003022A7" w:rsidRPr="0013512D" w:rsidRDefault="003022A7" w:rsidP="005C247F">
      <w:pPr>
        <w:pStyle w:val="ListParagraph"/>
        <w:spacing w:line="360" w:lineRule="auto"/>
        <w:ind w:left="0"/>
        <w:rPr>
          <w:rFonts w:ascii="Times New Roman" w:eastAsiaTheme="minorHAnsi" w:hAnsi="Times New Roman"/>
          <w:color w:val="FF0000"/>
          <w:lang w:val="en-GB"/>
        </w:rPr>
      </w:pPr>
    </w:p>
    <w:p w14:paraId="3C9DCEBB" w14:textId="181B0913" w:rsidR="00CA0596" w:rsidRPr="0013512D" w:rsidRDefault="00CA0596" w:rsidP="00CA0596">
      <w:pPr>
        <w:spacing w:line="360" w:lineRule="auto"/>
        <w:rPr>
          <w:color w:val="000000" w:themeColor="text1"/>
          <w:lang w:val="en-GB"/>
        </w:rPr>
      </w:pPr>
      <w:r>
        <w:rPr>
          <w:color w:val="000000" w:themeColor="text1"/>
          <w:lang w:val="en-GB"/>
        </w:rPr>
        <w:t xml:space="preserve">This article maps out the landscape </w:t>
      </w:r>
      <w:r w:rsidR="00353FBF">
        <w:rPr>
          <w:color w:val="000000" w:themeColor="text1"/>
          <w:lang w:val="en-GB"/>
        </w:rPr>
        <w:t>holding and connecting</w:t>
      </w:r>
      <w:r>
        <w:rPr>
          <w:color w:val="000000" w:themeColor="text1"/>
          <w:lang w:val="en-GB"/>
        </w:rPr>
        <w:t xml:space="preserve"> three interrelated phenomena: art, international criminal justice and reconciliation. We argue that reconciliation, viewed as </w:t>
      </w:r>
      <w:r w:rsidRPr="00CA0596">
        <w:rPr>
          <w:color w:val="000000" w:themeColor="text1"/>
          <w:lang w:val="en-GB"/>
        </w:rPr>
        <w:t>a</w:t>
      </w:r>
      <w:r w:rsidRPr="00CA0596">
        <w:rPr>
          <w:i/>
          <w:iCs/>
          <w:color w:val="000000" w:themeColor="text1"/>
          <w:lang w:val="en-GB"/>
        </w:rPr>
        <w:t xml:space="preserve"> </w:t>
      </w:r>
      <w:r w:rsidRPr="00CA0596">
        <w:rPr>
          <w:color w:val="000000" w:themeColor="text1"/>
          <w:lang w:val="en-GB"/>
        </w:rPr>
        <w:t>restoration</w:t>
      </w:r>
      <w:r w:rsidRPr="00CA0596">
        <w:rPr>
          <w:i/>
          <w:iCs/>
          <w:color w:val="000000" w:themeColor="text1"/>
          <w:lang w:val="en-GB"/>
        </w:rPr>
        <w:t xml:space="preserve"> process,</w:t>
      </w:r>
      <w:r>
        <w:rPr>
          <w:color w:val="000000" w:themeColor="text1"/>
          <w:lang w:val="en-GB"/>
        </w:rPr>
        <w:t xml:space="preserve"> is one the goals of international criminal justice. Yet, its attainment through law is </w:t>
      </w:r>
      <w:r w:rsidR="005A2541">
        <w:rPr>
          <w:color w:val="000000" w:themeColor="text1"/>
          <w:lang w:val="en-GB"/>
        </w:rPr>
        <w:t>challenging</w:t>
      </w:r>
      <w:r>
        <w:rPr>
          <w:color w:val="000000" w:themeColor="text1"/>
          <w:lang w:val="en-GB"/>
        </w:rPr>
        <w:t xml:space="preserve"> because international criminal justice strictly construed is </w:t>
      </w:r>
      <w:r w:rsidRPr="00CA0596">
        <w:rPr>
          <w:i/>
          <w:iCs/>
          <w:color w:val="000000" w:themeColor="text1"/>
          <w:lang w:val="en-GB"/>
        </w:rPr>
        <w:t>outcome</w:t>
      </w:r>
      <w:r>
        <w:rPr>
          <w:color w:val="000000" w:themeColor="text1"/>
          <w:lang w:val="en-GB"/>
        </w:rPr>
        <w:t xml:space="preserve"> oriented. Art can serve as a ‘bridge’ </w:t>
      </w:r>
      <w:r w:rsidR="005A2541">
        <w:rPr>
          <w:color w:val="000000" w:themeColor="text1"/>
          <w:lang w:val="en-GB"/>
        </w:rPr>
        <w:t xml:space="preserve">linking normative legal standards </w:t>
      </w:r>
      <w:r w:rsidR="001A6AED">
        <w:rPr>
          <w:color w:val="000000" w:themeColor="text1"/>
          <w:lang w:val="en-GB"/>
        </w:rPr>
        <w:t>with their</w:t>
      </w:r>
      <w:r w:rsidR="005A2541">
        <w:rPr>
          <w:color w:val="000000" w:themeColor="text1"/>
          <w:lang w:val="en-GB"/>
        </w:rPr>
        <w:t xml:space="preserve"> reconciliatory aspirations. </w:t>
      </w:r>
      <w:r w:rsidRPr="0013512D">
        <w:rPr>
          <w:color w:val="000000" w:themeColor="text1"/>
          <w:lang w:val="en-GB"/>
        </w:rPr>
        <w:t>The key argument is therefore that art has the clear ability to mediate and amplify the law’s</w:t>
      </w:r>
      <w:r w:rsidR="00957B9E">
        <w:rPr>
          <w:color w:val="000000" w:themeColor="text1"/>
          <w:lang w:val="en-GB"/>
        </w:rPr>
        <w:t xml:space="preserve"> restorative </w:t>
      </w:r>
      <w:r w:rsidRPr="0013512D">
        <w:rPr>
          <w:color w:val="000000" w:themeColor="text1"/>
          <w:lang w:val="en-GB"/>
        </w:rPr>
        <w:t>potential</w:t>
      </w:r>
      <w:r w:rsidRPr="0013512D">
        <w:rPr>
          <w:lang w:val="en-GB"/>
        </w:rPr>
        <w:t xml:space="preserve"> </w:t>
      </w:r>
      <w:r w:rsidRPr="0013512D">
        <w:rPr>
          <w:color w:val="000000" w:themeColor="text1"/>
          <w:lang w:val="en-GB"/>
        </w:rPr>
        <w:t>through three key featur</w:t>
      </w:r>
      <w:r w:rsidR="005A2541">
        <w:rPr>
          <w:color w:val="000000" w:themeColor="text1"/>
          <w:lang w:val="en-GB"/>
        </w:rPr>
        <w:t>es</w:t>
      </w:r>
      <w:r w:rsidR="00EB59A7">
        <w:rPr>
          <w:color w:val="000000" w:themeColor="text1"/>
          <w:lang w:val="en-GB"/>
        </w:rPr>
        <w:t xml:space="preserve">. </w:t>
      </w:r>
      <w:r w:rsidRPr="0013512D">
        <w:rPr>
          <w:color w:val="000000" w:themeColor="text1"/>
          <w:lang w:val="en-GB"/>
        </w:rPr>
        <w:t xml:space="preserve">Firstly, art reflects the complexity of the human condition and reserves a place for emotional processing. Secondly, it is a useful relational tool in opening the space for dialogue, the latter being essential for reconciliation. Lastly, art has the capacity to translate legalistic findings into a language accessible to a wider audience. </w:t>
      </w:r>
    </w:p>
    <w:p w14:paraId="1C853062" w14:textId="77777777" w:rsidR="00CA0596" w:rsidRDefault="00CA0596" w:rsidP="005C247F">
      <w:pPr>
        <w:pStyle w:val="ListParagraph"/>
        <w:spacing w:line="360" w:lineRule="auto"/>
        <w:ind w:left="0"/>
        <w:rPr>
          <w:rFonts w:ascii="Times New Roman" w:hAnsi="Times New Roman"/>
          <w:color w:val="000000" w:themeColor="text1"/>
          <w:lang w:val="en-GB"/>
        </w:rPr>
      </w:pPr>
    </w:p>
    <w:p w14:paraId="6521BEA5" w14:textId="4956DD63" w:rsidR="002D68E0" w:rsidRPr="0013512D" w:rsidRDefault="00FA3EBA" w:rsidP="005C247F">
      <w:pPr>
        <w:pStyle w:val="ListParagraph"/>
        <w:numPr>
          <w:ilvl w:val="0"/>
          <w:numId w:val="1"/>
        </w:numPr>
        <w:spacing w:line="360" w:lineRule="auto"/>
        <w:rPr>
          <w:rFonts w:ascii="Times New Roman" w:eastAsiaTheme="minorHAnsi" w:hAnsi="Times New Roman"/>
          <w:color w:val="000000" w:themeColor="text1"/>
          <w:u w:val="single"/>
          <w:lang w:val="en-GB"/>
        </w:rPr>
      </w:pPr>
      <w:r w:rsidRPr="0013512D">
        <w:rPr>
          <w:rFonts w:ascii="Times New Roman" w:eastAsiaTheme="minorHAnsi" w:hAnsi="Times New Roman"/>
          <w:color w:val="000000" w:themeColor="text1"/>
          <w:u w:val="single"/>
          <w:lang w:val="en-GB"/>
        </w:rPr>
        <w:t xml:space="preserve">Introduction </w:t>
      </w:r>
    </w:p>
    <w:p w14:paraId="2477FF8D" w14:textId="77777777" w:rsidR="0065098B" w:rsidRPr="0013512D" w:rsidRDefault="0065098B" w:rsidP="005C247F">
      <w:pPr>
        <w:pStyle w:val="ListParagraph"/>
        <w:spacing w:line="360" w:lineRule="auto"/>
        <w:rPr>
          <w:rFonts w:ascii="Times New Roman" w:eastAsiaTheme="minorHAnsi" w:hAnsi="Times New Roman"/>
          <w:color w:val="000000" w:themeColor="text1"/>
          <w:u w:val="single"/>
          <w:lang w:val="en-GB"/>
        </w:rPr>
      </w:pPr>
    </w:p>
    <w:p w14:paraId="1F667713" w14:textId="77777777" w:rsidR="0042238D" w:rsidRPr="0013512D" w:rsidRDefault="003D6F50" w:rsidP="005C247F">
      <w:pPr>
        <w:spacing w:line="360" w:lineRule="auto"/>
        <w:rPr>
          <w:color w:val="000000" w:themeColor="text1"/>
          <w:lang w:val="en-GB"/>
        </w:rPr>
      </w:pPr>
      <w:r w:rsidRPr="0013512D">
        <w:rPr>
          <w:color w:val="000000" w:themeColor="text1"/>
          <w:lang w:val="en-GB"/>
        </w:rPr>
        <w:lastRenderedPageBreak/>
        <w:t>How can international courts and tribunals, designed to deal with narrow legal questions of guilt and specific fact-finding, contribute to overall reconciliation in communities devastated by war, ethnic violence and civil unrest?</w:t>
      </w:r>
      <w:r w:rsidR="00910C55" w:rsidRPr="0013512D">
        <w:rPr>
          <w:rStyle w:val="FootnoteReference"/>
          <w:lang w:val="en-GB"/>
        </w:rPr>
        <w:footnoteReference w:id="3"/>
      </w:r>
      <w:r w:rsidRPr="0013512D">
        <w:rPr>
          <w:color w:val="000000" w:themeColor="text1"/>
          <w:lang w:val="en-GB"/>
        </w:rPr>
        <w:t> </w:t>
      </w:r>
    </w:p>
    <w:p w14:paraId="55B7DBD2" w14:textId="77777777" w:rsidR="0042238D" w:rsidRPr="0013512D" w:rsidRDefault="0042238D" w:rsidP="005C247F">
      <w:pPr>
        <w:spacing w:line="360" w:lineRule="auto"/>
        <w:rPr>
          <w:color w:val="000000" w:themeColor="text1"/>
          <w:lang w:val="en-GB"/>
        </w:rPr>
      </w:pPr>
    </w:p>
    <w:p w14:paraId="7C04D355" w14:textId="38F2CD39" w:rsidR="00335476" w:rsidRPr="0013512D" w:rsidRDefault="00335476" w:rsidP="005C247F">
      <w:pPr>
        <w:spacing w:line="360" w:lineRule="auto"/>
        <w:rPr>
          <w:color w:val="000000" w:themeColor="text1"/>
          <w:lang w:val="en-GB"/>
        </w:rPr>
      </w:pPr>
      <w:r w:rsidRPr="0013512D">
        <w:rPr>
          <w:color w:val="000000" w:themeColor="text1"/>
          <w:lang w:val="en-GB"/>
        </w:rPr>
        <w:t xml:space="preserve">It is important to note upfront that this article does not discuss </w:t>
      </w:r>
      <w:r w:rsidR="004829FA" w:rsidRPr="0013512D">
        <w:rPr>
          <w:color w:val="000000" w:themeColor="text1"/>
          <w:lang w:val="en-GB"/>
        </w:rPr>
        <w:t xml:space="preserve">all </w:t>
      </w:r>
      <w:r w:rsidRPr="0013512D">
        <w:rPr>
          <w:color w:val="000000" w:themeColor="text1"/>
          <w:lang w:val="en-GB"/>
        </w:rPr>
        <w:t xml:space="preserve">the merits </w:t>
      </w:r>
      <w:r w:rsidR="00ED418C" w:rsidRPr="0013512D">
        <w:rPr>
          <w:color w:val="000000" w:themeColor="text1"/>
          <w:lang w:val="en-GB"/>
        </w:rPr>
        <w:t xml:space="preserve">and problematic aspects </w:t>
      </w:r>
      <w:r w:rsidRPr="0013512D">
        <w:rPr>
          <w:color w:val="000000" w:themeColor="text1"/>
          <w:lang w:val="en-GB"/>
        </w:rPr>
        <w:t>of including the goal of reconciliation in the scope of objectives sought by international criminal justice.</w:t>
      </w:r>
      <w:r w:rsidR="008A3944" w:rsidRPr="0013512D">
        <w:rPr>
          <w:rStyle w:val="FootnoteReference"/>
          <w:color w:val="000000" w:themeColor="text1"/>
          <w:lang w:val="en-GB"/>
        </w:rPr>
        <w:footnoteReference w:id="4"/>
      </w:r>
      <w:r w:rsidRPr="0013512D">
        <w:rPr>
          <w:color w:val="000000" w:themeColor="text1"/>
          <w:lang w:val="en-GB"/>
        </w:rPr>
        <w:t xml:space="preserve"> It rather adopts the view, shared by </w:t>
      </w:r>
      <w:r w:rsidR="008A3944" w:rsidRPr="0013512D">
        <w:rPr>
          <w:color w:val="000000" w:themeColor="text1"/>
          <w:lang w:val="en-GB"/>
        </w:rPr>
        <w:t xml:space="preserve">the </w:t>
      </w:r>
      <w:r w:rsidRPr="0013512D">
        <w:rPr>
          <w:lang w:val="en-GB"/>
        </w:rPr>
        <w:t xml:space="preserve">UN executive organs, </w:t>
      </w:r>
      <w:r w:rsidRPr="0013512D">
        <w:rPr>
          <w:rFonts w:eastAsiaTheme="minorHAnsi"/>
          <w:color w:val="000000" w:themeColor="text1"/>
          <w:lang w:val="en-GB"/>
        </w:rPr>
        <w:t xml:space="preserve">such as the Security Council and the Secretary-General, </w:t>
      </w:r>
      <w:r w:rsidR="008A3944" w:rsidRPr="0013512D">
        <w:rPr>
          <w:color w:val="000000" w:themeColor="text1"/>
          <w:lang w:val="en-GB"/>
        </w:rPr>
        <w:t>that international criminal law can strive to contribute to this worthy goal</w:t>
      </w:r>
      <w:r w:rsidRPr="0013512D">
        <w:rPr>
          <w:rFonts w:eastAsiaTheme="minorHAnsi"/>
          <w:color w:val="000000" w:themeColor="text1"/>
          <w:lang w:val="en-GB"/>
        </w:rPr>
        <w:t>.</w:t>
      </w:r>
      <w:r w:rsidRPr="0013512D">
        <w:rPr>
          <w:rStyle w:val="FootnoteReference"/>
          <w:rFonts w:eastAsiaTheme="minorHAnsi"/>
          <w:lang w:val="en-GB"/>
        </w:rPr>
        <w:footnoteReference w:id="5"/>
      </w:r>
      <w:r w:rsidRPr="0013512D">
        <w:rPr>
          <w:rStyle w:val="FootnoteReference"/>
          <w:rFonts w:eastAsiaTheme="minorHAnsi"/>
          <w:lang w:val="en-GB"/>
        </w:rPr>
        <w:t xml:space="preserve"> </w:t>
      </w:r>
      <w:r w:rsidRPr="0013512D">
        <w:rPr>
          <w:rFonts w:eastAsiaTheme="minorHAnsi"/>
          <w:color w:val="000000" w:themeColor="text1"/>
          <w:lang w:val="en-GB"/>
        </w:rPr>
        <w:t xml:space="preserve">The courts </w:t>
      </w:r>
      <w:r w:rsidR="00ED418C" w:rsidRPr="0013512D">
        <w:rPr>
          <w:color w:val="000000" w:themeColor="text1"/>
          <w:lang w:val="en-GB"/>
        </w:rPr>
        <w:t xml:space="preserve">also </w:t>
      </w:r>
      <w:r w:rsidRPr="0013512D">
        <w:rPr>
          <w:rFonts w:eastAsiaTheme="minorHAnsi"/>
          <w:color w:val="000000" w:themeColor="text1"/>
          <w:lang w:val="en-GB"/>
        </w:rPr>
        <w:t>endorse this objective</w:t>
      </w:r>
      <w:r w:rsidR="00ED418C" w:rsidRPr="0013512D">
        <w:rPr>
          <w:color w:val="000000" w:themeColor="text1"/>
          <w:lang w:val="en-GB"/>
        </w:rPr>
        <w:t>, albeit</w:t>
      </w:r>
      <w:r w:rsidRPr="0013512D">
        <w:rPr>
          <w:rFonts w:eastAsiaTheme="minorHAnsi"/>
          <w:color w:val="000000" w:themeColor="text1"/>
          <w:lang w:val="en-GB"/>
        </w:rPr>
        <w:t xml:space="preserve"> in a more careful manner, sometimes treating it as auxiliary to retribution and deterrence.</w:t>
      </w:r>
      <w:r w:rsidRPr="0013512D">
        <w:rPr>
          <w:rStyle w:val="FootnoteReference"/>
          <w:rFonts w:eastAsiaTheme="minorHAnsi"/>
          <w:lang w:val="en-GB"/>
        </w:rPr>
        <w:footnoteReference w:id="6"/>
      </w:r>
      <w:r w:rsidRPr="0013512D">
        <w:rPr>
          <w:rStyle w:val="FootnoteReference"/>
          <w:rFonts w:eastAsiaTheme="minorHAnsi"/>
          <w:lang w:val="en-GB"/>
        </w:rPr>
        <w:t xml:space="preserve"> </w:t>
      </w:r>
      <w:r w:rsidRPr="0013512D">
        <w:rPr>
          <w:rFonts w:eastAsiaTheme="minorHAnsi"/>
          <w:color w:val="000000" w:themeColor="text1"/>
          <w:lang w:val="en-GB"/>
        </w:rPr>
        <w:t xml:space="preserve">The website of the </w:t>
      </w:r>
      <w:r w:rsidR="008A3944" w:rsidRPr="0013512D">
        <w:rPr>
          <w:color w:val="000000" w:themeColor="text1"/>
          <w:lang w:val="en-GB"/>
        </w:rPr>
        <w:t>International Criminal Tribunal for the Former Yugoslavia (</w:t>
      </w:r>
      <w:r w:rsidRPr="0013512D">
        <w:rPr>
          <w:rFonts w:eastAsiaTheme="minorHAnsi"/>
          <w:color w:val="000000" w:themeColor="text1"/>
          <w:lang w:val="en-GB"/>
        </w:rPr>
        <w:t>ICTY</w:t>
      </w:r>
      <w:r w:rsidR="008A3944" w:rsidRPr="0013512D">
        <w:rPr>
          <w:color w:val="000000" w:themeColor="text1"/>
          <w:lang w:val="en-GB"/>
        </w:rPr>
        <w:t>)</w:t>
      </w:r>
      <w:r w:rsidRPr="0013512D">
        <w:rPr>
          <w:rFonts w:eastAsiaTheme="minorHAnsi"/>
          <w:color w:val="000000" w:themeColor="text1"/>
          <w:lang w:val="en-GB"/>
        </w:rPr>
        <w:t xml:space="preserve"> nonetheless lists as one of its achievements strengthening the rule of law, thereby contributing to reconciliation in the region.</w:t>
      </w:r>
      <w:r w:rsidRPr="0013512D">
        <w:rPr>
          <w:rStyle w:val="FootnoteReference"/>
          <w:rFonts w:eastAsiaTheme="minorHAnsi"/>
          <w:lang w:val="en-GB"/>
        </w:rPr>
        <w:footnoteReference w:id="7"/>
      </w:r>
      <w:r w:rsidRPr="0013512D">
        <w:rPr>
          <w:rFonts w:eastAsiaTheme="minorHAnsi"/>
          <w:color w:val="000000" w:themeColor="text1"/>
          <w:lang w:val="en-GB"/>
        </w:rPr>
        <w:t xml:space="preserve"> </w:t>
      </w:r>
      <w:r w:rsidR="00F93473" w:rsidRPr="0013512D">
        <w:rPr>
          <w:color w:val="000000" w:themeColor="text1"/>
          <w:lang w:val="en-GB"/>
        </w:rPr>
        <w:t xml:space="preserve">To that effect, </w:t>
      </w:r>
      <w:r w:rsidR="00F93473" w:rsidRPr="0013512D">
        <w:rPr>
          <w:rFonts w:eastAsiaTheme="minorHAnsi"/>
          <w:color w:val="000000" w:themeColor="text1"/>
          <w:lang w:val="en-GB"/>
        </w:rPr>
        <w:t xml:space="preserve">Judge Gabrielle Kirk McDonald </w:t>
      </w:r>
      <w:r w:rsidR="00F93473" w:rsidRPr="0013512D">
        <w:rPr>
          <w:color w:val="000000" w:themeColor="text1"/>
          <w:lang w:val="en-GB"/>
        </w:rPr>
        <w:t>who served as the second president of the ICTY, recently reflected on the tribunal’s contribution to peace and reconciliation, noting that it is a long process.</w:t>
      </w:r>
      <w:r w:rsidR="00F93473" w:rsidRPr="0013512D">
        <w:rPr>
          <w:rStyle w:val="FootnoteReference"/>
          <w:color w:val="000000" w:themeColor="text1"/>
          <w:lang w:val="en-GB"/>
        </w:rPr>
        <w:footnoteReference w:id="8"/>
      </w:r>
    </w:p>
    <w:p w14:paraId="0ED84AFC" w14:textId="77777777" w:rsidR="00305BCB" w:rsidRPr="0013512D" w:rsidRDefault="00305BCB" w:rsidP="005C247F">
      <w:pPr>
        <w:spacing w:line="360" w:lineRule="auto"/>
        <w:rPr>
          <w:color w:val="000000" w:themeColor="text1"/>
          <w:lang w:val="en-GB"/>
        </w:rPr>
      </w:pPr>
    </w:p>
    <w:p w14:paraId="2FE65F3A" w14:textId="035E048C" w:rsidR="00675E9E" w:rsidRPr="0013512D" w:rsidRDefault="002353BA" w:rsidP="00675E9E">
      <w:pPr>
        <w:spacing w:line="360" w:lineRule="auto"/>
        <w:rPr>
          <w:color w:val="000000" w:themeColor="text1"/>
          <w:lang w:val="en-GB"/>
        </w:rPr>
      </w:pPr>
      <w:r w:rsidRPr="0013512D">
        <w:rPr>
          <w:color w:val="000000" w:themeColor="text1"/>
          <w:lang w:val="en-GB"/>
        </w:rPr>
        <w:t>In answering th</w:t>
      </w:r>
      <w:r w:rsidR="00771E0F" w:rsidRPr="0013512D">
        <w:rPr>
          <w:color w:val="000000" w:themeColor="text1"/>
          <w:lang w:val="en-GB"/>
        </w:rPr>
        <w:t>e</w:t>
      </w:r>
      <w:r w:rsidRPr="0013512D">
        <w:rPr>
          <w:color w:val="000000" w:themeColor="text1"/>
          <w:lang w:val="en-GB"/>
        </w:rPr>
        <w:t xml:space="preserve"> question</w:t>
      </w:r>
      <w:r w:rsidR="00771E0F" w:rsidRPr="0013512D">
        <w:rPr>
          <w:color w:val="000000" w:themeColor="text1"/>
          <w:lang w:val="en-GB"/>
        </w:rPr>
        <w:t xml:space="preserve"> as to whether international criminal justice can contribute to reconciliation</w:t>
      </w:r>
      <w:r w:rsidRPr="0013512D">
        <w:rPr>
          <w:color w:val="000000" w:themeColor="text1"/>
          <w:lang w:val="en-GB"/>
        </w:rPr>
        <w:t xml:space="preserve">, </w:t>
      </w:r>
      <w:r w:rsidR="005C2935" w:rsidRPr="0013512D">
        <w:rPr>
          <w:color w:val="000000" w:themeColor="text1"/>
          <w:lang w:val="en-GB"/>
        </w:rPr>
        <w:t xml:space="preserve">it is </w:t>
      </w:r>
      <w:r w:rsidRPr="0013512D">
        <w:rPr>
          <w:color w:val="000000" w:themeColor="text1"/>
          <w:lang w:val="en-GB"/>
        </w:rPr>
        <w:t xml:space="preserve">first </w:t>
      </w:r>
      <w:r w:rsidR="005C2935" w:rsidRPr="0013512D">
        <w:rPr>
          <w:color w:val="000000" w:themeColor="text1"/>
          <w:lang w:val="en-GB"/>
        </w:rPr>
        <w:t xml:space="preserve">important to recognize that </w:t>
      </w:r>
      <w:r w:rsidR="003D6F50" w:rsidRPr="0013512D">
        <w:rPr>
          <w:color w:val="000000" w:themeColor="text1"/>
          <w:lang w:val="en-GB"/>
        </w:rPr>
        <w:t>law, by its nature, is analytical and formulaic.</w:t>
      </w:r>
      <w:r w:rsidR="00910C55" w:rsidRPr="0013512D">
        <w:rPr>
          <w:color w:val="000000" w:themeColor="text1"/>
          <w:lang w:val="en-GB"/>
        </w:rPr>
        <w:t xml:space="preserve"> It is oriented towards achieving a certain definite outcome, conviction or acquittal. The principle of legal certainty requires </w:t>
      </w:r>
      <w:r w:rsidR="00120045" w:rsidRPr="0013512D">
        <w:rPr>
          <w:color w:val="000000" w:themeColor="text1"/>
          <w:lang w:val="en-GB"/>
        </w:rPr>
        <w:t xml:space="preserve">such </w:t>
      </w:r>
      <w:r w:rsidR="00910C55" w:rsidRPr="0013512D">
        <w:rPr>
          <w:color w:val="000000" w:themeColor="text1"/>
          <w:lang w:val="en-GB"/>
        </w:rPr>
        <w:t>outcome-driven approach. In contrast, reconciliation is best seen as a process.</w:t>
      </w:r>
      <w:r w:rsidR="00910C55" w:rsidRPr="0013512D">
        <w:rPr>
          <w:rStyle w:val="FootnoteReference"/>
          <w:lang w:val="en-GB"/>
        </w:rPr>
        <w:footnoteReference w:id="9"/>
      </w:r>
      <w:r w:rsidR="00910C55" w:rsidRPr="0013512D">
        <w:rPr>
          <w:lang w:val="en-GB"/>
        </w:rPr>
        <w:t xml:space="preserve"> </w:t>
      </w:r>
      <w:r w:rsidR="00675E9E" w:rsidRPr="0013512D">
        <w:rPr>
          <w:lang w:val="en-GB"/>
        </w:rPr>
        <w:t xml:space="preserve">In psychological terms, reconciliation </w:t>
      </w:r>
      <w:r w:rsidR="00675E9E" w:rsidRPr="0013512D">
        <w:rPr>
          <w:color w:val="000000" w:themeColor="text1"/>
          <w:lang w:val="en-GB"/>
        </w:rPr>
        <w:lastRenderedPageBreak/>
        <w:t>is understood as a restoration process of a union following conflict. This process is one that intends a harmonious and sustainable future between the parties involved.</w:t>
      </w:r>
      <w:r w:rsidR="00675E9E" w:rsidRPr="0013512D">
        <w:rPr>
          <w:rStyle w:val="FootnoteReference"/>
          <w:color w:val="000000" w:themeColor="text1"/>
          <w:lang w:val="en-GB"/>
        </w:rPr>
        <w:footnoteReference w:id="10"/>
      </w:r>
      <w:r w:rsidR="00675E9E" w:rsidRPr="0013512D">
        <w:rPr>
          <w:color w:val="000000" w:themeColor="text1"/>
          <w:lang w:val="en-GB"/>
        </w:rPr>
        <w:t xml:space="preserve"> </w:t>
      </w:r>
    </w:p>
    <w:p w14:paraId="33180857" w14:textId="4D0CDF15" w:rsidR="00675E9E" w:rsidRPr="0013512D" w:rsidRDefault="00675E9E" w:rsidP="009D7898">
      <w:pPr>
        <w:spacing w:line="360" w:lineRule="auto"/>
        <w:rPr>
          <w:lang w:val="en-GB"/>
        </w:rPr>
      </w:pPr>
      <w:r w:rsidRPr="0013512D">
        <w:rPr>
          <w:color w:val="000000" w:themeColor="text1"/>
          <w:lang w:val="en-GB"/>
        </w:rPr>
        <w:t>The idea of reconciliation in the field of psychology can be broken down into three main components. First, structural and political changes must be made in order to redistribute power, equity, or resources between the advantaged and disadvantaged parties. Secondly, relational exchanges and contact between the adversaries which enhances trust and alters the perceptions of the self and other must take place. Thirdly, reconciliation must include a socio-emotional healing component.</w:t>
      </w:r>
      <w:r w:rsidR="00250D87" w:rsidRPr="0013512D">
        <w:rPr>
          <w:rStyle w:val="FootnoteReference"/>
          <w:color w:val="000000" w:themeColor="text1"/>
          <w:lang w:val="en-GB"/>
        </w:rPr>
        <w:footnoteReference w:id="11"/>
      </w:r>
      <w:r w:rsidRPr="0013512D">
        <w:rPr>
          <w:color w:val="000000" w:themeColor="text1"/>
          <w:lang w:val="en-GB"/>
        </w:rPr>
        <w:t xml:space="preserve"> Simultaneous and reciprocal satisfaction of the emotional needs of the perpetrator and victim are essential to the reconciliation process. Specifically, following conflict, the psychological and emotional need of the victim or victim group is to recover a sense of power, whereas the needs of the perpetrator or perpetrator group is social acceptance. </w:t>
      </w:r>
      <w:proofErr w:type="spellStart"/>
      <w:r w:rsidRPr="0013512D">
        <w:rPr>
          <w:color w:val="000000" w:themeColor="text1"/>
          <w:lang w:val="en-GB"/>
        </w:rPr>
        <w:t>Shnabel</w:t>
      </w:r>
      <w:proofErr w:type="spellEnd"/>
      <w:r w:rsidRPr="0013512D">
        <w:rPr>
          <w:color w:val="000000" w:themeColor="text1"/>
          <w:lang w:val="en-GB"/>
        </w:rPr>
        <w:t xml:space="preserve"> and Nadler expand on this point to say that these emotional needs create barriers to reconciliation and must therefore be fulfilled. </w:t>
      </w:r>
    </w:p>
    <w:p w14:paraId="21607A89" w14:textId="77777777" w:rsidR="00675E9E" w:rsidRPr="0013512D" w:rsidRDefault="00675E9E" w:rsidP="005C247F">
      <w:pPr>
        <w:spacing w:line="360" w:lineRule="auto"/>
        <w:rPr>
          <w:lang w:val="en-GB"/>
        </w:rPr>
      </w:pPr>
    </w:p>
    <w:p w14:paraId="57FE1D1C" w14:textId="584BF96C" w:rsidR="00910C55" w:rsidRPr="0013512D" w:rsidRDefault="00507CFA" w:rsidP="005C247F">
      <w:pPr>
        <w:spacing w:line="360" w:lineRule="auto"/>
        <w:rPr>
          <w:lang w:val="en-GB"/>
        </w:rPr>
      </w:pPr>
      <w:r>
        <w:rPr>
          <w:lang w:val="en-GB"/>
        </w:rPr>
        <w:t>Thus, a</w:t>
      </w:r>
      <w:r w:rsidR="00910C55" w:rsidRPr="0013512D">
        <w:rPr>
          <w:lang w:val="en-GB"/>
        </w:rPr>
        <w:t xml:space="preserve"> process-based view of reconciliation </w:t>
      </w:r>
      <w:r w:rsidR="00675E9E" w:rsidRPr="0013512D">
        <w:rPr>
          <w:lang w:val="en-GB"/>
        </w:rPr>
        <w:t xml:space="preserve">grounded in the psychological understanding of the term </w:t>
      </w:r>
      <w:r w:rsidR="00910C55" w:rsidRPr="0013512D">
        <w:rPr>
          <w:lang w:val="en-GB"/>
        </w:rPr>
        <w:t>calls for an open-ended discussion or a discursive space within which competing concepts are mediated.</w:t>
      </w:r>
      <w:r w:rsidR="00910C55" w:rsidRPr="0013512D">
        <w:rPr>
          <w:rStyle w:val="FootnoteReference"/>
          <w:lang w:val="en-GB"/>
        </w:rPr>
        <w:footnoteReference w:id="12"/>
      </w:r>
      <w:r w:rsidR="00910C55" w:rsidRPr="0013512D">
        <w:rPr>
          <w:lang w:val="en-GB"/>
        </w:rPr>
        <w:t xml:space="preserve"> The aim is to have a dialogue with the view of forging a program of action rather than seeking to convince one another.</w:t>
      </w:r>
      <w:r w:rsidR="00910C55" w:rsidRPr="0013512D">
        <w:rPr>
          <w:rStyle w:val="FootnoteReference"/>
          <w:lang w:val="en-GB"/>
        </w:rPr>
        <w:footnoteReference w:id="13"/>
      </w:r>
      <w:r w:rsidR="00910C55" w:rsidRPr="0013512D">
        <w:rPr>
          <w:lang w:val="en-GB"/>
        </w:rPr>
        <w:t xml:space="preserve"> This vision stresses the importance of a step-by-step process of social repair in the aftermath of the atrocity.</w:t>
      </w:r>
      <w:r w:rsidR="008461DD" w:rsidRPr="0013512D">
        <w:rPr>
          <w:rStyle w:val="FootnoteReference"/>
          <w:lang w:val="en-GB"/>
        </w:rPr>
        <w:footnoteReference w:id="14"/>
      </w:r>
      <w:r w:rsidR="00910C55" w:rsidRPr="0013512D">
        <w:rPr>
          <w:lang w:val="en-GB"/>
        </w:rPr>
        <w:t xml:space="preserve"> Reconciliation viewed as a process is </w:t>
      </w:r>
      <w:r w:rsidR="00120045" w:rsidRPr="0013512D">
        <w:rPr>
          <w:lang w:val="en-GB"/>
        </w:rPr>
        <w:t>th</w:t>
      </w:r>
      <w:r w:rsidR="00BF4F2D">
        <w:rPr>
          <w:lang w:val="en-GB"/>
        </w:rPr>
        <w:t>erefore</w:t>
      </w:r>
      <w:r w:rsidR="00120045" w:rsidRPr="0013512D">
        <w:rPr>
          <w:lang w:val="en-GB"/>
        </w:rPr>
        <w:t xml:space="preserve"> </w:t>
      </w:r>
      <w:r w:rsidR="00910C55" w:rsidRPr="0013512D">
        <w:rPr>
          <w:lang w:val="en-GB"/>
        </w:rPr>
        <w:t>important for the prevention of renewed violence, which is influenced by the way survivors remember and understand what happened.</w:t>
      </w:r>
      <w:r w:rsidR="00910C55" w:rsidRPr="0013512D">
        <w:rPr>
          <w:rStyle w:val="FootnoteReference"/>
          <w:lang w:val="en-GB"/>
        </w:rPr>
        <w:footnoteReference w:id="15"/>
      </w:r>
      <w:r w:rsidR="00910C55" w:rsidRPr="0013512D">
        <w:rPr>
          <w:lang w:val="en-GB"/>
        </w:rPr>
        <w:t xml:space="preserve"> </w:t>
      </w:r>
    </w:p>
    <w:p w14:paraId="7BAF4E0B" w14:textId="4FB4A614" w:rsidR="00910C55" w:rsidRPr="0013512D" w:rsidRDefault="00910C55" w:rsidP="005C247F">
      <w:pPr>
        <w:spacing w:line="360" w:lineRule="auto"/>
        <w:rPr>
          <w:color w:val="000000" w:themeColor="text1"/>
          <w:lang w:val="en-GB"/>
        </w:rPr>
      </w:pPr>
    </w:p>
    <w:p w14:paraId="5FE66029" w14:textId="2180A841" w:rsidR="00EA4955" w:rsidRPr="0013512D" w:rsidRDefault="00910C55" w:rsidP="005C247F">
      <w:pPr>
        <w:spacing w:line="360" w:lineRule="auto"/>
        <w:rPr>
          <w:color w:val="000000" w:themeColor="text1"/>
          <w:lang w:val="en-GB"/>
        </w:rPr>
      </w:pPr>
      <w:r w:rsidRPr="0013512D">
        <w:rPr>
          <w:color w:val="000000" w:themeColor="text1"/>
          <w:lang w:val="en-GB"/>
        </w:rPr>
        <w:t>How</w:t>
      </w:r>
      <w:r w:rsidR="00120045" w:rsidRPr="0013512D">
        <w:rPr>
          <w:color w:val="000000" w:themeColor="text1"/>
          <w:lang w:val="en-GB"/>
        </w:rPr>
        <w:t xml:space="preserve"> then</w:t>
      </w:r>
      <w:r w:rsidRPr="0013512D">
        <w:rPr>
          <w:color w:val="000000" w:themeColor="text1"/>
          <w:lang w:val="en-GB"/>
        </w:rPr>
        <w:t xml:space="preserve"> to solve this outcome versus process dilemma in attaining the goal of reconciliation through </w:t>
      </w:r>
      <w:r w:rsidR="00E3132B" w:rsidRPr="0013512D">
        <w:rPr>
          <w:color w:val="000000" w:themeColor="text1"/>
          <w:lang w:val="en-GB"/>
        </w:rPr>
        <w:t>international</w:t>
      </w:r>
      <w:r w:rsidRPr="0013512D">
        <w:rPr>
          <w:color w:val="000000" w:themeColor="text1"/>
          <w:lang w:val="en-GB"/>
        </w:rPr>
        <w:t xml:space="preserve"> criminal </w:t>
      </w:r>
      <w:r w:rsidR="00675E9E" w:rsidRPr="0013512D">
        <w:rPr>
          <w:color w:val="000000" w:themeColor="text1"/>
          <w:lang w:val="en-GB"/>
        </w:rPr>
        <w:t>justice</w:t>
      </w:r>
      <w:r w:rsidRPr="0013512D">
        <w:rPr>
          <w:color w:val="000000" w:themeColor="text1"/>
          <w:lang w:val="en-GB"/>
        </w:rPr>
        <w:t xml:space="preserve">? </w:t>
      </w:r>
      <w:r w:rsidR="003D6F50" w:rsidRPr="0013512D">
        <w:rPr>
          <w:color w:val="000000" w:themeColor="text1"/>
          <w:lang w:val="en-GB"/>
        </w:rPr>
        <w:t xml:space="preserve">What is needed, for the sake of </w:t>
      </w:r>
      <w:r w:rsidR="003D6F50" w:rsidRPr="0013512D">
        <w:rPr>
          <w:color w:val="000000" w:themeColor="text1"/>
          <w:lang w:val="en-GB"/>
        </w:rPr>
        <w:lastRenderedPageBreak/>
        <w:t>reconciliation, is a ‘bridge’ between the black letter of law and the values it tries to impart.</w:t>
      </w:r>
      <w:r w:rsidR="00DC5FC8" w:rsidRPr="0013512D">
        <w:rPr>
          <w:color w:val="000000" w:themeColor="text1"/>
          <w:lang w:val="en-GB"/>
        </w:rPr>
        <w:t xml:space="preserve"> </w:t>
      </w:r>
      <w:r w:rsidR="009C4FEC" w:rsidRPr="0013512D">
        <w:rPr>
          <w:color w:val="000000" w:themeColor="text1"/>
          <w:lang w:val="en-GB"/>
        </w:rPr>
        <w:t>In this article, we argue that a</w:t>
      </w:r>
      <w:r w:rsidR="003D6F50" w:rsidRPr="0013512D">
        <w:rPr>
          <w:color w:val="000000" w:themeColor="text1"/>
          <w:lang w:val="en-GB"/>
        </w:rPr>
        <w:t xml:space="preserve">rt can be used as a tool to communicate the values of international criminal </w:t>
      </w:r>
      <w:r w:rsidR="00675E9E" w:rsidRPr="0013512D">
        <w:rPr>
          <w:color w:val="000000" w:themeColor="text1"/>
          <w:lang w:val="en-GB"/>
        </w:rPr>
        <w:t xml:space="preserve">justice </w:t>
      </w:r>
      <w:r w:rsidR="003D6F50" w:rsidRPr="0013512D">
        <w:rPr>
          <w:color w:val="000000" w:themeColor="text1"/>
          <w:lang w:val="en-GB"/>
        </w:rPr>
        <w:t>to a wider audience, beyond the legal community</w:t>
      </w:r>
      <w:r w:rsidR="005C2935" w:rsidRPr="0013512D">
        <w:rPr>
          <w:color w:val="000000" w:themeColor="text1"/>
          <w:lang w:val="en-GB"/>
        </w:rPr>
        <w:t>, and in a more digestible format</w:t>
      </w:r>
      <w:r w:rsidR="003D6F50" w:rsidRPr="0013512D">
        <w:rPr>
          <w:color w:val="000000" w:themeColor="text1"/>
          <w:lang w:val="en-GB"/>
        </w:rPr>
        <w:t xml:space="preserve">. </w:t>
      </w:r>
      <w:r w:rsidR="00120045" w:rsidRPr="0013512D">
        <w:rPr>
          <w:color w:val="000000" w:themeColor="text1"/>
          <w:lang w:val="en-GB"/>
        </w:rPr>
        <w:t>This process of ‘translating’ law can</w:t>
      </w:r>
      <w:r w:rsidR="003A1668" w:rsidRPr="0013512D">
        <w:rPr>
          <w:color w:val="000000" w:themeColor="text1"/>
          <w:lang w:val="en-GB"/>
        </w:rPr>
        <w:t>,</w:t>
      </w:r>
      <w:r w:rsidR="0066343B" w:rsidRPr="0013512D">
        <w:rPr>
          <w:color w:val="000000" w:themeColor="text1"/>
          <w:lang w:val="en-GB"/>
        </w:rPr>
        <w:t xml:space="preserve"> in turn</w:t>
      </w:r>
      <w:r w:rsidR="003A1668" w:rsidRPr="0013512D">
        <w:rPr>
          <w:color w:val="000000" w:themeColor="text1"/>
          <w:lang w:val="en-GB"/>
        </w:rPr>
        <w:t>,</w:t>
      </w:r>
      <w:r w:rsidR="00120045" w:rsidRPr="0013512D">
        <w:rPr>
          <w:color w:val="000000" w:themeColor="text1"/>
          <w:lang w:val="en-GB"/>
        </w:rPr>
        <w:t xml:space="preserve"> contribute to reconciliation</w:t>
      </w:r>
      <w:r w:rsidR="0066343B" w:rsidRPr="0013512D">
        <w:rPr>
          <w:color w:val="000000" w:themeColor="text1"/>
          <w:lang w:val="en-GB"/>
        </w:rPr>
        <w:t xml:space="preserve">. </w:t>
      </w:r>
      <w:r w:rsidR="00FB0687" w:rsidRPr="0013512D">
        <w:rPr>
          <w:color w:val="000000" w:themeColor="text1"/>
          <w:lang w:val="en-GB"/>
        </w:rPr>
        <w:t xml:space="preserve">Our claim is not merely related to strengthening ‘outreach’ efforts by judiciary. It goes further to explore how international criminal </w:t>
      </w:r>
      <w:r w:rsidR="00675E9E" w:rsidRPr="0013512D">
        <w:rPr>
          <w:color w:val="000000" w:themeColor="text1"/>
          <w:lang w:val="en-GB"/>
        </w:rPr>
        <w:t xml:space="preserve">justice </w:t>
      </w:r>
      <w:r w:rsidR="00FB0687" w:rsidRPr="0013512D">
        <w:rPr>
          <w:color w:val="000000" w:themeColor="text1"/>
          <w:lang w:val="en-GB"/>
        </w:rPr>
        <w:t xml:space="preserve">and art can complement each other </w:t>
      </w:r>
      <w:r w:rsidR="00121F23" w:rsidRPr="0013512D">
        <w:rPr>
          <w:color w:val="000000" w:themeColor="text1"/>
          <w:lang w:val="en-GB"/>
        </w:rPr>
        <w:t>in bringing positive change at the societal level.</w:t>
      </w:r>
      <w:r w:rsidR="00675E9E" w:rsidRPr="0013512D">
        <w:rPr>
          <w:color w:val="000000" w:themeColor="text1"/>
          <w:lang w:val="en-GB"/>
        </w:rPr>
        <w:t xml:space="preserve"> </w:t>
      </w:r>
      <w:r w:rsidR="00BF4F2D" w:rsidRPr="0013512D">
        <w:rPr>
          <w:color w:val="000000" w:themeColor="text1"/>
          <w:lang w:val="en-GB"/>
        </w:rPr>
        <w:t>Channelling</w:t>
      </w:r>
      <w:r w:rsidR="004B452E" w:rsidRPr="0013512D">
        <w:rPr>
          <w:color w:val="000000" w:themeColor="text1"/>
          <w:lang w:val="en-GB"/>
        </w:rPr>
        <w:t xml:space="preserve"> the message of international criminal justice </w:t>
      </w:r>
      <w:r w:rsidR="0066343B" w:rsidRPr="0013512D">
        <w:rPr>
          <w:color w:val="000000" w:themeColor="text1"/>
          <w:lang w:val="en-GB"/>
        </w:rPr>
        <w:t xml:space="preserve">through art </w:t>
      </w:r>
      <w:r w:rsidR="004B452E" w:rsidRPr="0013512D">
        <w:rPr>
          <w:color w:val="000000" w:themeColor="text1"/>
          <w:lang w:val="en-GB"/>
        </w:rPr>
        <w:t>is particularly helpful in facilitating relational exchanges between the adversaries and socio-emotional healing (second and third aspect of reconciliation discussed above).</w:t>
      </w:r>
    </w:p>
    <w:p w14:paraId="7DDCA896" w14:textId="07F030A3" w:rsidR="00120045" w:rsidRPr="0013512D" w:rsidRDefault="00120045" w:rsidP="005C247F">
      <w:pPr>
        <w:spacing w:line="360" w:lineRule="auto"/>
        <w:rPr>
          <w:color w:val="000000" w:themeColor="text1"/>
          <w:lang w:val="en-GB"/>
        </w:rPr>
      </w:pPr>
    </w:p>
    <w:p w14:paraId="331053F5" w14:textId="5FB305C0" w:rsidR="00EA4955" w:rsidRPr="0013512D" w:rsidRDefault="00EA4955" w:rsidP="005C247F">
      <w:pPr>
        <w:spacing w:line="360" w:lineRule="auto"/>
        <w:rPr>
          <w:color w:val="000000" w:themeColor="text1"/>
          <w:lang w:val="en-GB"/>
        </w:rPr>
      </w:pPr>
      <w:r w:rsidRPr="0013512D">
        <w:rPr>
          <w:color w:val="000000" w:themeColor="text1"/>
          <w:lang w:val="en-GB"/>
        </w:rPr>
        <w:t xml:space="preserve">Prior to </w:t>
      </w:r>
      <w:r w:rsidR="00E55756" w:rsidRPr="0013512D">
        <w:rPr>
          <w:color w:val="000000" w:themeColor="text1"/>
          <w:lang w:val="en-GB"/>
        </w:rPr>
        <w:t xml:space="preserve">further developing </w:t>
      </w:r>
      <w:r w:rsidRPr="0013512D">
        <w:rPr>
          <w:color w:val="000000" w:themeColor="text1"/>
          <w:lang w:val="en-GB"/>
        </w:rPr>
        <w:t>our argument, we wish to explain the choice of terminology, as well as our specific focus</w:t>
      </w:r>
      <w:r w:rsidR="00826485" w:rsidRPr="0013512D">
        <w:rPr>
          <w:color w:val="000000" w:themeColor="text1"/>
          <w:lang w:val="en-GB"/>
        </w:rPr>
        <w:t xml:space="preserve"> </w:t>
      </w:r>
      <w:r w:rsidRPr="0013512D">
        <w:rPr>
          <w:color w:val="000000" w:themeColor="text1"/>
          <w:lang w:val="en-GB"/>
        </w:rPr>
        <w:t>in this article. There is a nascent field of study exploring the connection between art and transitional justice.</w:t>
      </w:r>
      <w:r w:rsidR="009F3BC9" w:rsidRPr="0013512D">
        <w:rPr>
          <w:rStyle w:val="FootnoteReference"/>
          <w:color w:val="000000" w:themeColor="text1"/>
          <w:lang w:val="en-GB"/>
        </w:rPr>
        <w:footnoteReference w:id="16"/>
      </w:r>
      <w:r w:rsidRPr="0013512D">
        <w:rPr>
          <w:color w:val="000000" w:themeColor="text1"/>
          <w:lang w:val="en-GB"/>
        </w:rPr>
        <w:t xml:space="preserve"> </w:t>
      </w:r>
      <w:r w:rsidR="002A7D6A" w:rsidRPr="0013512D">
        <w:rPr>
          <w:color w:val="000000" w:themeColor="text1"/>
          <w:lang w:val="en-GB"/>
        </w:rPr>
        <w:t xml:space="preserve">As the discipline starts to evolve, there is a tendency to compartmentalize the discussion by focusing on the specific form of art, </w:t>
      </w:r>
      <w:r w:rsidR="00826485" w:rsidRPr="0013512D">
        <w:rPr>
          <w:color w:val="000000" w:themeColor="text1"/>
          <w:lang w:val="en-GB"/>
        </w:rPr>
        <w:t xml:space="preserve">its </w:t>
      </w:r>
      <w:r w:rsidR="002A7D6A" w:rsidRPr="0013512D">
        <w:rPr>
          <w:color w:val="000000" w:themeColor="text1"/>
          <w:lang w:val="en-GB"/>
        </w:rPr>
        <w:t xml:space="preserve">concrete location or a unique paradigm of assessing the role of art and aesthetics in </w:t>
      </w:r>
      <w:r w:rsidR="00826485" w:rsidRPr="0013512D">
        <w:rPr>
          <w:color w:val="000000" w:themeColor="text1"/>
          <w:lang w:val="en-GB"/>
        </w:rPr>
        <w:t xml:space="preserve">facilitating </w:t>
      </w:r>
      <w:r w:rsidR="006621E3" w:rsidRPr="0013512D">
        <w:rPr>
          <w:color w:val="000000" w:themeColor="text1"/>
          <w:lang w:val="en-GB"/>
        </w:rPr>
        <w:t xml:space="preserve">the </w:t>
      </w:r>
      <w:r w:rsidR="00826485" w:rsidRPr="0013512D">
        <w:rPr>
          <w:color w:val="000000" w:themeColor="text1"/>
          <w:lang w:val="en-GB"/>
        </w:rPr>
        <w:t>transition</w:t>
      </w:r>
      <w:r w:rsidR="002A7D6A" w:rsidRPr="0013512D">
        <w:rPr>
          <w:color w:val="000000" w:themeColor="text1"/>
          <w:lang w:val="en-GB"/>
        </w:rPr>
        <w:t xml:space="preserve"> in the aftermath of atrocities.</w:t>
      </w:r>
      <w:r w:rsidR="002A7D6A" w:rsidRPr="0013512D">
        <w:rPr>
          <w:rStyle w:val="FootnoteReference"/>
          <w:color w:val="000000" w:themeColor="text1"/>
          <w:lang w:val="en-GB"/>
        </w:rPr>
        <w:footnoteReference w:id="17"/>
      </w:r>
      <w:r w:rsidR="002A7D6A" w:rsidRPr="0013512D">
        <w:rPr>
          <w:color w:val="000000" w:themeColor="text1"/>
          <w:lang w:val="en-GB"/>
        </w:rPr>
        <w:t xml:space="preserve"> </w:t>
      </w:r>
      <w:r w:rsidR="00826485" w:rsidRPr="0013512D">
        <w:rPr>
          <w:color w:val="000000" w:themeColor="text1"/>
          <w:lang w:val="en-GB"/>
        </w:rPr>
        <w:t xml:space="preserve">In light of this trend, </w:t>
      </w:r>
      <w:r w:rsidR="007E3571" w:rsidRPr="0013512D">
        <w:rPr>
          <w:color w:val="000000" w:themeColor="text1"/>
          <w:lang w:val="en-GB"/>
        </w:rPr>
        <w:t xml:space="preserve">Eliza Garnsey observes the need for a thicker conception of art and transitional justice, which acknowledges the limitations brought about by </w:t>
      </w:r>
      <w:r w:rsidR="00A5175E" w:rsidRPr="0013512D">
        <w:rPr>
          <w:color w:val="000000" w:themeColor="text1"/>
          <w:lang w:val="en-GB"/>
        </w:rPr>
        <w:t>such segmentation</w:t>
      </w:r>
      <w:r w:rsidR="007E3571" w:rsidRPr="0013512D">
        <w:rPr>
          <w:color w:val="000000" w:themeColor="text1"/>
          <w:lang w:val="en-GB"/>
        </w:rPr>
        <w:t>.</w:t>
      </w:r>
      <w:r w:rsidR="007E3571" w:rsidRPr="0013512D">
        <w:rPr>
          <w:rStyle w:val="FootnoteReference"/>
          <w:color w:val="000000" w:themeColor="text1"/>
          <w:lang w:val="en-GB"/>
        </w:rPr>
        <w:footnoteReference w:id="18"/>
      </w:r>
      <w:r w:rsidR="008101CF" w:rsidRPr="0013512D">
        <w:rPr>
          <w:color w:val="000000" w:themeColor="text1"/>
          <w:lang w:val="en-GB"/>
        </w:rPr>
        <w:t xml:space="preserve"> There are three ways in which this article seeks both to contribute to the emerging field and also to distinguish itself from the existing works. </w:t>
      </w:r>
    </w:p>
    <w:p w14:paraId="2DE25421" w14:textId="2771304B" w:rsidR="008101CF" w:rsidRPr="0013512D" w:rsidRDefault="008101CF" w:rsidP="005C247F">
      <w:pPr>
        <w:spacing w:line="360" w:lineRule="auto"/>
        <w:rPr>
          <w:color w:val="000000" w:themeColor="text1"/>
          <w:lang w:val="en-GB"/>
        </w:rPr>
      </w:pPr>
    </w:p>
    <w:p w14:paraId="150ED595" w14:textId="0D81A8BB" w:rsidR="001C6842" w:rsidRPr="0013512D" w:rsidRDefault="008101CF">
      <w:pPr>
        <w:spacing w:line="360" w:lineRule="auto"/>
        <w:rPr>
          <w:lang w:val="en-GB"/>
        </w:rPr>
      </w:pPr>
      <w:r w:rsidRPr="0013512D">
        <w:rPr>
          <w:color w:val="000000" w:themeColor="text1"/>
          <w:lang w:val="en-GB"/>
        </w:rPr>
        <w:t xml:space="preserve">Firstly, we </w:t>
      </w:r>
      <w:r w:rsidR="001C6842" w:rsidRPr="0013512D">
        <w:rPr>
          <w:color w:val="000000" w:themeColor="text1"/>
          <w:lang w:val="en-GB"/>
        </w:rPr>
        <w:t>are conscious about the</w:t>
      </w:r>
      <w:r w:rsidR="00826485" w:rsidRPr="0013512D">
        <w:rPr>
          <w:color w:val="000000" w:themeColor="text1"/>
          <w:lang w:val="en-GB"/>
        </w:rPr>
        <w:t xml:space="preserve"> choice of </w:t>
      </w:r>
      <w:r w:rsidR="009F3BC9" w:rsidRPr="0013512D">
        <w:rPr>
          <w:color w:val="000000" w:themeColor="text1"/>
          <w:lang w:val="en-GB"/>
        </w:rPr>
        <w:t xml:space="preserve">language </w:t>
      </w:r>
      <w:r w:rsidR="00826485" w:rsidRPr="0013512D">
        <w:rPr>
          <w:color w:val="000000" w:themeColor="text1"/>
          <w:lang w:val="en-GB"/>
        </w:rPr>
        <w:t xml:space="preserve">in this </w:t>
      </w:r>
      <w:r w:rsidR="00BF4F2D">
        <w:rPr>
          <w:color w:val="000000" w:themeColor="text1"/>
          <w:lang w:val="en-GB"/>
        </w:rPr>
        <w:t>paper</w:t>
      </w:r>
      <w:r w:rsidR="00826485" w:rsidRPr="0013512D">
        <w:rPr>
          <w:color w:val="000000" w:themeColor="text1"/>
          <w:lang w:val="en-GB"/>
        </w:rPr>
        <w:t xml:space="preserve">. We </w:t>
      </w:r>
      <w:r w:rsidR="00392CFE" w:rsidRPr="0013512D">
        <w:rPr>
          <w:color w:val="000000" w:themeColor="text1"/>
          <w:lang w:val="en-GB"/>
        </w:rPr>
        <w:t xml:space="preserve">refer to the connection between art and </w:t>
      </w:r>
      <w:r w:rsidR="009F3BC9" w:rsidRPr="0013512D">
        <w:rPr>
          <w:color w:val="000000" w:themeColor="text1"/>
          <w:lang w:val="en-GB"/>
        </w:rPr>
        <w:t>‘international criminal law’ and ‘international criminal justice’ as opposed to ‘transitional justice’.</w:t>
      </w:r>
      <w:r w:rsidR="00D220CE" w:rsidRPr="0013512D">
        <w:rPr>
          <w:color w:val="000000" w:themeColor="text1"/>
          <w:lang w:val="en-GB"/>
        </w:rPr>
        <w:t xml:space="preserve"> </w:t>
      </w:r>
      <w:r w:rsidR="00F71F7A" w:rsidRPr="0013512D">
        <w:rPr>
          <w:color w:val="000000" w:themeColor="text1"/>
          <w:lang w:val="en-GB"/>
        </w:rPr>
        <w:t>All three</w:t>
      </w:r>
      <w:r w:rsidR="001C49B9" w:rsidRPr="0013512D">
        <w:rPr>
          <w:color w:val="000000" w:themeColor="text1"/>
          <w:lang w:val="en-GB"/>
        </w:rPr>
        <w:t xml:space="preserve"> concepts </w:t>
      </w:r>
      <w:r w:rsidR="0020262B" w:rsidRPr="0013512D">
        <w:rPr>
          <w:color w:val="000000" w:themeColor="text1"/>
          <w:lang w:val="en-GB"/>
        </w:rPr>
        <w:t>embody a plethora of</w:t>
      </w:r>
      <w:r w:rsidR="001C49B9" w:rsidRPr="0013512D">
        <w:rPr>
          <w:color w:val="000000" w:themeColor="text1"/>
          <w:lang w:val="en-GB"/>
        </w:rPr>
        <w:t xml:space="preserve"> definitions</w:t>
      </w:r>
      <w:r w:rsidR="0020262B" w:rsidRPr="0013512D">
        <w:rPr>
          <w:color w:val="000000" w:themeColor="text1"/>
          <w:lang w:val="en-GB"/>
        </w:rPr>
        <w:t>, to the extent that they become a ‘moving target’</w:t>
      </w:r>
      <w:r w:rsidR="001C49B9" w:rsidRPr="0013512D">
        <w:rPr>
          <w:color w:val="000000" w:themeColor="text1"/>
          <w:lang w:val="en-GB"/>
        </w:rPr>
        <w:t xml:space="preserve">. For instance, the UN report defines transitional justice as “the full range of [juridical and non-juridical] </w:t>
      </w:r>
      <w:r w:rsidR="001C49B9" w:rsidRPr="0013512D">
        <w:rPr>
          <w:rFonts w:eastAsiaTheme="minorHAnsi"/>
          <w:color w:val="000000" w:themeColor="text1"/>
          <w:lang w:val="en-GB"/>
        </w:rPr>
        <w:t>processes and mechanisms associated with a society</w:t>
      </w:r>
      <w:r w:rsidR="001C49B9" w:rsidRPr="0013512D">
        <w:rPr>
          <w:color w:val="000000" w:themeColor="text1"/>
          <w:lang w:val="en-GB"/>
        </w:rPr>
        <w:t>’s</w:t>
      </w:r>
      <w:r w:rsidR="001C49B9" w:rsidRPr="0013512D">
        <w:rPr>
          <w:rFonts w:eastAsiaTheme="minorHAnsi"/>
          <w:color w:val="000000" w:themeColor="text1"/>
          <w:lang w:val="en-GB"/>
        </w:rPr>
        <w:t xml:space="preserve"> attempts to come to terms with a </w:t>
      </w:r>
      <w:r w:rsidR="001C49B9" w:rsidRPr="0013512D">
        <w:rPr>
          <w:rFonts w:eastAsiaTheme="minorHAnsi"/>
          <w:color w:val="000000" w:themeColor="text1"/>
          <w:lang w:val="en-GB"/>
        </w:rPr>
        <w:lastRenderedPageBreak/>
        <w:t>legacy of large-scale past abuses, in order to ensure accountability, serve justice and achieve reconciliation</w:t>
      </w:r>
      <w:r w:rsidR="001C49B9" w:rsidRPr="0013512D">
        <w:rPr>
          <w:lang w:val="en-GB"/>
        </w:rPr>
        <w:t>.”</w:t>
      </w:r>
      <w:r w:rsidR="001C49B9" w:rsidRPr="0013512D">
        <w:rPr>
          <w:rStyle w:val="FootnoteReference"/>
          <w:lang w:val="en-GB"/>
        </w:rPr>
        <w:footnoteReference w:id="19"/>
      </w:r>
      <w:r w:rsidR="008C58BA" w:rsidRPr="0013512D">
        <w:rPr>
          <w:lang w:val="en-GB"/>
        </w:rPr>
        <w:t xml:space="preserve"> International criminal law is traditionally understood more narrowly as one of the ‘tools’ in the toolbox of transitional justice</w:t>
      </w:r>
      <w:r w:rsidR="00B04D1A" w:rsidRPr="0013512D">
        <w:rPr>
          <w:rStyle w:val="FootnoteReference"/>
          <w:lang w:val="en-GB"/>
        </w:rPr>
        <w:footnoteReference w:id="20"/>
      </w:r>
      <w:r w:rsidR="00B04D1A" w:rsidRPr="0013512D">
        <w:rPr>
          <w:lang w:val="en-GB"/>
        </w:rPr>
        <w:t xml:space="preserve"> </w:t>
      </w:r>
      <w:r w:rsidR="00F03ADC" w:rsidRPr="0013512D">
        <w:rPr>
          <w:lang w:val="en-GB"/>
        </w:rPr>
        <w:t xml:space="preserve"> – a legal discipline that has at its core fight against impunity for war crimes, crimes against humanity, and genocide</w:t>
      </w:r>
      <w:r w:rsidR="008C58BA" w:rsidRPr="0013512D">
        <w:rPr>
          <w:lang w:val="en-GB"/>
        </w:rPr>
        <w:t>. International criminal justice, in turn, refer</w:t>
      </w:r>
      <w:r w:rsidR="00392CFE" w:rsidRPr="0013512D">
        <w:rPr>
          <w:lang w:val="en-GB"/>
        </w:rPr>
        <w:t>s</w:t>
      </w:r>
      <w:r w:rsidR="008C58BA" w:rsidRPr="0013512D">
        <w:rPr>
          <w:lang w:val="en-GB"/>
        </w:rPr>
        <w:t xml:space="preserve"> to a set of practices and institutions engaged in </w:t>
      </w:r>
      <w:r w:rsidR="007F6DF3" w:rsidRPr="0013512D">
        <w:rPr>
          <w:lang w:val="en-GB"/>
        </w:rPr>
        <w:t xml:space="preserve">the </w:t>
      </w:r>
      <w:r w:rsidR="008C58BA" w:rsidRPr="0013512D">
        <w:rPr>
          <w:lang w:val="en-GB"/>
        </w:rPr>
        <w:t>administration of international criminal law</w:t>
      </w:r>
      <w:r w:rsidR="00392CFE" w:rsidRPr="0013512D">
        <w:rPr>
          <w:lang w:val="en-GB"/>
        </w:rPr>
        <w:t xml:space="preserve">, which is also inclusive of the law itself. </w:t>
      </w:r>
      <w:r w:rsidR="003A1668" w:rsidRPr="0013512D">
        <w:rPr>
          <w:lang w:val="en-GB"/>
        </w:rPr>
        <w:t>In comparative terms, t</w:t>
      </w:r>
      <w:r w:rsidR="00904201" w:rsidRPr="0013512D">
        <w:rPr>
          <w:lang w:val="en-GB"/>
        </w:rPr>
        <w:t>ransitional justice</w:t>
      </w:r>
      <w:r w:rsidR="007F6DF3" w:rsidRPr="0013512D">
        <w:rPr>
          <w:lang w:val="en-GB"/>
        </w:rPr>
        <w:t xml:space="preserve"> as a field</w:t>
      </w:r>
      <w:r w:rsidR="00904201" w:rsidRPr="0013512D">
        <w:rPr>
          <w:lang w:val="en-GB"/>
        </w:rPr>
        <w:t xml:space="preserve"> </w:t>
      </w:r>
      <w:r w:rsidR="001A7E57" w:rsidRPr="0013512D">
        <w:rPr>
          <w:lang w:val="en-GB"/>
        </w:rPr>
        <w:t>is</w:t>
      </w:r>
      <w:r w:rsidR="00904201" w:rsidRPr="0013512D">
        <w:rPr>
          <w:lang w:val="en-GB"/>
        </w:rPr>
        <w:t xml:space="preserve"> procedural in nature</w:t>
      </w:r>
      <w:r w:rsidR="003A1668" w:rsidRPr="0013512D">
        <w:rPr>
          <w:lang w:val="en-GB"/>
        </w:rPr>
        <w:t>.</w:t>
      </w:r>
      <w:r w:rsidR="00904201" w:rsidRPr="0013512D">
        <w:rPr>
          <w:rStyle w:val="FootnoteReference"/>
          <w:lang w:val="en-GB"/>
        </w:rPr>
        <w:footnoteReference w:id="21"/>
      </w:r>
      <w:r w:rsidR="00904201" w:rsidRPr="0013512D">
        <w:rPr>
          <w:lang w:val="en-GB"/>
        </w:rPr>
        <w:t xml:space="preserve"> </w:t>
      </w:r>
      <w:r w:rsidR="003A1668" w:rsidRPr="0013512D">
        <w:rPr>
          <w:lang w:val="en-GB"/>
        </w:rPr>
        <w:t>I</w:t>
      </w:r>
      <w:r w:rsidR="00862617" w:rsidRPr="0013512D">
        <w:rPr>
          <w:lang w:val="en-GB"/>
        </w:rPr>
        <w:t xml:space="preserve">t </w:t>
      </w:r>
      <w:r w:rsidR="007F6DF3" w:rsidRPr="0013512D">
        <w:rPr>
          <w:lang w:val="en-GB"/>
        </w:rPr>
        <w:t>look</w:t>
      </w:r>
      <w:r w:rsidR="003A1668" w:rsidRPr="0013512D">
        <w:rPr>
          <w:lang w:val="en-GB"/>
        </w:rPr>
        <w:t>s</w:t>
      </w:r>
      <w:r w:rsidR="007F6DF3" w:rsidRPr="0013512D">
        <w:rPr>
          <w:lang w:val="en-GB"/>
        </w:rPr>
        <w:t xml:space="preserve"> </w:t>
      </w:r>
      <w:r w:rsidR="00904201" w:rsidRPr="0013512D">
        <w:rPr>
          <w:lang w:val="en-GB"/>
        </w:rPr>
        <w:t>forward</w:t>
      </w:r>
      <w:r w:rsidR="007F6DF3" w:rsidRPr="0013512D">
        <w:rPr>
          <w:lang w:val="en-GB"/>
        </w:rPr>
        <w:t xml:space="preserve"> to the transformation and backward</w:t>
      </w:r>
      <w:r w:rsidR="00F4081A" w:rsidRPr="0013512D">
        <w:rPr>
          <w:lang w:val="en-GB"/>
        </w:rPr>
        <w:t>s</w:t>
      </w:r>
      <w:r w:rsidR="007F6DF3" w:rsidRPr="0013512D">
        <w:rPr>
          <w:lang w:val="en-GB"/>
        </w:rPr>
        <w:t xml:space="preserve"> to</w:t>
      </w:r>
      <w:r w:rsidR="00F07B57" w:rsidRPr="0013512D">
        <w:rPr>
          <w:lang w:val="en-GB"/>
        </w:rPr>
        <w:t xml:space="preserve"> the</w:t>
      </w:r>
      <w:r w:rsidR="007F6DF3" w:rsidRPr="0013512D">
        <w:rPr>
          <w:lang w:val="en-GB"/>
        </w:rPr>
        <w:t xml:space="preserve"> repair</w:t>
      </w:r>
      <w:r w:rsidR="00BF4F2D" w:rsidRPr="0013512D">
        <w:rPr>
          <w:rStyle w:val="FootnoteReference"/>
          <w:lang w:val="en-GB"/>
        </w:rPr>
        <w:footnoteReference w:id="22"/>
      </w:r>
      <w:r w:rsidR="003A1668" w:rsidRPr="0013512D">
        <w:rPr>
          <w:lang w:val="en-GB"/>
        </w:rPr>
        <w:t xml:space="preserve"> and</w:t>
      </w:r>
      <w:r w:rsidR="007F6DF3" w:rsidRPr="0013512D">
        <w:rPr>
          <w:lang w:val="en-GB"/>
        </w:rPr>
        <w:t xml:space="preserve"> </w:t>
      </w:r>
      <w:r w:rsidR="003A1668" w:rsidRPr="0013512D">
        <w:rPr>
          <w:lang w:val="en-GB"/>
        </w:rPr>
        <w:t>it</w:t>
      </w:r>
      <w:r w:rsidR="00BF4F2D">
        <w:rPr>
          <w:lang w:val="en-GB"/>
        </w:rPr>
        <w:t xml:space="preserve"> </w:t>
      </w:r>
      <w:r w:rsidR="00F07B57" w:rsidRPr="0013512D">
        <w:rPr>
          <w:lang w:val="en-GB"/>
        </w:rPr>
        <w:t xml:space="preserve">exhibits a </w:t>
      </w:r>
      <w:r w:rsidR="007F6DF3" w:rsidRPr="0013512D">
        <w:rPr>
          <w:lang w:val="en-GB"/>
        </w:rPr>
        <w:t>heavy bias towards institution</w:t>
      </w:r>
      <w:r w:rsidR="00F07B57" w:rsidRPr="0013512D">
        <w:rPr>
          <w:lang w:val="en-GB"/>
        </w:rPr>
        <w:t>al responses to mass atrocities</w:t>
      </w:r>
      <w:r w:rsidR="007F6DF3" w:rsidRPr="0013512D">
        <w:rPr>
          <w:lang w:val="en-GB"/>
        </w:rPr>
        <w:t>.</w:t>
      </w:r>
      <w:r w:rsidR="007F6DF3" w:rsidRPr="0013512D">
        <w:rPr>
          <w:rStyle w:val="FootnoteReference"/>
          <w:lang w:val="en-GB"/>
        </w:rPr>
        <w:footnoteReference w:id="23"/>
      </w:r>
      <w:r w:rsidR="007F6DF3" w:rsidRPr="0013512D">
        <w:rPr>
          <w:lang w:val="en-GB"/>
        </w:rPr>
        <w:t xml:space="preserve"> </w:t>
      </w:r>
      <w:r w:rsidR="00904201" w:rsidRPr="0013512D">
        <w:rPr>
          <w:lang w:val="en-GB"/>
        </w:rPr>
        <w:t xml:space="preserve">In contrast, </w:t>
      </w:r>
      <w:r w:rsidR="007F6DF3" w:rsidRPr="0013512D">
        <w:rPr>
          <w:lang w:val="en-GB"/>
        </w:rPr>
        <w:t>international criminal justice is more normative and outcome oriented.</w:t>
      </w:r>
      <w:r w:rsidR="001A7E57" w:rsidRPr="0013512D">
        <w:rPr>
          <w:rStyle w:val="FootnoteReference"/>
          <w:lang w:val="en-GB"/>
        </w:rPr>
        <w:footnoteReference w:id="24"/>
      </w:r>
      <w:r w:rsidR="007F6DF3" w:rsidRPr="0013512D">
        <w:rPr>
          <w:lang w:val="en-GB"/>
        </w:rPr>
        <w:t xml:space="preserve"> </w:t>
      </w:r>
      <w:r w:rsidR="00F07B57" w:rsidRPr="0013512D">
        <w:rPr>
          <w:lang w:val="en-GB"/>
        </w:rPr>
        <w:t xml:space="preserve">It aspires to set standards through law. </w:t>
      </w:r>
      <w:r w:rsidR="00E952D7" w:rsidRPr="0013512D">
        <w:rPr>
          <w:lang w:val="en-GB"/>
        </w:rPr>
        <w:t>These categories are not set in stone, however</w:t>
      </w:r>
      <w:r w:rsidR="001A7E57" w:rsidRPr="0013512D">
        <w:rPr>
          <w:lang w:val="en-GB"/>
        </w:rPr>
        <w:t>.</w:t>
      </w:r>
      <w:r w:rsidR="00E952D7" w:rsidRPr="0013512D">
        <w:rPr>
          <w:lang w:val="en-GB"/>
        </w:rPr>
        <w:t xml:space="preserve"> </w:t>
      </w:r>
      <w:r w:rsidR="00D22BB3" w:rsidRPr="0013512D">
        <w:rPr>
          <w:lang w:val="en-GB"/>
        </w:rPr>
        <w:t xml:space="preserve">Christine </w:t>
      </w:r>
      <w:proofErr w:type="spellStart"/>
      <w:r w:rsidR="00D22BB3" w:rsidRPr="0013512D">
        <w:rPr>
          <w:lang w:val="en-GB"/>
        </w:rPr>
        <w:t>Schwöbel-Patel</w:t>
      </w:r>
      <w:proofErr w:type="spellEnd"/>
      <w:r w:rsidR="00D22BB3" w:rsidRPr="0013512D">
        <w:rPr>
          <w:lang w:val="en-GB"/>
        </w:rPr>
        <w:t xml:space="preserve"> </w:t>
      </w:r>
      <w:r w:rsidR="001A7E57" w:rsidRPr="0013512D">
        <w:rPr>
          <w:lang w:val="en-GB"/>
        </w:rPr>
        <w:t xml:space="preserve">even submits </w:t>
      </w:r>
      <w:r w:rsidR="00D22BB3" w:rsidRPr="0013512D">
        <w:rPr>
          <w:lang w:val="en-GB"/>
        </w:rPr>
        <w:t xml:space="preserve">that the field of international criminal law has appropriated </w:t>
      </w:r>
      <w:r w:rsidR="00904201" w:rsidRPr="0013512D">
        <w:rPr>
          <w:lang w:val="en-GB"/>
        </w:rPr>
        <w:t xml:space="preserve">the </w:t>
      </w:r>
      <w:r w:rsidR="00D22BB3" w:rsidRPr="0013512D">
        <w:rPr>
          <w:lang w:val="en-GB"/>
        </w:rPr>
        <w:t>vocabulary, mechanisms and understandings of transitional justice, arguably “swallowing the field”.</w:t>
      </w:r>
      <w:r w:rsidR="00D22BB3" w:rsidRPr="0013512D">
        <w:rPr>
          <w:rStyle w:val="FootnoteReference"/>
          <w:lang w:val="en-GB"/>
        </w:rPr>
        <w:footnoteReference w:id="25"/>
      </w:r>
      <w:r w:rsidR="007F6DF3" w:rsidRPr="0013512D">
        <w:rPr>
          <w:lang w:val="en-GB"/>
        </w:rPr>
        <w:t xml:space="preserve"> </w:t>
      </w:r>
    </w:p>
    <w:p w14:paraId="0FED9E12" w14:textId="77777777" w:rsidR="001C6842" w:rsidRPr="0013512D" w:rsidRDefault="001C6842">
      <w:pPr>
        <w:spacing w:line="360" w:lineRule="auto"/>
        <w:rPr>
          <w:lang w:val="en-GB"/>
        </w:rPr>
      </w:pPr>
    </w:p>
    <w:p w14:paraId="181DB73C" w14:textId="56CEEF93" w:rsidR="00D22BB3" w:rsidRPr="0013512D" w:rsidRDefault="00D96718" w:rsidP="009D7898">
      <w:pPr>
        <w:spacing w:line="360" w:lineRule="auto"/>
        <w:rPr>
          <w:lang w:val="en-GB"/>
        </w:rPr>
      </w:pPr>
      <w:r w:rsidRPr="0013512D">
        <w:rPr>
          <w:lang w:val="en-GB"/>
        </w:rPr>
        <w:t xml:space="preserve">In this article, we </w:t>
      </w:r>
      <w:r w:rsidR="005F186A" w:rsidRPr="0013512D">
        <w:rPr>
          <w:lang w:val="en-GB"/>
        </w:rPr>
        <w:t>choose to deploy the terms ‘</w:t>
      </w:r>
      <w:r w:rsidRPr="0013512D">
        <w:rPr>
          <w:lang w:val="en-GB"/>
        </w:rPr>
        <w:t>international criminal law</w:t>
      </w:r>
      <w:r w:rsidR="005F186A" w:rsidRPr="0013512D">
        <w:rPr>
          <w:lang w:val="en-GB"/>
        </w:rPr>
        <w:t>’</w:t>
      </w:r>
      <w:r w:rsidRPr="0013512D">
        <w:rPr>
          <w:lang w:val="en-GB"/>
        </w:rPr>
        <w:t xml:space="preserve"> and </w:t>
      </w:r>
      <w:r w:rsidR="005F186A" w:rsidRPr="0013512D">
        <w:rPr>
          <w:lang w:val="en-GB"/>
        </w:rPr>
        <w:t>‘</w:t>
      </w:r>
      <w:r w:rsidRPr="0013512D">
        <w:rPr>
          <w:lang w:val="en-GB"/>
        </w:rPr>
        <w:t>international criminal justice</w:t>
      </w:r>
      <w:r w:rsidR="005F186A" w:rsidRPr="0013512D">
        <w:rPr>
          <w:lang w:val="en-GB"/>
        </w:rPr>
        <w:t>’</w:t>
      </w:r>
      <w:r w:rsidRPr="0013512D">
        <w:rPr>
          <w:lang w:val="en-GB"/>
        </w:rPr>
        <w:t xml:space="preserve"> due to </w:t>
      </w:r>
      <w:r w:rsidR="001A7E57" w:rsidRPr="0013512D">
        <w:rPr>
          <w:lang w:val="en-GB"/>
        </w:rPr>
        <w:t>their</w:t>
      </w:r>
      <w:r w:rsidRPr="0013512D">
        <w:rPr>
          <w:lang w:val="en-GB"/>
        </w:rPr>
        <w:t xml:space="preserve"> normative focus</w:t>
      </w:r>
      <w:r w:rsidR="00FE7B26" w:rsidRPr="0013512D">
        <w:rPr>
          <w:lang w:val="en-GB"/>
        </w:rPr>
        <w:t xml:space="preserve"> and clearly expressed international dimension</w:t>
      </w:r>
      <w:r w:rsidRPr="0013512D">
        <w:rPr>
          <w:lang w:val="en-GB"/>
        </w:rPr>
        <w:t xml:space="preserve">. </w:t>
      </w:r>
      <w:r w:rsidR="005F186A" w:rsidRPr="0013512D">
        <w:rPr>
          <w:lang w:val="en-GB"/>
        </w:rPr>
        <w:t>This also allows more emphasis to be placed on</w:t>
      </w:r>
      <w:r w:rsidR="003E3E6D" w:rsidRPr="0013512D">
        <w:rPr>
          <w:lang w:val="en-GB"/>
        </w:rPr>
        <w:t xml:space="preserve"> the </w:t>
      </w:r>
      <w:r w:rsidR="006621E3" w:rsidRPr="0013512D">
        <w:rPr>
          <w:lang w:val="en-GB"/>
        </w:rPr>
        <w:t xml:space="preserve">direct </w:t>
      </w:r>
      <w:r w:rsidR="003E3E6D" w:rsidRPr="0013512D">
        <w:rPr>
          <w:lang w:val="en-GB"/>
        </w:rPr>
        <w:t>connection between law and art</w:t>
      </w:r>
      <w:r w:rsidR="001C6842" w:rsidRPr="0013512D">
        <w:rPr>
          <w:lang w:val="en-GB"/>
        </w:rPr>
        <w:t xml:space="preserve"> and less focus on specific institutions. </w:t>
      </w:r>
      <w:r w:rsidRPr="0013512D">
        <w:rPr>
          <w:lang w:val="en-GB"/>
        </w:rPr>
        <w:t>We do, however, adopt the widest possible reading of th</w:t>
      </w:r>
      <w:r w:rsidR="001A7E57" w:rsidRPr="0013512D">
        <w:rPr>
          <w:lang w:val="en-GB"/>
        </w:rPr>
        <w:t>e</w:t>
      </w:r>
      <w:r w:rsidRPr="0013512D">
        <w:rPr>
          <w:lang w:val="en-GB"/>
        </w:rPr>
        <w:t>s</w:t>
      </w:r>
      <w:r w:rsidR="001A7E57" w:rsidRPr="0013512D">
        <w:rPr>
          <w:lang w:val="en-GB"/>
        </w:rPr>
        <w:t>e</w:t>
      </w:r>
      <w:r w:rsidRPr="0013512D">
        <w:rPr>
          <w:lang w:val="en-GB"/>
        </w:rPr>
        <w:t xml:space="preserve"> term</w:t>
      </w:r>
      <w:r w:rsidR="001A7E57" w:rsidRPr="0013512D">
        <w:rPr>
          <w:lang w:val="en-GB"/>
        </w:rPr>
        <w:t>s</w:t>
      </w:r>
      <w:r w:rsidRPr="0013512D">
        <w:rPr>
          <w:lang w:val="en-GB"/>
        </w:rPr>
        <w:t xml:space="preserve"> and </w:t>
      </w:r>
      <w:r w:rsidR="005F186A" w:rsidRPr="0013512D">
        <w:rPr>
          <w:lang w:val="en-GB"/>
        </w:rPr>
        <w:t xml:space="preserve">acknowledge </w:t>
      </w:r>
      <w:r w:rsidR="001A7E57" w:rsidRPr="0013512D">
        <w:rPr>
          <w:lang w:val="en-GB"/>
        </w:rPr>
        <w:t>their</w:t>
      </w:r>
      <w:r w:rsidRPr="0013512D">
        <w:rPr>
          <w:lang w:val="en-GB"/>
        </w:rPr>
        <w:t xml:space="preserve"> ongoing </w:t>
      </w:r>
      <w:r w:rsidR="005F186A" w:rsidRPr="0013512D">
        <w:rPr>
          <w:lang w:val="en-GB"/>
        </w:rPr>
        <w:t>link</w:t>
      </w:r>
      <w:r w:rsidRPr="0013512D">
        <w:rPr>
          <w:lang w:val="en-GB"/>
        </w:rPr>
        <w:t xml:space="preserve"> to the field of transitional justice. </w:t>
      </w:r>
      <w:r w:rsidR="00ED670B" w:rsidRPr="0013512D">
        <w:rPr>
          <w:lang w:val="en-GB"/>
        </w:rPr>
        <w:t>We are also aware that some, if not most, of the examples we use in this article to illustrate our points c</w:t>
      </w:r>
      <w:r w:rsidR="001C6842" w:rsidRPr="0013512D">
        <w:rPr>
          <w:lang w:val="en-GB"/>
        </w:rPr>
        <w:t>ould</w:t>
      </w:r>
      <w:r w:rsidR="00ED670B" w:rsidRPr="0013512D">
        <w:rPr>
          <w:lang w:val="en-GB"/>
        </w:rPr>
        <w:t xml:space="preserve"> be placed under the umbrella of transitional justice. It is nonetheless possible to conceptualise of these practices as a form of justice, linked directly to the legal standards set out by international criminal law. </w:t>
      </w:r>
    </w:p>
    <w:p w14:paraId="2F1B81E3" w14:textId="77777777" w:rsidR="00D220CE" w:rsidRPr="0013512D" w:rsidRDefault="00D220CE" w:rsidP="005C247F">
      <w:pPr>
        <w:spacing w:line="360" w:lineRule="auto"/>
        <w:rPr>
          <w:color w:val="000000" w:themeColor="text1"/>
          <w:lang w:val="en-GB"/>
        </w:rPr>
      </w:pPr>
    </w:p>
    <w:p w14:paraId="5B568A4D" w14:textId="7F8CEFBD" w:rsidR="003A1668" w:rsidRPr="0013512D" w:rsidRDefault="00D220CE" w:rsidP="005C247F">
      <w:pPr>
        <w:spacing w:line="360" w:lineRule="auto"/>
        <w:rPr>
          <w:color w:val="000000" w:themeColor="text1"/>
          <w:lang w:val="en-GB"/>
        </w:rPr>
      </w:pPr>
      <w:r w:rsidRPr="0013512D">
        <w:rPr>
          <w:color w:val="000000" w:themeColor="text1"/>
          <w:lang w:val="en-GB"/>
        </w:rPr>
        <w:t>Secondly, we focus on the role of art in promoting the goal of reconciliation</w:t>
      </w:r>
      <w:r w:rsidR="003E3E6D" w:rsidRPr="0013512D">
        <w:rPr>
          <w:color w:val="000000" w:themeColor="text1"/>
          <w:lang w:val="en-GB"/>
        </w:rPr>
        <w:t xml:space="preserve">. </w:t>
      </w:r>
      <w:r w:rsidR="00E36BB1" w:rsidRPr="0013512D">
        <w:rPr>
          <w:color w:val="000000" w:themeColor="text1"/>
          <w:lang w:val="en-GB"/>
        </w:rPr>
        <w:t>This framing allows us to introduce generalised arguments pertaining to the role of art</w:t>
      </w:r>
      <w:r w:rsidR="00F93473" w:rsidRPr="0013512D">
        <w:rPr>
          <w:color w:val="000000" w:themeColor="text1"/>
          <w:lang w:val="en-GB"/>
        </w:rPr>
        <w:t xml:space="preserve"> in international criminal justice</w:t>
      </w:r>
      <w:r w:rsidR="00E36BB1" w:rsidRPr="0013512D">
        <w:rPr>
          <w:color w:val="000000" w:themeColor="text1"/>
          <w:lang w:val="en-GB"/>
        </w:rPr>
        <w:t xml:space="preserve">, while keeping the discussion sufficiently focused. </w:t>
      </w:r>
      <w:r w:rsidR="004A20D9" w:rsidRPr="0013512D">
        <w:rPr>
          <w:color w:val="000000" w:themeColor="text1"/>
          <w:lang w:val="en-GB"/>
        </w:rPr>
        <w:t xml:space="preserve"> We therefore go beyond the discourse on art as a medium of outreach for</w:t>
      </w:r>
      <w:r w:rsidR="003E3E6D" w:rsidRPr="0013512D">
        <w:rPr>
          <w:color w:val="000000" w:themeColor="text1"/>
          <w:lang w:val="en-GB"/>
        </w:rPr>
        <w:t xml:space="preserve"> </w:t>
      </w:r>
      <w:r w:rsidR="004A20D9" w:rsidRPr="0013512D">
        <w:rPr>
          <w:color w:val="000000" w:themeColor="text1"/>
          <w:lang w:val="en-GB"/>
        </w:rPr>
        <w:t>international criminal law.</w:t>
      </w:r>
      <w:r w:rsidR="004A20D9" w:rsidRPr="0013512D">
        <w:rPr>
          <w:rStyle w:val="FootnoteReference"/>
          <w:color w:val="000000" w:themeColor="text1"/>
          <w:lang w:val="en-GB"/>
        </w:rPr>
        <w:footnoteReference w:id="26"/>
      </w:r>
      <w:r w:rsidR="003E3E6D" w:rsidRPr="0013512D">
        <w:rPr>
          <w:color w:val="000000" w:themeColor="text1"/>
          <w:lang w:val="en-GB"/>
        </w:rPr>
        <w:t xml:space="preserve"> We also go beyond the discussion on the possibilities of art as a form of reparations.</w:t>
      </w:r>
      <w:r w:rsidR="003E3E6D" w:rsidRPr="0013512D">
        <w:rPr>
          <w:rStyle w:val="FootnoteReference"/>
          <w:color w:val="000000" w:themeColor="text1"/>
          <w:lang w:val="en-GB"/>
        </w:rPr>
        <w:footnoteReference w:id="27"/>
      </w:r>
      <w:r w:rsidR="0049354D" w:rsidRPr="0013512D">
        <w:rPr>
          <w:color w:val="000000" w:themeColor="text1"/>
          <w:lang w:val="en-GB"/>
        </w:rPr>
        <w:t xml:space="preserve"> Our goal is to show different </w:t>
      </w:r>
      <w:r w:rsidR="00BF4F2D">
        <w:rPr>
          <w:color w:val="000000" w:themeColor="text1"/>
          <w:lang w:val="en-GB"/>
        </w:rPr>
        <w:t>modalities</w:t>
      </w:r>
      <w:r w:rsidR="0049354D" w:rsidRPr="0013512D">
        <w:rPr>
          <w:color w:val="000000" w:themeColor="text1"/>
          <w:lang w:val="en-GB"/>
        </w:rPr>
        <w:t xml:space="preserve"> in which art can transmit the message of international criminal </w:t>
      </w:r>
      <w:r w:rsidR="00344EEF" w:rsidRPr="0013512D">
        <w:rPr>
          <w:color w:val="000000" w:themeColor="text1"/>
          <w:lang w:val="en-GB"/>
        </w:rPr>
        <w:t>justice</w:t>
      </w:r>
      <w:r w:rsidR="0049354D" w:rsidRPr="0013512D">
        <w:rPr>
          <w:color w:val="000000" w:themeColor="text1"/>
          <w:lang w:val="en-GB"/>
        </w:rPr>
        <w:t xml:space="preserve"> in way that contributes to reconciliation.</w:t>
      </w:r>
      <w:r w:rsidR="002326AC" w:rsidRPr="0013512D">
        <w:rPr>
          <w:color w:val="000000" w:themeColor="text1"/>
          <w:lang w:val="en-GB"/>
        </w:rPr>
        <w:t xml:space="preserve"> However, we do not provide a comprehensive empirical analysis of </w:t>
      </w:r>
      <w:r w:rsidR="00344EEF" w:rsidRPr="0013512D">
        <w:rPr>
          <w:color w:val="000000" w:themeColor="text1"/>
          <w:lang w:val="en-GB"/>
        </w:rPr>
        <w:t xml:space="preserve">such </w:t>
      </w:r>
      <w:r w:rsidR="002326AC" w:rsidRPr="0013512D">
        <w:rPr>
          <w:color w:val="000000" w:themeColor="text1"/>
          <w:lang w:val="en-GB"/>
        </w:rPr>
        <w:t xml:space="preserve">engagement of art as our purpose is </w:t>
      </w:r>
      <w:r w:rsidR="00344EEF" w:rsidRPr="0013512D">
        <w:rPr>
          <w:color w:val="000000" w:themeColor="text1"/>
          <w:lang w:val="en-GB"/>
        </w:rPr>
        <w:t xml:space="preserve">rather </w:t>
      </w:r>
      <w:r w:rsidR="002326AC" w:rsidRPr="0013512D">
        <w:rPr>
          <w:color w:val="000000" w:themeColor="text1"/>
          <w:lang w:val="en-GB"/>
        </w:rPr>
        <w:t>to explain its relevance and elicit theoretical evidence</w:t>
      </w:r>
      <w:r w:rsidR="00344EEF" w:rsidRPr="0013512D">
        <w:rPr>
          <w:color w:val="000000" w:themeColor="text1"/>
          <w:lang w:val="en-GB"/>
        </w:rPr>
        <w:t xml:space="preserve"> from the field of psychology and support it</w:t>
      </w:r>
      <w:r w:rsidR="002326AC" w:rsidRPr="0013512D">
        <w:rPr>
          <w:color w:val="000000" w:themeColor="text1"/>
          <w:lang w:val="en-GB"/>
        </w:rPr>
        <w:t xml:space="preserve"> by </w:t>
      </w:r>
      <w:r w:rsidR="00FB67B4" w:rsidRPr="0013512D">
        <w:rPr>
          <w:color w:val="000000" w:themeColor="text1"/>
          <w:lang w:val="en-GB"/>
        </w:rPr>
        <w:t xml:space="preserve">the </w:t>
      </w:r>
      <w:r w:rsidR="00164F9E">
        <w:rPr>
          <w:color w:val="000000" w:themeColor="text1"/>
          <w:lang w:val="en-GB"/>
        </w:rPr>
        <w:t>targeted</w:t>
      </w:r>
      <w:r w:rsidR="00344EEF" w:rsidRPr="0013512D">
        <w:rPr>
          <w:color w:val="000000" w:themeColor="text1"/>
          <w:lang w:val="en-GB"/>
        </w:rPr>
        <w:t xml:space="preserve"> </w:t>
      </w:r>
      <w:r w:rsidR="002326AC" w:rsidRPr="0013512D">
        <w:rPr>
          <w:color w:val="000000" w:themeColor="text1"/>
          <w:lang w:val="en-GB"/>
        </w:rPr>
        <w:t>examples</w:t>
      </w:r>
      <w:r w:rsidR="003A1668" w:rsidRPr="0013512D">
        <w:rPr>
          <w:color w:val="000000" w:themeColor="text1"/>
          <w:lang w:val="en-GB"/>
        </w:rPr>
        <w:t>.</w:t>
      </w:r>
    </w:p>
    <w:p w14:paraId="2323C783" w14:textId="77777777" w:rsidR="003A1668" w:rsidRPr="0013512D" w:rsidRDefault="003A1668" w:rsidP="005C247F">
      <w:pPr>
        <w:spacing w:line="360" w:lineRule="auto"/>
        <w:rPr>
          <w:color w:val="000000" w:themeColor="text1"/>
          <w:lang w:val="en-GB"/>
        </w:rPr>
      </w:pPr>
    </w:p>
    <w:p w14:paraId="30BD8E0D" w14:textId="6A6B6F81" w:rsidR="003A1668" w:rsidRPr="0013512D" w:rsidRDefault="003A1668" w:rsidP="005C247F">
      <w:pPr>
        <w:spacing w:line="360" w:lineRule="auto"/>
        <w:rPr>
          <w:color w:val="000000" w:themeColor="text1"/>
          <w:lang w:val="en-GB"/>
        </w:rPr>
      </w:pPr>
      <w:r w:rsidRPr="0013512D">
        <w:rPr>
          <w:color w:val="000000" w:themeColor="text1"/>
          <w:lang w:val="en-GB"/>
        </w:rPr>
        <w:t>Finally, and most importantly, we augment our analysis by including a psychological frame to our claim that art possess reconciliatory and healing properties. This theoretical perspective will be interjected throughout the paper. We argue that reconciliation process is parallel to psychological healing. A point is to be made of the therapeutic nature of reconciliation, and vice versa. In this way, the therapeutic nature of art (both in theory and application) is considered throughout this paper. This paper will expand on the reconciliatory properties elicited by the three fundamental qualities of art discussed below.</w:t>
      </w:r>
    </w:p>
    <w:p w14:paraId="466F8A08" w14:textId="77777777" w:rsidR="003A1668" w:rsidRPr="0013512D" w:rsidRDefault="003A1668" w:rsidP="005C247F">
      <w:pPr>
        <w:spacing w:line="360" w:lineRule="auto"/>
        <w:rPr>
          <w:color w:val="000000" w:themeColor="text1"/>
          <w:lang w:val="en-GB"/>
        </w:rPr>
      </w:pPr>
    </w:p>
    <w:p w14:paraId="4805C828" w14:textId="36A18DFE" w:rsidR="00C61069" w:rsidRPr="0013512D" w:rsidRDefault="005F186A" w:rsidP="005C247F">
      <w:pPr>
        <w:spacing w:line="360" w:lineRule="auto"/>
        <w:rPr>
          <w:lang w:val="en-GB"/>
        </w:rPr>
      </w:pPr>
      <w:r w:rsidRPr="0013512D">
        <w:rPr>
          <w:color w:val="000000" w:themeColor="text1"/>
          <w:lang w:val="en-GB"/>
        </w:rPr>
        <w:t>To continue with terminological clarifications, we use t</w:t>
      </w:r>
      <w:r w:rsidR="00976FD9" w:rsidRPr="0013512D">
        <w:rPr>
          <w:color w:val="000000" w:themeColor="text1"/>
          <w:lang w:val="en-GB"/>
        </w:rPr>
        <w:t>he terms ‘a</w:t>
      </w:r>
      <w:r w:rsidR="003D6F50" w:rsidRPr="0013512D">
        <w:rPr>
          <w:color w:val="000000" w:themeColor="text1"/>
          <w:lang w:val="en-GB"/>
        </w:rPr>
        <w:t>rt</w:t>
      </w:r>
      <w:r w:rsidR="00976FD9" w:rsidRPr="0013512D">
        <w:rPr>
          <w:color w:val="000000" w:themeColor="text1"/>
          <w:lang w:val="en-GB"/>
        </w:rPr>
        <w:t>’</w:t>
      </w:r>
      <w:r w:rsidR="003D6F50" w:rsidRPr="0013512D">
        <w:rPr>
          <w:color w:val="000000" w:themeColor="text1"/>
          <w:lang w:val="en-GB"/>
        </w:rPr>
        <w:t xml:space="preserve"> and </w:t>
      </w:r>
      <w:r w:rsidR="00976FD9" w:rsidRPr="0013512D">
        <w:rPr>
          <w:color w:val="000000" w:themeColor="text1"/>
          <w:lang w:val="en-GB"/>
        </w:rPr>
        <w:t>‘</w:t>
      </w:r>
      <w:r w:rsidR="003D6F50" w:rsidRPr="0013512D">
        <w:rPr>
          <w:color w:val="000000" w:themeColor="text1"/>
          <w:lang w:val="en-GB"/>
        </w:rPr>
        <w:t>creative expression</w:t>
      </w:r>
      <w:r w:rsidR="00976FD9" w:rsidRPr="0013512D">
        <w:rPr>
          <w:color w:val="000000" w:themeColor="text1"/>
          <w:lang w:val="en-GB"/>
        </w:rPr>
        <w:t>’</w:t>
      </w:r>
      <w:r w:rsidR="003D6F50" w:rsidRPr="0013512D">
        <w:rPr>
          <w:color w:val="000000" w:themeColor="text1"/>
          <w:lang w:val="en-GB"/>
        </w:rPr>
        <w:t xml:space="preserve"> interchangeably in this article. These terms are understood broadly to encompass different forms of expression (visual, auditory, sensual) employed with the purpose of transmitting a certain message coloured by emotions.</w:t>
      </w:r>
      <w:r w:rsidR="00C61069" w:rsidRPr="0013512D">
        <w:rPr>
          <w:lang w:val="en-GB"/>
        </w:rPr>
        <w:t xml:space="preserve"> The challenge of </w:t>
      </w:r>
      <w:r w:rsidR="00C61069" w:rsidRPr="0013512D">
        <w:rPr>
          <w:lang w:val="en-GB"/>
        </w:rPr>
        <w:lastRenderedPageBreak/>
        <w:t xml:space="preserve">defining art for the purposes of this article is that in its </w:t>
      </w:r>
      <w:r w:rsidR="00897E44" w:rsidRPr="0013512D">
        <w:rPr>
          <w:lang w:val="en-GB"/>
        </w:rPr>
        <w:t xml:space="preserve">broadest </w:t>
      </w:r>
      <w:r w:rsidR="00C61069" w:rsidRPr="0013512D">
        <w:rPr>
          <w:lang w:val="en-GB"/>
        </w:rPr>
        <w:t xml:space="preserve">possible sense, </w:t>
      </w:r>
      <w:r w:rsidR="00976FD9" w:rsidRPr="0013512D">
        <w:rPr>
          <w:lang w:val="en-GB"/>
        </w:rPr>
        <w:t>it</w:t>
      </w:r>
      <w:r w:rsidR="00C61069" w:rsidRPr="0013512D">
        <w:rPr>
          <w:lang w:val="en-GB"/>
        </w:rPr>
        <w:t xml:space="preserve"> lies beyond concept and therefore beyond description and categorisation. There is an existential quality of art that subordinates its different manifestations in the physical form as well as its functions. Theodor Adorno, in the famous </w:t>
      </w:r>
      <w:r w:rsidR="00C61069" w:rsidRPr="0013512D">
        <w:rPr>
          <w:i/>
          <w:lang w:val="en-GB"/>
        </w:rPr>
        <w:t>Aesthetic Theory</w:t>
      </w:r>
      <w:r w:rsidR="00C61069" w:rsidRPr="0013512D">
        <w:rPr>
          <w:lang w:val="en-GB"/>
        </w:rPr>
        <w:t>,</w:t>
      </w:r>
      <w:r w:rsidR="00C61069" w:rsidRPr="0013512D">
        <w:rPr>
          <w:i/>
          <w:lang w:val="en-GB"/>
        </w:rPr>
        <w:t xml:space="preserve"> </w:t>
      </w:r>
      <w:r w:rsidR="00C61069" w:rsidRPr="0013512D">
        <w:rPr>
          <w:lang w:val="en-GB"/>
        </w:rPr>
        <w:t>acknowledges this difficulty and chooses</w:t>
      </w:r>
      <w:r w:rsidR="00C61069" w:rsidRPr="0013512D">
        <w:rPr>
          <w:i/>
          <w:lang w:val="en-GB"/>
        </w:rPr>
        <w:t xml:space="preserve"> </w:t>
      </w:r>
      <w:r w:rsidR="00C61069" w:rsidRPr="0013512D">
        <w:rPr>
          <w:lang w:val="en-GB"/>
        </w:rPr>
        <w:t>to define art through dialectical exercises by resorting to contradictions, while simultaneously upholding the limit to these contradictions. Art has two elements: ‘import’ – art’s form and content – and ‘function’ – the work’s purpose.</w:t>
      </w:r>
      <w:r w:rsidR="00C61069" w:rsidRPr="0013512D">
        <w:rPr>
          <w:rStyle w:val="FootnoteReference"/>
          <w:lang w:val="en-GB"/>
        </w:rPr>
        <w:footnoteReference w:id="28"/>
      </w:r>
      <w:r w:rsidR="00C61069" w:rsidRPr="0013512D">
        <w:rPr>
          <w:lang w:val="en-GB"/>
        </w:rPr>
        <w:t xml:space="preserve"> He then dwells extensively on the contradiction between the components of import – the form and content – emphasising the essential nature of the ‘truth content’ of art, or the way in which artwork simultaneously challenges the way things are and suggests how they could be.</w:t>
      </w:r>
      <w:r w:rsidR="00C61069" w:rsidRPr="0013512D">
        <w:rPr>
          <w:rStyle w:val="FootnoteReference"/>
          <w:lang w:val="en-GB"/>
        </w:rPr>
        <w:footnoteReference w:id="29"/>
      </w:r>
      <w:r w:rsidR="00C61069" w:rsidRPr="0013512D">
        <w:rPr>
          <w:lang w:val="en-GB"/>
        </w:rPr>
        <w:t xml:space="preserve"> Importantly, Adorno underlines the fluidity of art, which exists in relation to what it is not – historical origins of the production.</w:t>
      </w:r>
      <w:r w:rsidR="00C61069" w:rsidRPr="0013512D">
        <w:rPr>
          <w:rStyle w:val="FootnoteReference"/>
          <w:lang w:val="en-GB"/>
        </w:rPr>
        <w:footnoteReference w:id="30"/>
      </w:r>
      <w:r w:rsidR="00C61069" w:rsidRPr="0013512D">
        <w:rPr>
          <w:lang w:val="en-GB"/>
        </w:rPr>
        <w:t xml:space="preserve"> </w:t>
      </w:r>
    </w:p>
    <w:p w14:paraId="20DC7F53" w14:textId="77777777" w:rsidR="00C61069" w:rsidRPr="0013512D" w:rsidRDefault="00C61069" w:rsidP="005C247F">
      <w:pPr>
        <w:spacing w:line="360" w:lineRule="auto"/>
        <w:rPr>
          <w:lang w:val="en-GB"/>
        </w:rPr>
      </w:pPr>
    </w:p>
    <w:p w14:paraId="5CCA8BA3" w14:textId="6BE22773" w:rsidR="00F92250" w:rsidRPr="0013512D" w:rsidRDefault="00C61069" w:rsidP="005C247F">
      <w:pPr>
        <w:spacing w:line="360" w:lineRule="auto"/>
        <w:rPr>
          <w:lang w:val="en-GB"/>
        </w:rPr>
      </w:pPr>
      <w:r w:rsidRPr="0013512D">
        <w:rPr>
          <w:lang w:val="en-GB"/>
        </w:rPr>
        <w:t>These sets of identified contradictions give us a sense of the effects of art without necessarily providing a comprehensive definition. The inquiry into the nature of art would require a separate study going far beyond the scope of the present paper. Our purpose here is to select the qualities of art best described in analytical categories and suitable for supporting the argument that art can contribute to achieving some of the goals set out by international criminal law</w:t>
      </w:r>
      <w:r w:rsidR="00C91AA7" w:rsidRPr="0013512D">
        <w:rPr>
          <w:lang w:val="en-GB"/>
        </w:rPr>
        <w:t>,</w:t>
      </w:r>
      <w:r w:rsidRPr="0013512D">
        <w:rPr>
          <w:lang w:val="en-GB"/>
        </w:rPr>
        <w:t xml:space="preserve"> and in particular that of reconciliation. </w:t>
      </w:r>
    </w:p>
    <w:p w14:paraId="1CB7EB7F" w14:textId="77777777" w:rsidR="00F92250" w:rsidRPr="0013512D" w:rsidRDefault="00F92250" w:rsidP="005C247F">
      <w:pPr>
        <w:spacing w:line="360" w:lineRule="auto"/>
        <w:rPr>
          <w:lang w:val="en-GB"/>
        </w:rPr>
      </w:pPr>
    </w:p>
    <w:p w14:paraId="3DC7250B" w14:textId="5A7AF3C8" w:rsidR="00D50E6E" w:rsidRPr="0013512D" w:rsidRDefault="00A969A7" w:rsidP="005C247F">
      <w:pPr>
        <w:spacing w:line="360" w:lineRule="auto"/>
        <w:rPr>
          <w:color w:val="000000" w:themeColor="text1"/>
          <w:lang w:val="en-GB"/>
        </w:rPr>
      </w:pPr>
      <w:r w:rsidRPr="0013512D">
        <w:rPr>
          <w:color w:val="000000" w:themeColor="text1"/>
          <w:lang w:val="en-GB"/>
        </w:rPr>
        <w:t>The key argument is</w:t>
      </w:r>
      <w:r w:rsidR="00F92250" w:rsidRPr="0013512D">
        <w:rPr>
          <w:color w:val="000000" w:themeColor="text1"/>
          <w:lang w:val="en-GB"/>
        </w:rPr>
        <w:t xml:space="preserve"> therefore</w:t>
      </w:r>
      <w:r w:rsidRPr="0013512D">
        <w:rPr>
          <w:color w:val="000000" w:themeColor="text1"/>
          <w:lang w:val="en-GB"/>
        </w:rPr>
        <w:t xml:space="preserve"> that </w:t>
      </w:r>
      <w:r w:rsidR="003D6F50" w:rsidRPr="0013512D">
        <w:rPr>
          <w:color w:val="000000" w:themeColor="text1"/>
          <w:lang w:val="en-GB"/>
        </w:rPr>
        <w:t>art has the clear ability to mediate and amplify the law’s reconciliatory potential</w:t>
      </w:r>
      <w:r w:rsidR="00D50E6E" w:rsidRPr="0013512D">
        <w:rPr>
          <w:lang w:val="en-GB"/>
        </w:rPr>
        <w:t xml:space="preserve"> </w:t>
      </w:r>
      <w:r w:rsidR="00DF6BC0" w:rsidRPr="0013512D">
        <w:rPr>
          <w:color w:val="000000" w:themeColor="text1"/>
          <w:lang w:val="en-GB"/>
        </w:rPr>
        <w:t>through three key features</w:t>
      </w:r>
      <w:r w:rsidR="00CB305D" w:rsidRPr="0013512D">
        <w:rPr>
          <w:color w:val="000000" w:themeColor="text1"/>
          <w:lang w:val="en-GB"/>
        </w:rPr>
        <w:t>, crucial in supporting this proposition</w:t>
      </w:r>
      <w:r w:rsidR="00DF6BC0" w:rsidRPr="0013512D">
        <w:rPr>
          <w:color w:val="000000" w:themeColor="text1"/>
          <w:lang w:val="en-GB"/>
        </w:rPr>
        <w:t>: its process-orientated platform, relational quality, and inherent intelligence</w:t>
      </w:r>
      <w:r w:rsidR="00D50E6E" w:rsidRPr="0013512D">
        <w:rPr>
          <w:color w:val="000000" w:themeColor="text1"/>
          <w:lang w:val="en-GB"/>
        </w:rPr>
        <w:t>.</w:t>
      </w:r>
      <w:r w:rsidR="004A2FE6" w:rsidRPr="0013512D">
        <w:rPr>
          <w:rStyle w:val="FootnoteReference"/>
          <w:lang w:val="en-GB"/>
        </w:rPr>
        <w:footnoteReference w:id="31"/>
      </w:r>
      <w:r w:rsidR="00D50E6E" w:rsidRPr="0013512D">
        <w:rPr>
          <w:color w:val="000000" w:themeColor="text1"/>
          <w:lang w:val="en-GB"/>
        </w:rPr>
        <w:t xml:space="preserve"> </w:t>
      </w:r>
      <w:r w:rsidR="00BC39BA" w:rsidRPr="0013512D">
        <w:rPr>
          <w:color w:val="000000" w:themeColor="text1"/>
          <w:lang w:val="en-GB"/>
        </w:rPr>
        <w:t>Firstly, art reflects the complexity of the human condition and reserves a place for emotion</w:t>
      </w:r>
      <w:r w:rsidR="00AA6D8E" w:rsidRPr="0013512D">
        <w:rPr>
          <w:color w:val="000000" w:themeColor="text1"/>
          <w:lang w:val="en-GB"/>
        </w:rPr>
        <w:t>al processing</w:t>
      </w:r>
      <w:r w:rsidR="00BC39BA" w:rsidRPr="0013512D">
        <w:rPr>
          <w:color w:val="000000" w:themeColor="text1"/>
          <w:lang w:val="en-GB"/>
        </w:rPr>
        <w:t xml:space="preserve">. Secondly, it is thus a useful </w:t>
      </w:r>
      <w:r w:rsidR="00AA6D8E" w:rsidRPr="0013512D">
        <w:rPr>
          <w:color w:val="000000" w:themeColor="text1"/>
          <w:lang w:val="en-GB"/>
        </w:rPr>
        <w:t xml:space="preserve">relational </w:t>
      </w:r>
      <w:r w:rsidR="00BC39BA" w:rsidRPr="0013512D">
        <w:rPr>
          <w:color w:val="000000" w:themeColor="text1"/>
          <w:lang w:val="en-GB"/>
        </w:rPr>
        <w:t xml:space="preserve">tool in opening the space for dialogue, the latter being essential for reconciliation. </w:t>
      </w:r>
      <w:r w:rsidR="00043A12" w:rsidRPr="0013512D">
        <w:rPr>
          <w:color w:val="000000" w:themeColor="text1"/>
          <w:lang w:val="en-GB"/>
        </w:rPr>
        <w:t>Lastly</w:t>
      </w:r>
      <w:r w:rsidR="00BC39BA" w:rsidRPr="0013512D">
        <w:rPr>
          <w:color w:val="000000" w:themeColor="text1"/>
          <w:lang w:val="en-GB"/>
        </w:rPr>
        <w:t>,</w:t>
      </w:r>
      <w:r w:rsidR="00043A12" w:rsidRPr="0013512D">
        <w:rPr>
          <w:color w:val="000000" w:themeColor="text1"/>
          <w:lang w:val="en-GB"/>
        </w:rPr>
        <w:t xml:space="preserve"> </w:t>
      </w:r>
      <w:r w:rsidR="00C05CE9" w:rsidRPr="0013512D">
        <w:rPr>
          <w:color w:val="000000" w:themeColor="text1"/>
          <w:lang w:val="en-GB"/>
        </w:rPr>
        <w:t>a</w:t>
      </w:r>
      <w:r w:rsidR="00BC39BA" w:rsidRPr="0013512D">
        <w:rPr>
          <w:color w:val="000000" w:themeColor="text1"/>
          <w:lang w:val="en-GB"/>
        </w:rPr>
        <w:t>rt has the capacity to translate legalistic findings into a language accessible to a wider audience.</w:t>
      </w:r>
      <w:r w:rsidR="00D50E6E" w:rsidRPr="0013512D">
        <w:rPr>
          <w:color w:val="000000" w:themeColor="text1"/>
          <w:lang w:val="en-GB"/>
        </w:rPr>
        <w:t xml:space="preserve"> </w:t>
      </w:r>
    </w:p>
    <w:p w14:paraId="36884F7B" w14:textId="77777777" w:rsidR="00D50E6E" w:rsidRPr="0013512D" w:rsidRDefault="00D50E6E" w:rsidP="005C247F">
      <w:pPr>
        <w:spacing w:line="360" w:lineRule="auto"/>
        <w:rPr>
          <w:color w:val="000000" w:themeColor="text1"/>
          <w:lang w:val="en-GB"/>
        </w:rPr>
      </w:pPr>
    </w:p>
    <w:p w14:paraId="250B93D7" w14:textId="42693AF3" w:rsidR="00BC39BA" w:rsidRPr="0013512D" w:rsidRDefault="00D50E6E" w:rsidP="00D4390D">
      <w:pPr>
        <w:pStyle w:val="ListParagraph"/>
        <w:spacing w:line="360" w:lineRule="auto"/>
        <w:ind w:left="0"/>
        <w:rPr>
          <w:rFonts w:ascii="Times New Roman" w:eastAsiaTheme="minorHAnsi" w:hAnsi="Times New Roman"/>
          <w:color w:val="000000" w:themeColor="text1"/>
          <w:lang w:val="en-GB"/>
        </w:rPr>
      </w:pPr>
      <w:r w:rsidRPr="0013512D">
        <w:rPr>
          <w:rFonts w:ascii="Times New Roman" w:hAnsi="Times New Roman"/>
          <w:color w:val="000000" w:themeColor="text1"/>
          <w:lang w:val="en-GB"/>
        </w:rPr>
        <w:lastRenderedPageBreak/>
        <w:t xml:space="preserve">The following section two of the article dwells in detail on these qualities of art and their psychological benefits in the context of international criminal law. Section three </w:t>
      </w:r>
      <w:r w:rsidR="00CB305D" w:rsidRPr="0013512D">
        <w:rPr>
          <w:rFonts w:ascii="Times New Roman" w:hAnsi="Times New Roman"/>
          <w:color w:val="000000" w:themeColor="text1"/>
          <w:lang w:val="en-GB"/>
        </w:rPr>
        <w:t xml:space="preserve">then </w:t>
      </w:r>
      <w:r w:rsidRPr="0013512D">
        <w:rPr>
          <w:rFonts w:ascii="Times New Roman" w:hAnsi="Times New Roman"/>
          <w:color w:val="000000" w:themeColor="text1"/>
          <w:lang w:val="en-GB"/>
        </w:rPr>
        <w:t>proceeds to the agency question: s</w:t>
      </w:r>
      <w:r w:rsidR="00BC39BA" w:rsidRPr="0013512D">
        <w:rPr>
          <w:rFonts w:ascii="Times New Roman" w:hAnsi="Times New Roman"/>
          <w:color w:val="000000" w:themeColor="text1"/>
          <w:lang w:val="en-GB"/>
        </w:rPr>
        <w:t>takeholders’ enga</w:t>
      </w:r>
      <w:r w:rsidR="000C7B42" w:rsidRPr="0013512D">
        <w:rPr>
          <w:rFonts w:ascii="Times New Roman" w:hAnsi="Times New Roman"/>
          <w:color w:val="000000" w:themeColor="text1"/>
          <w:lang w:val="en-GB"/>
        </w:rPr>
        <w:t>gement with art in relation to international criminal j</w:t>
      </w:r>
      <w:r w:rsidR="00BC39BA" w:rsidRPr="0013512D">
        <w:rPr>
          <w:rFonts w:ascii="Times New Roman" w:hAnsi="Times New Roman"/>
          <w:color w:val="000000" w:themeColor="text1"/>
          <w:lang w:val="en-GB"/>
        </w:rPr>
        <w:t xml:space="preserve">ustice </w:t>
      </w:r>
      <w:r w:rsidR="00B02663" w:rsidRPr="0013512D">
        <w:rPr>
          <w:rFonts w:ascii="Times New Roman" w:hAnsi="Times New Roman"/>
          <w:color w:val="000000" w:themeColor="text1"/>
          <w:lang w:val="en-GB"/>
        </w:rPr>
        <w:t xml:space="preserve">can be envisaged in a variety of forms, some of which we discuss in </w:t>
      </w:r>
      <w:r w:rsidRPr="0013512D">
        <w:rPr>
          <w:rFonts w:ascii="Times New Roman" w:hAnsi="Times New Roman"/>
          <w:color w:val="000000" w:themeColor="text1"/>
          <w:lang w:val="en-GB"/>
        </w:rPr>
        <w:t>this section</w:t>
      </w:r>
      <w:r w:rsidR="00B02663" w:rsidRPr="0013512D">
        <w:rPr>
          <w:rFonts w:ascii="Times New Roman" w:hAnsi="Times New Roman"/>
          <w:color w:val="000000" w:themeColor="text1"/>
          <w:lang w:val="en-GB"/>
        </w:rPr>
        <w:t>.</w:t>
      </w:r>
      <w:r w:rsidR="00BC39BA" w:rsidRPr="0013512D">
        <w:rPr>
          <w:rFonts w:ascii="Times New Roman" w:hAnsi="Times New Roman"/>
          <w:color w:val="000000" w:themeColor="text1"/>
          <w:lang w:val="en-GB"/>
        </w:rPr>
        <w:t xml:space="preserve"> </w:t>
      </w:r>
      <w:r w:rsidR="00D4390D" w:rsidRPr="0013512D">
        <w:rPr>
          <w:rFonts w:ascii="Times New Roman" w:eastAsiaTheme="minorHAnsi" w:hAnsi="Times New Roman"/>
          <w:color w:val="000000" w:themeColor="text1"/>
          <w:lang w:val="en-GB"/>
        </w:rPr>
        <w:t xml:space="preserve">Section four raises </w:t>
      </w:r>
      <w:r w:rsidR="00CB305D" w:rsidRPr="0013512D">
        <w:rPr>
          <w:rFonts w:ascii="Times New Roman" w:eastAsiaTheme="minorHAnsi" w:hAnsi="Times New Roman"/>
          <w:color w:val="000000" w:themeColor="text1"/>
          <w:lang w:val="en-GB"/>
        </w:rPr>
        <w:t>a few</w:t>
      </w:r>
      <w:r w:rsidR="00D4390D" w:rsidRPr="0013512D">
        <w:rPr>
          <w:rFonts w:ascii="Times New Roman" w:eastAsiaTheme="minorHAnsi" w:hAnsi="Times New Roman"/>
          <w:color w:val="000000" w:themeColor="text1"/>
          <w:lang w:val="en-GB"/>
        </w:rPr>
        <w:t xml:space="preserve"> countervailing considerations and maps out potential pitfalls in employing art to achieve the goal of reconciliation in international criminal </w:t>
      </w:r>
      <w:r w:rsidR="00CA0596">
        <w:rPr>
          <w:rFonts w:ascii="Times New Roman" w:eastAsiaTheme="minorHAnsi" w:hAnsi="Times New Roman"/>
          <w:color w:val="000000" w:themeColor="text1"/>
          <w:lang w:val="en-GB"/>
        </w:rPr>
        <w:t>justice.</w:t>
      </w:r>
      <w:r w:rsidR="00D4390D" w:rsidRPr="0013512D">
        <w:rPr>
          <w:rFonts w:ascii="Times New Roman" w:eastAsiaTheme="minorHAnsi" w:hAnsi="Times New Roman"/>
          <w:color w:val="000000" w:themeColor="text1"/>
          <w:lang w:val="en-GB"/>
        </w:rPr>
        <w:t xml:space="preserve"> </w:t>
      </w:r>
      <w:r w:rsidR="00CB305D" w:rsidRPr="0013512D">
        <w:rPr>
          <w:rFonts w:ascii="Times New Roman" w:eastAsiaTheme="minorHAnsi" w:hAnsi="Times New Roman"/>
          <w:color w:val="000000" w:themeColor="text1"/>
          <w:lang w:val="en-GB"/>
        </w:rPr>
        <w:t>F</w:t>
      </w:r>
      <w:r w:rsidR="00D4390D" w:rsidRPr="0013512D">
        <w:rPr>
          <w:rFonts w:ascii="Times New Roman" w:eastAsiaTheme="minorHAnsi" w:hAnsi="Times New Roman"/>
          <w:color w:val="000000" w:themeColor="text1"/>
          <w:lang w:val="en-GB"/>
        </w:rPr>
        <w:t xml:space="preserve">inally, section five concludes this paper. </w:t>
      </w:r>
    </w:p>
    <w:p w14:paraId="6382C476" w14:textId="77777777" w:rsidR="006F34A3" w:rsidRPr="0013512D" w:rsidRDefault="006F34A3" w:rsidP="005C247F">
      <w:pPr>
        <w:spacing w:line="360" w:lineRule="auto"/>
        <w:rPr>
          <w:color w:val="000000" w:themeColor="text1"/>
          <w:lang w:val="en-GB"/>
        </w:rPr>
      </w:pPr>
    </w:p>
    <w:p w14:paraId="1620F012" w14:textId="0094D19F" w:rsidR="00BC39BA" w:rsidRPr="0013512D" w:rsidRDefault="00F823B4" w:rsidP="005C247F">
      <w:pPr>
        <w:pStyle w:val="ListParagraph"/>
        <w:numPr>
          <w:ilvl w:val="0"/>
          <w:numId w:val="1"/>
        </w:numPr>
        <w:spacing w:line="360" w:lineRule="auto"/>
        <w:rPr>
          <w:rFonts w:ascii="Times New Roman" w:hAnsi="Times New Roman"/>
          <w:lang w:val="en-GB"/>
        </w:rPr>
      </w:pPr>
      <w:r w:rsidRPr="0013512D">
        <w:rPr>
          <w:rFonts w:ascii="Times New Roman" w:hAnsi="Times New Roman"/>
          <w:u w:val="single"/>
          <w:lang w:val="en-GB"/>
        </w:rPr>
        <w:t>Three Qualities of Art that Can Contribute to Reconciliation</w:t>
      </w:r>
    </w:p>
    <w:p w14:paraId="6778AA49" w14:textId="77777777" w:rsidR="006F34A3" w:rsidRPr="0013512D" w:rsidRDefault="006F34A3" w:rsidP="005C247F">
      <w:pPr>
        <w:pStyle w:val="ListParagraph"/>
        <w:spacing w:line="360" w:lineRule="auto"/>
        <w:rPr>
          <w:rFonts w:ascii="Times New Roman" w:hAnsi="Times New Roman"/>
          <w:lang w:val="en-GB"/>
        </w:rPr>
      </w:pPr>
    </w:p>
    <w:p w14:paraId="74D871BE" w14:textId="707164D9" w:rsidR="00550894" w:rsidRPr="0013512D" w:rsidRDefault="00550894" w:rsidP="005C247F">
      <w:pPr>
        <w:pStyle w:val="ListParagraph"/>
        <w:numPr>
          <w:ilvl w:val="1"/>
          <w:numId w:val="1"/>
        </w:numPr>
        <w:spacing w:line="360" w:lineRule="auto"/>
        <w:rPr>
          <w:rFonts w:ascii="Times New Roman" w:hAnsi="Times New Roman"/>
          <w:i/>
          <w:lang w:val="en-GB"/>
        </w:rPr>
      </w:pPr>
      <w:r w:rsidRPr="0013512D">
        <w:rPr>
          <w:rFonts w:ascii="Times New Roman" w:hAnsi="Times New Roman"/>
          <w:i/>
          <w:lang w:val="en-GB"/>
        </w:rPr>
        <w:t>Art</w:t>
      </w:r>
      <w:r w:rsidR="00F823B4" w:rsidRPr="0013512D">
        <w:rPr>
          <w:rFonts w:ascii="Times New Roman" w:hAnsi="Times New Roman"/>
          <w:i/>
          <w:lang w:val="en-GB"/>
        </w:rPr>
        <w:t xml:space="preserve"> as a process</w:t>
      </w:r>
    </w:p>
    <w:p w14:paraId="42AB6458" w14:textId="77777777" w:rsidR="00186983" w:rsidRPr="0013512D" w:rsidRDefault="00186983" w:rsidP="005C247F">
      <w:pPr>
        <w:pStyle w:val="ListParagraph"/>
        <w:spacing w:line="360" w:lineRule="auto"/>
        <w:ind w:left="1440"/>
        <w:rPr>
          <w:rFonts w:ascii="Times New Roman" w:hAnsi="Times New Roman"/>
          <w:i/>
          <w:lang w:val="en-GB"/>
        </w:rPr>
      </w:pPr>
    </w:p>
    <w:p w14:paraId="52B23207" w14:textId="5803B781" w:rsidR="00550894" w:rsidRPr="0013512D" w:rsidRDefault="00F92250" w:rsidP="005C247F">
      <w:pPr>
        <w:spacing w:line="360" w:lineRule="auto"/>
        <w:rPr>
          <w:lang w:val="en-GB"/>
        </w:rPr>
      </w:pPr>
      <w:r w:rsidRPr="0013512D">
        <w:rPr>
          <w:lang w:val="en-GB"/>
        </w:rPr>
        <w:t xml:space="preserve">The first essential quality of art </w:t>
      </w:r>
      <w:r w:rsidR="00C73D3B" w:rsidRPr="0013512D">
        <w:rPr>
          <w:lang w:val="en-GB"/>
        </w:rPr>
        <w:t xml:space="preserve">that is relevant for present discussion </w:t>
      </w:r>
      <w:r w:rsidRPr="0013512D">
        <w:rPr>
          <w:lang w:val="en-GB"/>
        </w:rPr>
        <w:t>is its procedural nature. We</w:t>
      </w:r>
      <w:r w:rsidR="00550894" w:rsidRPr="0013512D">
        <w:rPr>
          <w:lang w:val="en-GB"/>
        </w:rPr>
        <w:t xml:space="preserve"> view art primarily as a </w:t>
      </w:r>
      <w:r w:rsidR="00550894" w:rsidRPr="0013512D">
        <w:rPr>
          <w:i/>
          <w:lang w:val="en-GB"/>
        </w:rPr>
        <w:t>process</w:t>
      </w:r>
      <w:r w:rsidR="00550894" w:rsidRPr="0013512D">
        <w:rPr>
          <w:lang w:val="en-GB"/>
        </w:rPr>
        <w:t xml:space="preserve"> for allowing artistic expression. The work of Simon O’Sullivan is helpful i</w:t>
      </w:r>
      <w:r w:rsidR="003D08D0" w:rsidRPr="0013512D">
        <w:rPr>
          <w:lang w:val="en-GB"/>
        </w:rPr>
        <w:t xml:space="preserve">n </w:t>
      </w:r>
      <w:r w:rsidR="00550894" w:rsidRPr="0013512D">
        <w:rPr>
          <w:lang w:val="en-GB"/>
        </w:rPr>
        <w:t>explaining this specific vision. O’Sullivan in his article</w:t>
      </w:r>
      <w:r w:rsidR="000747FE" w:rsidRPr="0013512D">
        <w:rPr>
          <w:lang w:val="en-GB"/>
        </w:rPr>
        <w:t>,</w:t>
      </w:r>
      <w:r w:rsidR="00550894" w:rsidRPr="0013512D">
        <w:rPr>
          <w:lang w:val="en-GB"/>
        </w:rPr>
        <w:t xml:space="preserve"> “The Aesthetic of Affect: Thinking Art beyond Representation”</w:t>
      </w:r>
      <w:r w:rsidR="000747FE" w:rsidRPr="0013512D">
        <w:rPr>
          <w:lang w:val="en-GB"/>
        </w:rPr>
        <w:t>,</w:t>
      </w:r>
      <w:r w:rsidR="00550894" w:rsidRPr="0013512D">
        <w:rPr>
          <w:lang w:val="en-GB"/>
        </w:rPr>
        <w:t xml:space="preserve"> observes that art is not merely an object of knowledge to be studied from the perspective of representation but something that produces </w:t>
      </w:r>
      <w:r w:rsidR="00550894" w:rsidRPr="0013512D">
        <w:rPr>
          <w:i/>
          <w:lang w:val="en-GB"/>
        </w:rPr>
        <w:t>affects.</w:t>
      </w:r>
      <w:r w:rsidR="00550894" w:rsidRPr="0013512D">
        <w:rPr>
          <w:rStyle w:val="FootnoteReference"/>
          <w:lang w:val="en-GB"/>
        </w:rPr>
        <w:footnoteReference w:id="32"/>
      </w:r>
      <w:r w:rsidR="00550894" w:rsidRPr="0013512D">
        <w:rPr>
          <w:lang w:val="en-GB"/>
        </w:rPr>
        <w:t xml:space="preserve"> Affects are moments of intensity, a reaction in/on the body at the level of matter.</w:t>
      </w:r>
      <w:r w:rsidR="00550894" w:rsidRPr="0013512D">
        <w:rPr>
          <w:rStyle w:val="FootnoteReference"/>
          <w:lang w:val="en-GB"/>
        </w:rPr>
        <w:footnoteReference w:id="33"/>
      </w:r>
      <w:r w:rsidR="00550894" w:rsidRPr="0013512D">
        <w:rPr>
          <w:lang w:val="en-GB"/>
        </w:rPr>
        <w:t xml:space="preserve"> This vision of art, exposes art’s dual function: to represent and interpret reality and to create direct human experience connecting us to ourselves through aesthetics.  Art goes beyond language and even beyond representation of meaning by creating direct experience. It facilitates the channel of communication between the observer and the observed, dispensing with the dimensions of time and space. This experiential aspect of art opens up the emotional channels for receiving the interpretative or representational message, while at the same time avoiding dogmatism. In this way, the message is internalized by an individual, taking into account their subjective reality and experience of life. </w:t>
      </w:r>
    </w:p>
    <w:p w14:paraId="45EC715E" w14:textId="1AC609BA" w:rsidR="00200849" w:rsidRPr="0013512D" w:rsidRDefault="00200849" w:rsidP="005C247F">
      <w:pPr>
        <w:spacing w:line="360" w:lineRule="auto"/>
        <w:rPr>
          <w:lang w:val="en-GB"/>
        </w:rPr>
      </w:pPr>
    </w:p>
    <w:p w14:paraId="61B0A920" w14:textId="1B0C4AE2" w:rsidR="00200849" w:rsidRPr="0013512D" w:rsidRDefault="00F92250" w:rsidP="005C247F">
      <w:pPr>
        <w:spacing w:line="360" w:lineRule="auto"/>
        <w:rPr>
          <w:lang w:val="en-GB"/>
        </w:rPr>
      </w:pPr>
      <w:r w:rsidRPr="0013512D">
        <w:rPr>
          <w:lang w:val="en-GB"/>
        </w:rPr>
        <w:lastRenderedPageBreak/>
        <w:t>It is through this</w:t>
      </w:r>
      <w:r w:rsidR="00200849" w:rsidRPr="0013512D">
        <w:rPr>
          <w:lang w:val="en-GB"/>
        </w:rPr>
        <w:t xml:space="preserve"> </w:t>
      </w:r>
      <w:r w:rsidRPr="0013512D">
        <w:rPr>
          <w:lang w:val="en-GB"/>
        </w:rPr>
        <w:t xml:space="preserve">quality that </w:t>
      </w:r>
      <w:r w:rsidR="00200849" w:rsidRPr="0013512D">
        <w:rPr>
          <w:lang w:val="en-GB"/>
        </w:rPr>
        <w:t>art allows for processing</w:t>
      </w:r>
      <w:r w:rsidRPr="0013512D">
        <w:rPr>
          <w:lang w:val="en-GB"/>
        </w:rPr>
        <w:t xml:space="preserve"> of trauma</w:t>
      </w:r>
      <w:r w:rsidR="00200849" w:rsidRPr="0013512D">
        <w:rPr>
          <w:lang w:val="en-GB"/>
        </w:rPr>
        <w:t>.</w:t>
      </w:r>
      <w:r w:rsidR="00200849" w:rsidRPr="0013512D">
        <w:rPr>
          <w:rStyle w:val="FootnoteReference"/>
          <w:lang w:val="en-GB"/>
        </w:rPr>
        <w:footnoteReference w:id="34"/>
      </w:r>
      <w:r w:rsidR="00200849" w:rsidRPr="0013512D">
        <w:rPr>
          <w:lang w:val="en-GB"/>
        </w:rPr>
        <w:t xml:space="preserve"> Psychoanalyst Anna Ornstein elaborates on this concept to explain that victims, both on an individual and societal</w:t>
      </w:r>
      <w:r w:rsidR="00200849" w:rsidRPr="0013512D">
        <w:rPr>
          <w:color w:val="FF0000"/>
          <w:lang w:val="en-GB"/>
        </w:rPr>
        <w:t xml:space="preserve"> </w:t>
      </w:r>
      <w:r w:rsidR="00200849" w:rsidRPr="0013512D">
        <w:rPr>
          <w:lang w:val="en-GB"/>
        </w:rPr>
        <w:t>level, through self-object functions and symbolism, are able to emotionally process and recover from extremely inhumane experiences with a relatively intact mind.</w:t>
      </w:r>
      <w:r w:rsidR="00200849" w:rsidRPr="0013512D">
        <w:rPr>
          <w:rStyle w:val="FootnoteReference"/>
          <w:lang w:val="en-GB"/>
        </w:rPr>
        <w:footnoteReference w:id="35"/>
      </w:r>
      <w:r w:rsidR="00200849" w:rsidRPr="0013512D">
        <w:rPr>
          <w:lang w:val="en-GB"/>
        </w:rPr>
        <w:t xml:space="preserve">  Emotional processing is a key component of reconciliation.</w:t>
      </w:r>
      <w:r w:rsidR="00094028" w:rsidRPr="0013512D">
        <w:rPr>
          <w:rStyle w:val="FootnoteReference"/>
          <w:lang w:val="en-GB"/>
        </w:rPr>
        <w:footnoteReference w:id="36"/>
      </w:r>
      <w:r w:rsidR="00200849" w:rsidRPr="0013512D">
        <w:rPr>
          <w:lang w:val="en-GB"/>
        </w:rPr>
        <w:t xml:space="preserve"> </w:t>
      </w:r>
      <w:proofErr w:type="spellStart"/>
      <w:r w:rsidR="00200849" w:rsidRPr="0013512D">
        <w:rPr>
          <w:lang w:val="en-GB"/>
        </w:rPr>
        <w:t>Nurit</w:t>
      </w:r>
      <w:proofErr w:type="spellEnd"/>
      <w:r w:rsidR="00200849" w:rsidRPr="0013512D">
        <w:rPr>
          <w:lang w:val="en-GB"/>
        </w:rPr>
        <w:t xml:space="preserve"> </w:t>
      </w:r>
      <w:proofErr w:type="spellStart"/>
      <w:r w:rsidR="00200849" w:rsidRPr="0013512D">
        <w:rPr>
          <w:lang w:val="en-GB"/>
        </w:rPr>
        <w:t>Shnabel</w:t>
      </w:r>
      <w:proofErr w:type="spellEnd"/>
      <w:r w:rsidR="00200849" w:rsidRPr="0013512D">
        <w:rPr>
          <w:lang w:val="en-GB"/>
        </w:rPr>
        <w:t xml:space="preserve"> and Arie Nadler </w:t>
      </w:r>
      <w:r w:rsidR="008A60E1" w:rsidRPr="0013512D">
        <w:rPr>
          <w:lang w:val="en-GB"/>
        </w:rPr>
        <w:t xml:space="preserve">further </w:t>
      </w:r>
      <w:r w:rsidR="00200849" w:rsidRPr="0013512D">
        <w:rPr>
          <w:lang w:val="en-GB"/>
        </w:rPr>
        <w:t>observe how victims, perpetrators and the greater community experience a wide range of emotions such as powerlessness, guilt and repentance in the aftermath of mass atrocities.</w:t>
      </w:r>
      <w:r w:rsidR="00200849" w:rsidRPr="0013512D">
        <w:rPr>
          <w:rStyle w:val="FootnoteReference"/>
          <w:lang w:val="en-GB"/>
        </w:rPr>
        <w:footnoteReference w:id="37"/>
      </w:r>
      <w:r w:rsidR="00200849" w:rsidRPr="0013512D">
        <w:rPr>
          <w:lang w:val="en-GB"/>
        </w:rPr>
        <w:t xml:space="preserve"> Art-making fosters emotions such as self-efficacy, connectedness through group cohesion, authenticity, and a sense of control and purpose. These are critical ingredients to the reconciliation process because when victims are able to recover a sense of empowerment and perpetrators are able to regain a positive image, both groups are more likely to have reconciliatory goals and views.</w:t>
      </w:r>
      <w:r w:rsidR="00200849" w:rsidRPr="0013512D">
        <w:rPr>
          <w:rStyle w:val="FootnoteReference"/>
          <w:lang w:val="en-GB"/>
        </w:rPr>
        <w:footnoteReference w:id="38"/>
      </w:r>
      <w:r w:rsidR="00200849" w:rsidRPr="0013512D">
        <w:rPr>
          <w:lang w:val="en-GB"/>
        </w:rPr>
        <w:t xml:space="preserve"> </w:t>
      </w:r>
    </w:p>
    <w:p w14:paraId="51552510" w14:textId="77777777" w:rsidR="00200849" w:rsidRPr="0013512D" w:rsidRDefault="00200849" w:rsidP="005C247F">
      <w:pPr>
        <w:pStyle w:val="CommentText"/>
        <w:spacing w:line="360" w:lineRule="auto"/>
        <w:rPr>
          <w:rFonts w:ascii="Times New Roman" w:hAnsi="Times New Roman" w:cs="Times New Roman"/>
          <w:color w:val="000000" w:themeColor="text1"/>
          <w:sz w:val="24"/>
          <w:szCs w:val="24"/>
        </w:rPr>
      </w:pPr>
    </w:p>
    <w:p w14:paraId="4A7BBAFE" w14:textId="78D30E86" w:rsidR="00200849" w:rsidRPr="0013512D" w:rsidRDefault="00200849" w:rsidP="005C247F">
      <w:pPr>
        <w:spacing w:line="360" w:lineRule="auto"/>
        <w:rPr>
          <w:lang w:val="en-GB"/>
        </w:rPr>
      </w:pPr>
      <w:r w:rsidRPr="0013512D">
        <w:rPr>
          <w:lang w:val="en-GB"/>
        </w:rPr>
        <w:t xml:space="preserve">Those who survive heinous crimes such as genocide </w:t>
      </w:r>
      <w:r w:rsidR="00F92250" w:rsidRPr="0013512D">
        <w:rPr>
          <w:lang w:val="en-GB"/>
        </w:rPr>
        <w:t xml:space="preserve">or </w:t>
      </w:r>
      <w:r w:rsidRPr="0013512D">
        <w:rPr>
          <w:lang w:val="en-GB"/>
        </w:rPr>
        <w:t>war crimes do so with physical, emotional and cognitive wounds throughout their day-to-day experience, many of which persist long after the noted event.</w:t>
      </w:r>
      <w:r w:rsidRPr="0013512D">
        <w:rPr>
          <w:rStyle w:val="FootnoteReference"/>
          <w:lang w:val="en-GB"/>
        </w:rPr>
        <w:footnoteReference w:id="39"/>
      </w:r>
      <w:r w:rsidRPr="0013512D">
        <w:rPr>
          <w:lang w:val="en-GB"/>
        </w:rPr>
        <w:t xml:space="preserve"> Studies show that symbolization, a process whereby an unexpressed emotion or experience is externalized and given form, has significant healing properties in the aftermath of mass atrocities.</w:t>
      </w:r>
      <w:r w:rsidRPr="0013512D">
        <w:rPr>
          <w:rStyle w:val="FootnoteReference"/>
          <w:lang w:val="en-GB"/>
        </w:rPr>
        <w:footnoteReference w:id="40"/>
      </w:r>
      <w:r w:rsidRPr="0013512D">
        <w:rPr>
          <w:lang w:val="en-GB"/>
        </w:rPr>
        <w:t xml:space="preserve"> The viewing of art is a correspondingly moving process.</w:t>
      </w:r>
      <w:r w:rsidRPr="0013512D">
        <w:rPr>
          <w:rStyle w:val="FootnoteReference"/>
          <w:lang w:val="en-GB"/>
        </w:rPr>
        <w:footnoteReference w:id="41"/>
      </w:r>
      <w:r w:rsidRPr="0013512D">
        <w:rPr>
          <w:lang w:val="en-GB"/>
        </w:rPr>
        <w:t xml:space="preserve"> As individuals view or make art, they are able to discover their emotions and experiences articulated outside of themselves.</w:t>
      </w:r>
      <w:r w:rsidRPr="0013512D">
        <w:rPr>
          <w:rStyle w:val="FootnoteReference"/>
          <w:lang w:val="en-GB"/>
        </w:rPr>
        <w:footnoteReference w:id="42"/>
      </w:r>
      <w:r w:rsidRPr="0013512D">
        <w:rPr>
          <w:lang w:val="en-GB"/>
        </w:rPr>
        <w:t xml:space="preserve"> This can provide those affected by mass violence with a sense of relief, consolation and can assuage isolation by enabling traumatic experiences to be shared with and experienced </w:t>
      </w:r>
      <w:r w:rsidRPr="0013512D">
        <w:rPr>
          <w:lang w:val="en-GB"/>
        </w:rPr>
        <w:lastRenderedPageBreak/>
        <w:t>by others.</w:t>
      </w:r>
      <w:r w:rsidRPr="0013512D">
        <w:rPr>
          <w:rStyle w:val="FootnoteReference"/>
          <w:lang w:val="en-GB"/>
        </w:rPr>
        <w:footnoteReference w:id="43"/>
      </w:r>
      <w:r w:rsidRPr="0013512D">
        <w:rPr>
          <w:lang w:val="en-GB"/>
        </w:rPr>
        <w:t xml:space="preserve"> The art serves as a relational mirror that allows the affected parties to resonate with emotions that they themselves are not able </w:t>
      </w:r>
      <w:r w:rsidR="008A60E1" w:rsidRPr="0013512D">
        <w:rPr>
          <w:lang w:val="en-GB"/>
        </w:rPr>
        <w:t xml:space="preserve">to </w:t>
      </w:r>
      <w:r w:rsidRPr="0013512D">
        <w:rPr>
          <w:lang w:val="en-GB"/>
        </w:rPr>
        <w:t>adequately articulate.</w:t>
      </w:r>
      <w:r w:rsidRPr="0013512D">
        <w:rPr>
          <w:rStyle w:val="FootnoteReference"/>
          <w:lang w:val="en-GB"/>
        </w:rPr>
        <w:footnoteReference w:id="44"/>
      </w:r>
      <w:r w:rsidRPr="0013512D">
        <w:rPr>
          <w:lang w:val="en-GB"/>
        </w:rPr>
        <w:t xml:space="preserve"> This process fosters reconciliation.</w:t>
      </w:r>
      <w:r w:rsidRPr="0013512D">
        <w:rPr>
          <w:rStyle w:val="FootnoteReference"/>
          <w:lang w:val="en-GB"/>
        </w:rPr>
        <w:footnoteReference w:id="45"/>
      </w:r>
      <w:r w:rsidRPr="0013512D">
        <w:rPr>
          <w:lang w:val="en-GB"/>
        </w:rPr>
        <w:t xml:space="preserve"> </w:t>
      </w:r>
    </w:p>
    <w:p w14:paraId="07C1767F" w14:textId="77777777" w:rsidR="00200849" w:rsidRPr="0013512D" w:rsidRDefault="00200849" w:rsidP="005C247F">
      <w:pPr>
        <w:pStyle w:val="CommentText"/>
        <w:spacing w:line="360" w:lineRule="auto"/>
        <w:rPr>
          <w:rFonts w:ascii="Times New Roman" w:hAnsi="Times New Roman" w:cs="Times New Roman"/>
          <w:color w:val="000000" w:themeColor="text1"/>
          <w:sz w:val="24"/>
          <w:szCs w:val="24"/>
        </w:rPr>
      </w:pPr>
    </w:p>
    <w:p w14:paraId="23EB9FE9" w14:textId="3F3B0768" w:rsidR="00200849" w:rsidRPr="0013512D" w:rsidRDefault="00200849" w:rsidP="005C247F">
      <w:pPr>
        <w:spacing w:line="360" w:lineRule="auto"/>
        <w:rPr>
          <w:color w:val="000000" w:themeColor="text1"/>
          <w:lang w:val="en-GB"/>
        </w:rPr>
      </w:pPr>
      <w:r w:rsidRPr="0013512D">
        <w:rPr>
          <w:color w:val="000000" w:themeColor="text1"/>
          <w:lang w:val="en-GB"/>
        </w:rPr>
        <w:t xml:space="preserve">When externalized through the means of art, individuals are able to process taboos and traumatic events. Furthermore, individuals who engage in the artwork utilize emotive and cognitive functioning in order to digest such symbolism, resulting in their own interpretation </w:t>
      </w:r>
      <w:r w:rsidR="0037488A" w:rsidRPr="0013512D">
        <w:rPr>
          <w:color w:val="000000" w:themeColor="text1"/>
          <w:lang w:val="en-GB"/>
        </w:rPr>
        <w:t>and creating individual meaning around the artistic piece</w:t>
      </w:r>
      <w:r w:rsidRPr="0013512D">
        <w:rPr>
          <w:color w:val="000000" w:themeColor="text1"/>
          <w:lang w:val="en-GB"/>
        </w:rPr>
        <w:t xml:space="preserve">. </w:t>
      </w:r>
      <w:r w:rsidR="0037488A" w:rsidRPr="0013512D">
        <w:rPr>
          <w:color w:val="000000" w:themeColor="text1"/>
          <w:lang w:val="en-GB"/>
        </w:rPr>
        <w:t>Take, for instance, theatre. On a superficial level, one may view it as a mere form of recreation and storytelling. It has, however, traditionally held a deeper purpose for it conveys collective memories, identities and reiterated behaviours.</w:t>
      </w:r>
      <w:r w:rsidR="0037488A" w:rsidRPr="0013512D">
        <w:rPr>
          <w:rStyle w:val="FootnoteReference"/>
          <w:color w:val="000000" w:themeColor="text1"/>
          <w:lang w:val="en-GB"/>
        </w:rPr>
        <w:footnoteReference w:id="46"/>
      </w:r>
      <w:r w:rsidR="0037488A" w:rsidRPr="0013512D">
        <w:rPr>
          <w:color w:val="000000" w:themeColor="text1"/>
          <w:lang w:val="en-GB"/>
        </w:rPr>
        <w:t xml:space="preserve"> As</w:t>
      </w:r>
      <w:r w:rsidRPr="0013512D">
        <w:rPr>
          <w:color w:val="000000" w:themeColor="text1"/>
          <w:lang w:val="en-GB"/>
        </w:rPr>
        <w:t xml:space="preserve"> an outlet of </w:t>
      </w:r>
      <w:r w:rsidR="00940434" w:rsidRPr="0013512D">
        <w:rPr>
          <w:color w:val="000000" w:themeColor="text1"/>
          <w:lang w:val="en-GB"/>
        </w:rPr>
        <w:t xml:space="preserve">such </w:t>
      </w:r>
      <w:r w:rsidRPr="0013512D">
        <w:rPr>
          <w:color w:val="000000" w:themeColor="text1"/>
          <w:lang w:val="en-GB"/>
        </w:rPr>
        <w:t>expression, theatre performances were laced with political critique during the existence of the concentration camps in Chile</w:t>
      </w:r>
      <w:r w:rsidR="00220D93" w:rsidRPr="0013512D">
        <w:rPr>
          <w:rStyle w:val="FootnoteReference"/>
          <w:color w:val="000000" w:themeColor="text1"/>
          <w:lang w:val="en-GB"/>
        </w:rPr>
        <w:footnoteReference w:id="47"/>
      </w:r>
      <w:r w:rsidRPr="0013512D">
        <w:rPr>
          <w:color w:val="000000" w:themeColor="text1"/>
          <w:lang w:val="en-GB"/>
        </w:rPr>
        <w:t xml:space="preserve"> and Germany.</w:t>
      </w:r>
      <w:r w:rsidR="00EA071B" w:rsidRPr="0013512D">
        <w:rPr>
          <w:rStyle w:val="FootnoteReference"/>
          <w:color w:val="000000" w:themeColor="text1"/>
          <w:lang w:val="en-GB"/>
        </w:rPr>
        <w:footnoteReference w:id="48"/>
      </w:r>
      <w:r w:rsidRPr="0013512D">
        <w:rPr>
          <w:color w:val="000000" w:themeColor="text1"/>
          <w:lang w:val="en-GB"/>
        </w:rPr>
        <w:t xml:space="preserve"> Openly discussing </w:t>
      </w:r>
      <w:r w:rsidR="00D8718D" w:rsidRPr="0013512D">
        <w:rPr>
          <w:color w:val="000000" w:themeColor="text1"/>
          <w:lang w:val="en-GB"/>
        </w:rPr>
        <w:t xml:space="preserve">these </w:t>
      </w:r>
      <w:r w:rsidRPr="0013512D">
        <w:rPr>
          <w:color w:val="000000" w:themeColor="text1"/>
          <w:lang w:val="en-GB"/>
        </w:rPr>
        <w:t xml:space="preserve">atrocities was unsafe and unwelcome </w:t>
      </w:r>
      <w:r w:rsidR="00A5175E" w:rsidRPr="0013512D">
        <w:rPr>
          <w:color w:val="000000" w:themeColor="text1"/>
          <w:lang w:val="en-GB"/>
        </w:rPr>
        <w:t xml:space="preserve">in these countries </w:t>
      </w:r>
      <w:r w:rsidRPr="0013512D">
        <w:rPr>
          <w:color w:val="000000" w:themeColor="text1"/>
          <w:lang w:val="en-GB"/>
        </w:rPr>
        <w:t>but made possible through the means of art and symbolization.</w:t>
      </w:r>
      <w:r w:rsidR="00E15E93" w:rsidRPr="0013512D">
        <w:rPr>
          <w:color w:val="000000" w:themeColor="text1"/>
          <w:lang w:val="en-GB"/>
        </w:rPr>
        <w:t xml:space="preserve"> </w:t>
      </w:r>
      <w:r w:rsidR="00290F77" w:rsidRPr="0013512D">
        <w:rPr>
          <w:color w:val="000000" w:themeColor="text1"/>
          <w:lang w:val="en-GB"/>
        </w:rPr>
        <w:t xml:space="preserve">More recently, </w:t>
      </w:r>
      <w:r w:rsidR="001B24E0" w:rsidRPr="0013512D">
        <w:rPr>
          <w:color w:val="000000" w:themeColor="text1"/>
          <w:lang w:val="en-GB"/>
        </w:rPr>
        <w:t>local and international human rights activists</w:t>
      </w:r>
      <w:r w:rsidR="00290F77" w:rsidRPr="0013512D">
        <w:rPr>
          <w:color w:val="000000" w:themeColor="text1"/>
          <w:lang w:val="en-GB"/>
        </w:rPr>
        <w:t xml:space="preserve"> in Afghanistan used this country’s strong tradition of oral storytelling and theatre </w:t>
      </w:r>
      <w:r w:rsidR="001B24E0" w:rsidRPr="0013512D">
        <w:rPr>
          <w:color w:val="000000" w:themeColor="text1"/>
          <w:lang w:val="en-GB"/>
        </w:rPr>
        <w:t xml:space="preserve">to </w:t>
      </w:r>
      <w:r w:rsidR="00CF79C1" w:rsidRPr="0013512D">
        <w:rPr>
          <w:color w:val="000000" w:themeColor="text1"/>
          <w:lang w:val="en-GB"/>
        </w:rPr>
        <w:t>start a conversation about more than three decades of war and victimisation in the country.</w:t>
      </w:r>
      <w:r w:rsidR="00CF79C1" w:rsidRPr="0013512D">
        <w:rPr>
          <w:rStyle w:val="FootnoteReference"/>
          <w:color w:val="000000" w:themeColor="text1"/>
          <w:lang w:val="en-GB"/>
        </w:rPr>
        <w:footnoteReference w:id="49"/>
      </w:r>
    </w:p>
    <w:p w14:paraId="216262D9" w14:textId="77777777" w:rsidR="00200849" w:rsidRPr="0013512D" w:rsidRDefault="00200849" w:rsidP="005C247F">
      <w:pPr>
        <w:spacing w:line="360" w:lineRule="auto"/>
        <w:rPr>
          <w:lang w:val="en-GB"/>
        </w:rPr>
      </w:pPr>
    </w:p>
    <w:p w14:paraId="7CEECB4C" w14:textId="3EB150BF" w:rsidR="00646360" w:rsidRPr="0013512D" w:rsidRDefault="00200849" w:rsidP="005C247F">
      <w:pPr>
        <w:spacing w:line="360" w:lineRule="auto"/>
        <w:rPr>
          <w:color w:val="000000" w:themeColor="text1"/>
          <w:lang w:val="en-GB"/>
        </w:rPr>
      </w:pPr>
      <w:r w:rsidRPr="0013512D">
        <w:rPr>
          <w:color w:val="000000" w:themeColor="text1"/>
          <w:lang w:val="en-GB"/>
        </w:rPr>
        <w:t>Art-making and viewing processes offer a safe space to those who engage with such activities</w:t>
      </w:r>
      <w:r w:rsidR="00D8718D" w:rsidRPr="0013512D">
        <w:rPr>
          <w:color w:val="000000" w:themeColor="text1"/>
          <w:lang w:val="en-GB"/>
        </w:rPr>
        <w:t>,</w:t>
      </w:r>
      <w:r w:rsidRPr="0013512D">
        <w:rPr>
          <w:color w:val="000000" w:themeColor="text1"/>
          <w:lang w:val="en-GB"/>
        </w:rPr>
        <w:t xml:space="preserve"> </w:t>
      </w:r>
      <w:r w:rsidR="00D8718D" w:rsidRPr="0013512D">
        <w:rPr>
          <w:color w:val="000000" w:themeColor="text1"/>
          <w:lang w:val="en-GB"/>
        </w:rPr>
        <w:t>and this</w:t>
      </w:r>
      <w:r w:rsidRPr="0013512D">
        <w:rPr>
          <w:color w:val="000000" w:themeColor="text1"/>
          <w:lang w:val="en-GB"/>
        </w:rPr>
        <w:t xml:space="preserve"> is imperative for the reconciliation process. Agency and the sense of control are made available through artistic expression, which is especially therapeutic during times of transition, loss or grief.</w:t>
      </w:r>
      <w:r w:rsidRPr="0013512D">
        <w:rPr>
          <w:rStyle w:val="FootnoteReference"/>
          <w:color w:val="000000" w:themeColor="text1"/>
          <w:lang w:val="en-GB"/>
        </w:rPr>
        <w:footnoteReference w:id="50"/>
      </w:r>
      <w:r w:rsidRPr="0013512D">
        <w:rPr>
          <w:color w:val="000000" w:themeColor="text1"/>
          <w:lang w:val="en-GB"/>
        </w:rPr>
        <w:t xml:space="preserve"> The recovery of the sense of control is understood to be a key ingredient in the process of reconciliation for victims. Furthermore, perpetrators’ psychological needs in the </w:t>
      </w:r>
      <w:r w:rsidR="00D8718D" w:rsidRPr="0013512D">
        <w:rPr>
          <w:color w:val="000000" w:themeColor="text1"/>
          <w:lang w:val="en-GB"/>
        </w:rPr>
        <w:t xml:space="preserve">course of </w:t>
      </w:r>
      <w:r w:rsidRPr="0013512D">
        <w:rPr>
          <w:color w:val="000000" w:themeColor="text1"/>
          <w:lang w:val="en-GB"/>
        </w:rPr>
        <w:t xml:space="preserve">reconciliation are that </w:t>
      </w:r>
      <w:r w:rsidRPr="0013512D">
        <w:rPr>
          <w:color w:val="000000" w:themeColor="text1"/>
          <w:lang w:val="en-GB"/>
        </w:rPr>
        <w:lastRenderedPageBreak/>
        <w:t xml:space="preserve">of moral recovery, which also requires a safe space for processing. Rituals, rhythms and structure afforded by the art-making process are known to provide a sense of safety and strengthen individuals’ capabilities to heal. </w:t>
      </w:r>
      <w:r w:rsidR="006C3FC4" w:rsidRPr="0013512D">
        <w:rPr>
          <w:color w:val="000000" w:themeColor="text1"/>
          <w:lang w:val="en-GB"/>
        </w:rPr>
        <w:t>Thus, a</w:t>
      </w:r>
      <w:r w:rsidRPr="0013512D">
        <w:rPr>
          <w:color w:val="000000" w:themeColor="text1"/>
          <w:lang w:val="en-GB"/>
        </w:rPr>
        <w:t xml:space="preserve">rt’s ‘safe space’ affords such an experience for all the stakeholders involved. Artistic spaces </w:t>
      </w:r>
      <w:r w:rsidR="00F86EDB" w:rsidRPr="0013512D">
        <w:rPr>
          <w:color w:val="000000" w:themeColor="text1"/>
          <w:lang w:val="en-GB"/>
        </w:rPr>
        <w:t>are places for</w:t>
      </w:r>
      <w:r w:rsidRPr="0013512D">
        <w:rPr>
          <w:color w:val="000000" w:themeColor="text1"/>
          <w:lang w:val="en-GB"/>
        </w:rPr>
        <w:t xml:space="preserve"> mourning, regret or atonement, similar to that of a gravesite or memorial</w:t>
      </w:r>
      <w:r w:rsidR="002C0ED5" w:rsidRPr="0013512D">
        <w:rPr>
          <w:color w:val="000000" w:themeColor="text1"/>
          <w:lang w:val="en-GB"/>
        </w:rPr>
        <w:t>.</w:t>
      </w:r>
    </w:p>
    <w:p w14:paraId="3464DD98" w14:textId="77777777" w:rsidR="00F823B4" w:rsidRPr="0013512D" w:rsidRDefault="00F823B4" w:rsidP="005C247F">
      <w:pPr>
        <w:spacing w:line="360" w:lineRule="auto"/>
        <w:rPr>
          <w:lang w:val="en-GB"/>
        </w:rPr>
      </w:pPr>
    </w:p>
    <w:p w14:paraId="2908D2F2" w14:textId="55780597" w:rsidR="00DD44E8" w:rsidRPr="0013512D" w:rsidRDefault="00F823B4" w:rsidP="005C247F">
      <w:pPr>
        <w:pStyle w:val="ListParagraph"/>
        <w:numPr>
          <w:ilvl w:val="1"/>
          <w:numId w:val="1"/>
        </w:numPr>
        <w:spacing w:line="360" w:lineRule="auto"/>
        <w:rPr>
          <w:rFonts w:ascii="Times New Roman" w:hAnsi="Times New Roman"/>
          <w:i/>
          <w:lang w:val="en-GB"/>
        </w:rPr>
      </w:pPr>
      <w:r w:rsidRPr="0013512D">
        <w:rPr>
          <w:rFonts w:ascii="Times New Roman" w:hAnsi="Times New Roman"/>
          <w:i/>
          <w:lang w:val="en-GB"/>
        </w:rPr>
        <w:t>Art’s relational quality</w:t>
      </w:r>
    </w:p>
    <w:p w14:paraId="787B422D" w14:textId="77777777" w:rsidR="00F823B4" w:rsidRPr="0013512D" w:rsidRDefault="00F823B4" w:rsidP="005C247F">
      <w:pPr>
        <w:pStyle w:val="ListParagraph"/>
        <w:spacing w:line="360" w:lineRule="auto"/>
        <w:ind w:left="1440"/>
        <w:rPr>
          <w:rFonts w:ascii="Times New Roman" w:hAnsi="Times New Roman"/>
          <w:lang w:val="en-GB"/>
        </w:rPr>
      </w:pPr>
    </w:p>
    <w:p w14:paraId="256B5FBA" w14:textId="7E9BF635" w:rsidR="00D97F0F" w:rsidRPr="0013512D" w:rsidRDefault="00550894" w:rsidP="005C247F">
      <w:pPr>
        <w:spacing w:line="360" w:lineRule="auto"/>
        <w:rPr>
          <w:lang w:val="en-GB"/>
        </w:rPr>
      </w:pPr>
      <w:r w:rsidRPr="0013512D">
        <w:rPr>
          <w:lang w:val="en-GB"/>
        </w:rPr>
        <w:t xml:space="preserve">Our conceptualisation of art as a process is </w:t>
      </w:r>
      <w:r w:rsidR="00E47A48" w:rsidRPr="0013512D">
        <w:rPr>
          <w:lang w:val="en-GB"/>
        </w:rPr>
        <w:t>directly linked to another</w:t>
      </w:r>
      <w:r w:rsidRPr="0013512D">
        <w:rPr>
          <w:lang w:val="en-GB"/>
        </w:rPr>
        <w:t xml:space="preserve"> essential qualit</w:t>
      </w:r>
      <w:r w:rsidR="00E47A48" w:rsidRPr="0013512D">
        <w:rPr>
          <w:lang w:val="en-GB"/>
        </w:rPr>
        <w:t>y</w:t>
      </w:r>
      <w:r w:rsidRPr="0013512D">
        <w:rPr>
          <w:lang w:val="en-GB"/>
        </w:rPr>
        <w:t xml:space="preserve"> of art that we wish to explore</w:t>
      </w:r>
      <w:r w:rsidR="00E47A48" w:rsidRPr="0013512D">
        <w:rPr>
          <w:lang w:val="en-GB"/>
        </w:rPr>
        <w:t xml:space="preserve"> –</w:t>
      </w:r>
      <w:r w:rsidR="00610AA7" w:rsidRPr="0013512D">
        <w:rPr>
          <w:lang w:val="en-GB"/>
        </w:rPr>
        <w:t xml:space="preserve"> </w:t>
      </w:r>
      <w:r w:rsidR="00E47A48" w:rsidRPr="0013512D">
        <w:rPr>
          <w:lang w:val="en-GB"/>
        </w:rPr>
        <w:t xml:space="preserve">its </w:t>
      </w:r>
      <w:r w:rsidR="00B902A5" w:rsidRPr="0013512D">
        <w:rPr>
          <w:i/>
          <w:lang w:val="en-GB"/>
        </w:rPr>
        <w:t xml:space="preserve">relational </w:t>
      </w:r>
      <w:r w:rsidR="00B902A5" w:rsidRPr="0013512D">
        <w:rPr>
          <w:lang w:val="en-GB"/>
        </w:rPr>
        <w:t xml:space="preserve">quality. </w:t>
      </w:r>
      <w:r w:rsidRPr="0013512D">
        <w:rPr>
          <w:lang w:val="en-GB"/>
        </w:rPr>
        <w:t xml:space="preserve"> </w:t>
      </w:r>
      <w:r w:rsidR="00B902A5" w:rsidRPr="0013512D">
        <w:rPr>
          <w:lang w:val="en-GB"/>
        </w:rPr>
        <w:t xml:space="preserve">This quality allows for </w:t>
      </w:r>
      <w:r w:rsidRPr="0013512D">
        <w:rPr>
          <w:lang w:val="en-GB"/>
        </w:rPr>
        <w:t xml:space="preserve">emotions </w:t>
      </w:r>
      <w:r w:rsidR="00B902A5" w:rsidRPr="0013512D">
        <w:rPr>
          <w:lang w:val="en-GB"/>
        </w:rPr>
        <w:t xml:space="preserve">to be mediated, </w:t>
      </w:r>
      <w:r w:rsidR="00C75DC7" w:rsidRPr="0013512D">
        <w:rPr>
          <w:lang w:val="en-GB"/>
        </w:rPr>
        <w:t xml:space="preserve">leading to </w:t>
      </w:r>
      <w:r w:rsidRPr="0013512D">
        <w:rPr>
          <w:lang w:val="en-GB"/>
        </w:rPr>
        <w:t xml:space="preserve">their </w:t>
      </w:r>
      <w:r w:rsidR="009236CB" w:rsidRPr="0013512D">
        <w:rPr>
          <w:lang w:val="en-GB"/>
        </w:rPr>
        <w:t xml:space="preserve">subsequent </w:t>
      </w:r>
      <w:r w:rsidRPr="0013512D">
        <w:rPr>
          <w:lang w:val="en-GB"/>
        </w:rPr>
        <w:t>release.</w:t>
      </w:r>
      <w:r w:rsidRPr="0013512D">
        <w:rPr>
          <w:color w:val="FF0000"/>
          <w:lang w:val="en-GB"/>
        </w:rPr>
        <w:t xml:space="preserve"> </w:t>
      </w:r>
      <w:r w:rsidR="00E81AD0" w:rsidRPr="0013512D">
        <w:rPr>
          <w:color w:val="000000" w:themeColor="text1"/>
          <w:lang w:val="en-GB"/>
        </w:rPr>
        <w:t xml:space="preserve">Art </w:t>
      </w:r>
      <w:r w:rsidR="009236CB" w:rsidRPr="0013512D">
        <w:rPr>
          <w:color w:val="000000" w:themeColor="text1"/>
          <w:lang w:val="en-GB"/>
        </w:rPr>
        <w:t xml:space="preserve">creates an opportunity for </w:t>
      </w:r>
      <w:r w:rsidR="00E81AD0" w:rsidRPr="0013512D">
        <w:rPr>
          <w:color w:val="000000" w:themeColor="text1"/>
          <w:lang w:val="en-GB"/>
        </w:rPr>
        <w:t>the creator to be seen and understood by the self and others on a nonverbal level.</w:t>
      </w:r>
      <w:r w:rsidR="00E81AD0" w:rsidRPr="0013512D">
        <w:rPr>
          <w:rStyle w:val="FootnoteReference"/>
          <w:color w:val="000000" w:themeColor="text1"/>
          <w:lang w:val="en-GB"/>
        </w:rPr>
        <w:footnoteReference w:id="51"/>
      </w:r>
      <w:r w:rsidR="00E81AD0" w:rsidRPr="0013512D">
        <w:rPr>
          <w:color w:val="000000" w:themeColor="text1"/>
          <w:lang w:val="en-GB"/>
        </w:rPr>
        <w:t xml:space="preserve"> With art as the tool, individuals are able to transcend restrictions of linguistics and formulate aspects of their inner being to the self and other in a way which bridges potential separation that tends to be a result of differing perspectives, communication barriers or lived experiences. Indeed, art links the viewer to the artwork, self and other.</w:t>
      </w:r>
      <w:r w:rsidR="00E81AD0" w:rsidRPr="0013512D">
        <w:rPr>
          <w:rStyle w:val="FootnoteReference"/>
          <w:color w:val="000000" w:themeColor="text1"/>
          <w:lang w:val="en-GB"/>
        </w:rPr>
        <w:footnoteReference w:id="52"/>
      </w:r>
      <w:r w:rsidR="008539B8" w:rsidRPr="0013512D">
        <w:rPr>
          <w:lang w:val="en-GB"/>
        </w:rPr>
        <w:t xml:space="preserve"> </w:t>
      </w:r>
      <w:r w:rsidR="00492483" w:rsidRPr="0013512D">
        <w:rPr>
          <w:lang w:val="en-GB"/>
        </w:rPr>
        <w:t>The work of an Argentinian artist Le</w:t>
      </w:r>
      <w:r w:rsidR="00492483" w:rsidRPr="0013512D">
        <w:rPr>
          <w:color w:val="000000" w:themeColor="text1"/>
          <w:lang w:val="en-GB"/>
        </w:rPr>
        <w:t>ó</w:t>
      </w:r>
      <w:r w:rsidR="00492483" w:rsidRPr="0013512D">
        <w:rPr>
          <w:lang w:val="en-GB"/>
        </w:rPr>
        <w:t xml:space="preserve">n Ferrari provides a powerful illustration of this point. His creations confronted </w:t>
      </w:r>
      <w:r w:rsidR="00F67166" w:rsidRPr="0013512D">
        <w:rPr>
          <w:lang w:val="en-GB"/>
        </w:rPr>
        <w:t xml:space="preserve">the </w:t>
      </w:r>
      <w:r w:rsidR="00492483" w:rsidRPr="0013512D">
        <w:rPr>
          <w:lang w:val="en-GB"/>
        </w:rPr>
        <w:t xml:space="preserve">dictatorship in his country, expressly highlighting the limitations of language. The series </w:t>
      </w:r>
      <w:r w:rsidR="00492483" w:rsidRPr="0013512D">
        <w:rPr>
          <w:i/>
          <w:iCs/>
          <w:lang w:val="en-GB"/>
        </w:rPr>
        <w:t>‘Carta a un General’</w:t>
      </w:r>
      <w:r w:rsidR="00492483" w:rsidRPr="0013512D">
        <w:rPr>
          <w:lang w:val="en-GB"/>
        </w:rPr>
        <w:t xml:space="preserve"> is a spider web of illegible lines of ink, suggesting that no verbal and rational communication is possible with the tyrant.</w:t>
      </w:r>
      <w:r w:rsidR="00492483" w:rsidRPr="0013512D">
        <w:rPr>
          <w:rStyle w:val="FootnoteReference"/>
          <w:lang w:val="en-GB"/>
        </w:rPr>
        <w:footnoteReference w:id="53"/>
      </w:r>
    </w:p>
    <w:p w14:paraId="4C6D77F4" w14:textId="77777777" w:rsidR="00342BBB" w:rsidRPr="0013512D" w:rsidRDefault="00342BBB" w:rsidP="005C247F">
      <w:pPr>
        <w:spacing w:line="360" w:lineRule="auto"/>
        <w:rPr>
          <w:lang w:val="en-GB"/>
        </w:rPr>
      </w:pPr>
    </w:p>
    <w:p w14:paraId="7F8E8A9E" w14:textId="459C5512" w:rsidR="00EF5C52" w:rsidRPr="0013512D" w:rsidRDefault="005B26A4" w:rsidP="005C247F">
      <w:pPr>
        <w:spacing w:line="360" w:lineRule="auto"/>
        <w:rPr>
          <w:lang w:val="en-GB"/>
        </w:rPr>
      </w:pPr>
      <w:r w:rsidRPr="0013512D">
        <w:rPr>
          <w:lang w:val="en-GB"/>
        </w:rPr>
        <w:t xml:space="preserve">Through the lens of psychology, aesthetic experience is a </w:t>
      </w:r>
      <w:r w:rsidR="00694D35" w:rsidRPr="0013512D">
        <w:rPr>
          <w:lang w:val="en-GB"/>
        </w:rPr>
        <w:t xml:space="preserve">relational </w:t>
      </w:r>
      <w:r w:rsidRPr="0013512D">
        <w:rPr>
          <w:lang w:val="en-GB"/>
        </w:rPr>
        <w:t>process whereby a reciprocal interchange between the art-viewer and artwork exists.</w:t>
      </w:r>
      <w:r w:rsidRPr="0013512D">
        <w:rPr>
          <w:rStyle w:val="FootnoteReference"/>
          <w:lang w:val="en-GB"/>
        </w:rPr>
        <w:footnoteReference w:id="54"/>
      </w:r>
      <w:r w:rsidRPr="0013512D">
        <w:rPr>
          <w:lang w:val="en-GB"/>
        </w:rPr>
        <w:t xml:space="preserve"> </w:t>
      </w:r>
      <w:r w:rsidR="00694D35" w:rsidRPr="0013512D">
        <w:rPr>
          <w:lang w:val="en-GB"/>
        </w:rPr>
        <w:t xml:space="preserve">Such </w:t>
      </w:r>
      <w:r w:rsidR="00EF5C52" w:rsidRPr="0013512D">
        <w:rPr>
          <w:lang w:val="en-GB"/>
        </w:rPr>
        <w:t xml:space="preserve">theories support the deployment of aesthetic elements in </w:t>
      </w:r>
      <w:r w:rsidR="000747FE" w:rsidRPr="0013512D">
        <w:rPr>
          <w:lang w:val="en-GB"/>
        </w:rPr>
        <w:t xml:space="preserve">eliciting </w:t>
      </w:r>
      <w:r w:rsidR="00215663" w:rsidRPr="0013512D">
        <w:rPr>
          <w:lang w:val="en-GB"/>
        </w:rPr>
        <w:t>feelings and disclosing unf</w:t>
      </w:r>
      <w:r w:rsidR="00B378A9" w:rsidRPr="0013512D">
        <w:rPr>
          <w:lang w:val="en-GB"/>
        </w:rPr>
        <w:t>amiliar or novel perspectives within</w:t>
      </w:r>
      <w:r w:rsidR="00215663" w:rsidRPr="0013512D">
        <w:rPr>
          <w:lang w:val="en-GB"/>
        </w:rPr>
        <w:t xml:space="preserve"> the viewer. W</w:t>
      </w:r>
      <w:r w:rsidR="00774C66" w:rsidRPr="0013512D">
        <w:rPr>
          <w:lang w:val="en-GB"/>
        </w:rPr>
        <w:t>orks of art ha</w:t>
      </w:r>
      <w:r w:rsidR="007F2C54" w:rsidRPr="0013512D">
        <w:rPr>
          <w:lang w:val="en-GB"/>
        </w:rPr>
        <w:t xml:space="preserve">ve </w:t>
      </w:r>
      <w:r w:rsidR="00774C66" w:rsidRPr="0013512D">
        <w:rPr>
          <w:lang w:val="en-GB"/>
        </w:rPr>
        <w:t xml:space="preserve">the ability to change the viewer’s </w:t>
      </w:r>
      <w:r w:rsidR="00A826F1" w:rsidRPr="0013512D">
        <w:rPr>
          <w:lang w:val="en-GB"/>
        </w:rPr>
        <w:t>outlook</w:t>
      </w:r>
      <w:r w:rsidR="00774C66" w:rsidRPr="0013512D">
        <w:rPr>
          <w:lang w:val="en-GB"/>
        </w:rPr>
        <w:t xml:space="preserve"> on the world</w:t>
      </w:r>
      <w:r w:rsidR="00342BBB" w:rsidRPr="0013512D">
        <w:rPr>
          <w:lang w:val="en-GB"/>
        </w:rPr>
        <w:t xml:space="preserve"> through bodily and emotional engagement</w:t>
      </w:r>
      <w:r w:rsidR="001634B8" w:rsidRPr="0013512D">
        <w:rPr>
          <w:lang w:val="en-GB"/>
        </w:rPr>
        <w:t>.</w:t>
      </w:r>
      <w:r w:rsidR="008B125A" w:rsidRPr="0013512D">
        <w:rPr>
          <w:rStyle w:val="FootnoteReference"/>
          <w:lang w:val="en-GB"/>
        </w:rPr>
        <w:footnoteReference w:id="55"/>
      </w:r>
      <w:r w:rsidR="000C0982" w:rsidRPr="0013512D">
        <w:rPr>
          <w:lang w:val="en-GB"/>
        </w:rPr>
        <w:t xml:space="preserve"> </w:t>
      </w:r>
      <w:r w:rsidR="002362DD" w:rsidRPr="0013512D">
        <w:rPr>
          <w:lang w:val="en-GB"/>
        </w:rPr>
        <w:t>Through viewing of</w:t>
      </w:r>
      <w:r w:rsidR="005C673B" w:rsidRPr="0013512D">
        <w:rPr>
          <w:lang w:val="en-GB"/>
        </w:rPr>
        <w:t xml:space="preserve"> an artwork, </w:t>
      </w:r>
      <w:r w:rsidR="002362DD" w:rsidRPr="0013512D">
        <w:rPr>
          <w:lang w:val="en-GB"/>
        </w:rPr>
        <w:t>individuals</w:t>
      </w:r>
      <w:r w:rsidR="005C673B" w:rsidRPr="0013512D">
        <w:rPr>
          <w:lang w:val="en-GB"/>
        </w:rPr>
        <w:t xml:space="preserve"> actively participate in relating to and making meaning to the object. </w:t>
      </w:r>
      <w:r w:rsidR="002362DD" w:rsidRPr="0013512D">
        <w:rPr>
          <w:lang w:val="en-GB"/>
        </w:rPr>
        <w:t>This</w:t>
      </w:r>
      <w:r w:rsidR="001634B8" w:rsidRPr="0013512D">
        <w:rPr>
          <w:lang w:val="en-GB"/>
        </w:rPr>
        <w:t xml:space="preserve"> enacted </w:t>
      </w:r>
      <w:r w:rsidR="00EF5C52" w:rsidRPr="0013512D">
        <w:rPr>
          <w:lang w:val="en-GB"/>
        </w:rPr>
        <w:t xml:space="preserve">bodily and emotive </w:t>
      </w:r>
      <w:r w:rsidR="001634B8" w:rsidRPr="0013512D">
        <w:rPr>
          <w:lang w:val="en-GB"/>
        </w:rPr>
        <w:t xml:space="preserve">engagement </w:t>
      </w:r>
      <w:r w:rsidR="002362DD" w:rsidRPr="0013512D">
        <w:rPr>
          <w:lang w:val="en-GB"/>
        </w:rPr>
        <w:t xml:space="preserve">of ‘coupling to an artwork’ provides for </w:t>
      </w:r>
      <w:r w:rsidR="00342BBB" w:rsidRPr="0013512D">
        <w:rPr>
          <w:lang w:val="en-GB"/>
        </w:rPr>
        <w:t>context for exploration</w:t>
      </w:r>
      <w:r w:rsidR="00EF5C52" w:rsidRPr="0013512D">
        <w:rPr>
          <w:lang w:val="en-GB"/>
        </w:rPr>
        <w:t xml:space="preserve"> </w:t>
      </w:r>
      <w:r w:rsidR="002362DD" w:rsidRPr="0013512D">
        <w:rPr>
          <w:lang w:val="en-GB"/>
        </w:rPr>
        <w:t xml:space="preserve">and relating with the art. </w:t>
      </w:r>
      <w:r w:rsidR="00A826F1" w:rsidRPr="0013512D">
        <w:rPr>
          <w:lang w:val="en-GB"/>
        </w:rPr>
        <w:lastRenderedPageBreak/>
        <w:t>Such</w:t>
      </w:r>
      <w:r w:rsidR="00EF5C52" w:rsidRPr="0013512D">
        <w:rPr>
          <w:lang w:val="en-GB"/>
        </w:rPr>
        <w:t xml:space="preserve"> </w:t>
      </w:r>
      <w:r w:rsidRPr="0013512D">
        <w:rPr>
          <w:lang w:val="en-GB"/>
        </w:rPr>
        <w:t xml:space="preserve">relational quality of art </w:t>
      </w:r>
      <w:r w:rsidR="00EF5C52" w:rsidRPr="0013512D">
        <w:rPr>
          <w:lang w:val="en-GB"/>
        </w:rPr>
        <w:t>explains art’s capacity for prompting emotional release and shifts in perspective</w:t>
      </w:r>
      <w:r w:rsidR="00CD579F" w:rsidRPr="0013512D">
        <w:rPr>
          <w:lang w:val="en-GB"/>
        </w:rPr>
        <w:t>, both of which are key components of the reconciliation process</w:t>
      </w:r>
      <w:r w:rsidR="00EF5C52" w:rsidRPr="0013512D">
        <w:rPr>
          <w:lang w:val="en-GB"/>
        </w:rPr>
        <w:t xml:space="preserve">. </w:t>
      </w:r>
      <w:r w:rsidR="00342BBB" w:rsidRPr="0013512D">
        <w:rPr>
          <w:lang w:val="en-GB"/>
        </w:rPr>
        <w:t>The foundation of aesthetic experience is in the recognition of the other’s (the art-maker or subject of the art) experiences as distinct from that of the viewer. In this way, feelings of insight or awe transpire</w:t>
      </w:r>
      <w:r w:rsidR="00863324" w:rsidRPr="0013512D">
        <w:rPr>
          <w:lang w:val="en-GB"/>
        </w:rPr>
        <w:t xml:space="preserve"> as the viewer relates to the artwork.</w:t>
      </w:r>
      <w:r w:rsidR="00342BBB" w:rsidRPr="0013512D">
        <w:rPr>
          <w:lang w:val="en-GB"/>
        </w:rPr>
        <w:t xml:space="preserve"> </w:t>
      </w:r>
      <w:r w:rsidR="00863324" w:rsidRPr="0013512D">
        <w:rPr>
          <w:lang w:val="en-GB"/>
        </w:rPr>
        <w:t>In emotionally and physically engaging with the artwork, the viewer</w:t>
      </w:r>
      <w:r w:rsidR="00342BBB" w:rsidRPr="0013512D">
        <w:rPr>
          <w:lang w:val="en-GB"/>
        </w:rPr>
        <w:t xml:space="preserve"> tempo</w:t>
      </w:r>
      <w:r w:rsidR="00673120" w:rsidRPr="0013512D">
        <w:rPr>
          <w:lang w:val="en-GB"/>
        </w:rPr>
        <w:t xml:space="preserve">rarily adopts new or unfamiliar </w:t>
      </w:r>
      <w:r w:rsidR="00342BBB" w:rsidRPr="0013512D">
        <w:rPr>
          <w:lang w:val="en-GB"/>
        </w:rPr>
        <w:t>perspectives</w:t>
      </w:r>
      <w:r w:rsidR="00C736A1" w:rsidRPr="0013512D">
        <w:rPr>
          <w:lang w:val="en-GB"/>
        </w:rPr>
        <w:t>. This</w:t>
      </w:r>
      <w:r w:rsidR="00342BBB" w:rsidRPr="0013512D">
        <w:rPr>
          <w:lang w:val="en-GB"/>
        </w:rPr>
        <w:t xml:space="preserve"> resul</w:t>
      </w:r>
      <w:r w:rsidR="00C736A1" w:rsidRPr="0013512D">
        <w:rPr>
          <w:lang w:val="en-GB"/>
        </w:rPr>
        <w:t>ts</w:t>
      </w:r>
      <w:r w:rsidR="00342BBB" w:rsidRPr="0013512D">
        <w:rPr>
          <w:lang w:val="en-GB"/>
        </w:rPr>
        <w:t xml:space="preserve"> in a re-orientation </w:t>
      </w:r>
      <w:r w:rsidR="006E5196" w:rsidRPr="0013512D">
        <w:rPr>
          <w:lang w:val="en-GB"/>
        </w:rPr>
        <w:t>proces</w:t>
      </w:r>
      <w:r w:rsidR="00C736A1" w:rsidRPr="0013512D">
        <w:rPr>
          <w:lang w:val="en-GB"/>
        </w:rPr>
        <w:t>s that</w:t>
      </w:r>
      <w:r w:rsidR="00863324" w:rsidRPr="0013512D">
        <w:rPr>
          <w:lang w:val="en-GB"/>
        </w:rPr>
        <w:t xml:space="preserve"> has the capacity to </w:t>
      </w:r>
      <w:r w:rsidR="006E5196" w:rsidRPr="0013512D">
        <w:rPr>
          <w:lang w:val="en-GB"/>
        </w:rPr>
        <w:t>touch viewers emotionally and on conscious and unconscious levels</w:t>
      </w:r>
      <w:r w:rsidR="00342BBB" w:rsidRPr="0013512D">
        <w:rPr>
          <w:lang w:val="en-GB"/>
        </w:rPr>
        <w:t>.</w:t>
      </w:r>
      <w:r w:rsidR="00501829" w:rsidRPr="0013512D">
        <w:rPr>
          <w:rStyle w:val="FootnoteReference"/>
          <w:lang w:val="en-GB"/>
        </w:rPr>
        <w:footnoteReference w:id="56"/>
      </w:r>
      <w:r w:rsidR="005C673B" w:rsidRPr="0013512D">
        <w:rPr>
          <w:lang w:val="en-GB"/>
        </w:rPr>
        <w:t xml:space="preserve"> </w:t>
      </w:r>
    </w:p>
    <w:p w14:paraId="440CA6FD" w14:textId="77777777" w:rsidR="001439E8" w:rsidRPr="0013512D" w:rsidRDefault="001439E8" w:rsidP="005C247F">
      <w:pPr>
        <w:spacing w:line="360" w:lineRule="auto"/>
        <w:rPr>
          <w:lang w:val="en-GB"/>
        </w:rPr>
      </w:pPr>
    </w:p>
    <w:p w14:paraId="53174F02" w14:textId="052C729F" w:rsidR="00550894" w:rsidRPr="0013512D" w:rsidRDefault="003A6D55" w:rsidP="005C247F">
      <w:pPr>
        <w:spacing w:line="360" w:lineRule="auto"/>
        <w:rPr>
          <w:lang w:val="en-GB"/>
        </w:rPr>
      </w:pPr>
      <w:r w:rsidRPr="0013512D">
        <w:rPr>
          <w:lang w:val="en-GB"/>
        </w:rPr>
        <w:t>Art’s relational quality extends beyond the individual relationship between the artist</w:t>
      </w:r>
      <w:r w:rsidR="00A826F1" w:rsidRPr="0013512D">
        <w:rPr>
          <w:lang w:val="en-GB"/>
        </w:rPr>
        <w:t>,</w:t>
      </w:r>
      <w:r w:rsidRPr="0013512D">
        <w:rPr>
          <w:lang w:val="en-GB"/>
        </w:rPr>
        <w:t xml:space="preserve"> the viewer</w:t>
      </w:r>
      <w:r w:rsidR="00A826F1" w:rsidRPr="0013512D">
        <w:rPr>
          <w:lang w:val="en-GB"/>
        </w:rPr>
        <w:t xml:space="preserve"> and the artwork</w:t>
      </w:r>
      <w:r w:rsidRPr="0013512D">
        <w:rPr>
          <w:lang w:val="en-GB"/>
        </w:rPr>
        <w:t xml:space="preserve">, however. </w:t>
      </w:r>
      <w:r w:rsidR="00550894" w:rsidRPr="0013512D">
        <w:rPr>
          <w:lang w:val="en-GB"/>
        </w:rPr>
        <w:t>Theodor Adorno stresses the propensity of the psychoanalytical theory to focus on art as a form of a ‘daydream’, the projection of unconscious. This undue focus on the artist’s relation to the artwork, he argues, overlooks the importance of the object itself.</w:t>
      </w:r>
      <w:r w:rsidR="00550894" w:rsidRPr="0013512D">
        <w:rPr>
          <w:rStyle w:val="FootnoteReference"/>
          <w:lang w:val="en-GB"/>
        </w:rPr>
        <w:footnoteReference w:id="57"/>
      </w:r>
      <w:r w:rsidR="00550894" w:rsidRPr="0013512D">
        <w:rPr>
          <w:lang w:val="en-GB"/>
        </w:rPr>
        <w:t xml:space="preserve"> </w:t>
      </w:r>
      <w:r w:rsidR="00AE5F2D" w:rsidRPr="0013512D">
        <w:rPr>
          <w:lang w:val="en-GB"/>
        </w:rPr>
        <w:t xml:space="preserve">It is the </w:t>
      </w:r>
      <w:r w:rsidR="00030D9A" w:rsidRPr="0013512D">
        <w:rPr>
          <w:lang w:val="en-GB"/>
        </w:rPr>
        <w:t xml:space="preserve">broader </w:t>
      </w:r>
      <w:r w:rsidR="00AE5F2D" w:rsidRPr="0013512D">
        <w:rPr>
          <w:lang w:val="en-GB"/>
        </w:rPr>
        <w:t>relational quality of art that assists in tackling serious traumas stored at the level of community as a whole.</w:t>
      </w:r>
      <w:r w:rsidR="00D76E35" w:rsidRPr="0013512D">
        <w:rPr>
          <w:rStyle w:val="FootnoteReference"/>
          <w:lang w:val="en-GB"/>
        </w:rPr>
        <w:footnoteReference w:id="58"/>
      </w:r>
      <w:r w:rsidR="00550894" w:rsidRPr="0013512D">
        <w:rPr>
          <w:lang w:val="en-GB"/>
        </w:rPr>
        <w:t xml:space="preserve"> Adorno offers a way to understand art’s connection to society. For him, art is a social antithesis to society, from which it is both autonomous in a sense of being a reflection of an inward space of men, and in which it simultaneously is embedded.</w:t>
      </w:r>
      <w:r w:rsidR="00550894" w:rsidRPr="0013512D">
        <w:rPr>
          <w:rStyle w:val="FootnoteReference"/>
          <w:lang w:val="en-GB"/>
        </w:rPr>
        <w:footnoteReference w:id="59"/>
      </w:r>
      <w:r w:rsidR="00550894" w:rsidRPr="0013512D">
        <w:rPr>
          <w:lang w:val="en-GB"/>
        </w:rPr>
        <w:t xml:space="preserve"> Art becomes ‘social’ by its opposition to society, and occupies this position only as autonomous art. By crystallising itself as something unique, rather than complying with some existing social norms, it criticises society by merely existing.</w:t>
      </w:r>
      <w:r w:rsidR="00550894" w:rsidRPr="0013512D">
        <w:rPr>
          <w:rStyle w:val="FootnoteReference"/>
          <w:lang w:val="en-GB"/>
        </w:rPr>
        <w:footnoteReference w:id="60"/>
      </w:r>
      <w:r w:rsidR="00550894" w:rsidRPr="0013512D">
        <w:rPr>
          <w:lang w:val="en-GB"/>
        </w:rPr>
        <w:t xml:space="preserve">  </w:t>
      </w:r>
    </w:p>
    <w:p w14:paraId="0092281B" w14:textId="02194318" w:rsidR="00C95358" w:rsidRPr="0013512D" w:rsidRDefault="00C95358" w:rsidP="005C247F">
      <w:pPr>
        <w:spacing w:line="360" w:lineRule="auto"/>
        <w:rPr>
          <w:lang w:val="en-GB"/>
        </w:rPr>
      </w:pPr>
    </w:p>
    <w:p w14:paraId="168F41D2" w14:textId="1E4E2F13" w:rsidR="00C95358" w:rsidRPr="0013512D" w:rsidRDefault="00C95358" w:rsidP="005C247F">
      <w:pPr>
        <w:spacing w:line="360" w:lineRule="auto"/>
        <w:rPr>
          <w:lang w:val="en-GB"/>
        </w:rPr>
      </w:pPr>
      <w:r w:rsidRPr="0013512D">
        <w:rPr>
          <w:lang w:val="en-GB"/>
        </w:rPr>
        <w:t>Complex narratives, conflicting truths, and various voices can be communicated through works of art</w:t>
      </w:r>
      <w:r w:rsidR="00001F6C" w:rsidRPr="0013512D">
        <w:rPr>
          <w:lang w:val="en-GB"/>
        </w:rPr>
        <w:t xml:space="preserve">, </w:t>
      </w:r>
      <w:r w:rsidRPr="0013512D">
        <w:rPr>
          <w:lang w:val="en-GB"/>
        </w:rPr>
        <w:t>through the art object itself and the art-making process.</w:t>
      </w:r>
      <w:r w:rsidR="00D76E35" w:rsidRPr="0013512D">
        <w:rPr>
          <w:rStyle w:val="FootnoteReference"/>
          <w:lang w:val="en-GB"/>
        </w:rPr>
        <w:footnoteReference w:id="61"/>
      </w:r>
      <w:r w:rsidRPr="0013512D">
        <w:rPr>
          <w:lang w:val="en-GB"/>
        </w:rPr>
        <w:t xml:space="preserve"> </w:t>
      </w:r>
      <w:r w:rsidRPr="0013512D">
        <w:rPr>
          <w:color w:val="000000" w:themeColor="text1"/>
          <w:lang w:val="en-GB"/>
        </w:rPr>
        <w:t xml:space="preserve">In this way, engagement with art complements the production of criminal law judgments adjudicating on issues of individual criminal responsibility, which tend to simplify events to fit the facts of the case and specific legal definitions. It becomes no longer necessary for the recipients of international criminal justice to abandon their previous sets of beliefs to accept certain judicial outcomes, rather art creates room for a </w:t>
      </w:r>
      <w:r w:rsidRPr="0013512D">
        <w:rPr>
          <w:lang w:val="en-GB"/>
        </w:rPr>
        <w:t xml:space="preserve">‘work of </w:t>
      </w:r>
      <w:r w:rsidRPr="0013512D">
        <w:rPr>
          <w:lang w:val="en-GB"/>
        </w:rPr>
        <w:lastRenderedPageBreak/>
        <w:t xml:space="preserve">memory’, or space to process and relate to historical truths and attach meaning without insistence on homogeneity. </w:t>
      </w:r>
      <w:r w:rsidRPr="0013512D">
        <w:rPr>
          <w:color w:val="000000" w:themeColor="text1"/>
          <w:lang w:val="en-GB"/>
        </w:rPr>
        <w:t>Engagement with the arts as a viewer similarly fosters such aesthetic experiences because upon engaging with artworks, individuals relate to the work</w:t>
      </w:r>
      <w:r w:rsidR="00253976" w:rsidRPr="0013512D">
        <w:rPr>
          <w:color w:val="000000" w:themeColor="text1"/>
          <w:lang w:val="en-GB"/>
        </w:rPr>
        <w:t>. This process, in turn,</w:t>
      </w:r>
      <w:r w:rsidRPr="0013512D">
        <w:rPr>
          <w:color w:val="000000" w:themeColor="text1"/>
          <w:lang w:val="en-GB"/>
        </w:rPr>
        <w:t xml:space="preserve"> result</w:t>
      </w:r>
      <w:r w:rsidR="00253976" w:rsidRPr="0013512D">
        <w:rPr>
          <w:color w:val="000000" w:themeColor="text1"/>
          <w:lang w:val="en-GB"/>
        </w:rPr>
        <w:t>s</w:t>
      </w:r>
      <w:r w:rsidRPr="0013512D">
        <w:rPr>
          <w:color w:val="000000" w:themeColor="text1"/>
          <w:lang w:val="en-GB"/>
        </w:rPr>
        <w:t xml:space="preserve"> in an authentic seeing of other, which requires an initial seeing one’s self. This quality of art achieves a cognitive truth and state of ‘body-mind unity’.</w:t>
      </w:r>
      <w:r w:rsidRPr="0013512D">
        <w:rPr>
          <w:rStyle w:val="FootnoteReference"/>
          <w:lang w:val="en-GB"/>
        </w:rPr>
        <w:footnoteReference w:id="62"/>
      </w:r>
      <w:r w:rsidRPr="0013512D">
        <w:rPr>
          <w:lang w:val="en-GB"/>
        </w:rPr>
        <w:t xml:space="preserve"> </w:t>
      </w:r>
    </w:p>
    <w:p w14:paraId="10DCC98E" w14:textId="77777777" w:rsidR="00C95358" w:rsidRPr="0013512D" w:rsidRDefault="00C95358" w:rsidP="005C247F">
      <w:pPr>
        <w:spacing w:line="360" w:lineRule="auto"/>
        <w:rPr>
          <w:lang w:val="en-GB"/>
        </w:rPr>
      </w:pPr>
    </w:p>
    <w:p w14:paraId="012D0785" w14:textId="779ADB55" w:rsidR="00C95358" w:rsidRPr="0013512D" w:rsidRDefault="00C95358" w:rsidP="005C247F">
      <w:pPr>
        <w:spacing w:line="360" w:lineRule="auto"/>
        <w:rPr>
          <w:lang w:val="en-GB"/>
        </w:rPr>
      </w:pPr>
      <w:r w:rsidRPr="0013512D">
        <w:rPr>
          <w:lang w:val="en-GB"/>
        </w:rPr>
        <w:t>An example of this can be seen in Maya Lin’s Vietnam Veteran’s Memorial. This piece allows participants to engage directly with the artwork through the use of abstraction and aesthetic approaches. A massive accumulation of nearly 58,000 names of American servicemen who lost their lives is inscribed in black, mirror-like granite walls. As viewers look to the wall’s surface, they see their reflection amongst the names of the fallen and are abstractly ‘placed’ inside of the event. Additionally, the walls’ architecture is designed in a way to demonstrate the inconceivable quantity of the loss of the soldiers.</w:t>
      </w:r>
      <w:r w:rsidRPr="0013512D">
        <w:rPr>
          <w:rStyle w:val="FootnoteReference"/>
          <w:lang w:val="en-GB"/>
        </w:rPr>
        <w:footnoteReference w:id="63"/>
      </w:r>
      <w:r w:rsidRPr="0013512D">
        <w:rPr>
          <w:lang w:val="en-GB"/>
        </w:rPr>
        <w:t xml:space="preserve"> It does this by guiding viewers alongside the wall, which begins at a height of 8 inches and gradually reaches its peak at </w:t>
      </w:r>
      <w:r w:rsidR="007C28B6" w:rsidRPr="0013512D">
        <w:rPr>
          <w:lang w:val="en-GB"/>
        </w:rPr>
        <w:t>ten</w:t>
      </w:r>
      <w:r w:rsidRPr="0013512D">
        <w:rPr>
          <w:lang w:val="en-GB"/>
        </w:rPr>
        <w:t xml:space="preserve"> feet. Viewers’ perceptions are altered because they become displaced as they relate to this interactive monument. They see themselves embedded in the fixture while simultaneously being swallowed by its heights.</w:t>
      </w:r>
      <w:r w:rsidRPr="0013512D">
        <w:rPr>
          <w:rStyle w:val="FootnoteReference"/>
          <w:lang w:val="en-GB"/>
        </w:rPr>
        <w:footnoteReference w:id="64"/>
      </w:r>
      <w:r w:rsidRPr="0013512D">
        <w:rPr>
          <w:lang w:val="en-GB"/>
        </w:rPr>
        <w:t xml:space="preserve"> </w:t>
      </w:r>
    </w:p>
    <w:p w14:paraId="2451AC93" w14:textId="77777777" w:rsidR="003D63D9" w:rsidRPr="0013512D" w:rsidRDefault="003D63D9" w:rsidP="005C247F">
      <w:pPr>
        <w:spacing w:line="360" w:lineRule="auto"/>
        <w:rPr>
          <w:lang w:val="en-GB"/>
        </w:rPr>
      </w:pPr>
    </w:p>
    <w:p w14:paraId="164F3648" w14:textId="1614F86B" w:rsidR="003D63D9" w:rsidRPr="0013512D" w:rsidRDefault="00F823B4" w:rsidP="005C247F">
      <w:pPr>
        <w:pStyle w:val="ListParagraph"/>
        <w:numPr>
          <w:ilvl w:val="1"/>
          <w:numId w:val="1"/>
        </w:numPr>
        <w:spacing w:line="360" w:lineRule="auto"/>
        <w:rPr>
          <w:rFonts w:ascii="Times New Roman" w:hAnsi="Times New Roman"/>
          <w:i/>
          <w:lang w:val="en-GB"/>
        </w:rPr>
      </w:pPr>
      <w:r w:rsidRPr="0013512D">
        <w:rPr>
          <w:rFonts w:ascii="Times New Roman" w:hAnsi="Times New Roman"/>
          <w:i/>
          <w:lang w:val="en-GB"/>
        </w:rPr>
        <w:t>Art’s inherent intelligence</w:t>
      </w:r>
    </w:p>
    <w:p w14:paraId="3D8AE43B" w14:textId="77777777" w:rsidR="003D63D9" w:rsidRPr="0013512D" w:rsidRDefault="003D63D9" w:rsidP="003D63D9">
      <w:pPr>
        <w:pStyle w:val="ListParagraph"/>
        <w:spacing w:line="360" w:lineRule="auto"/>
        <w:ind w:left="1440"/>
        <w:rPr>
          <w:rFonts w:ascii="Times New Roman" w:hAnsi="Times New Roman"/>
          <w:i/>
          <w:lang w:val="en-GB"/>
        </w:rPr>
      </w:pPr>
    </w:p>
    <w:p w14:paraId="6C0A1358" w14:textId="63B79EAD" w:rsidR="009A3520" w:rsidRPr="0013512D" w:rsidRDefault="00550894" w:rsidP="005C247F">
      <w:pPr>
        <w:spacing w:line="360" w:lineRule="auto"/>
        <w:rPr>
          <w:lang w:val="en-GB"/>
        </w:rPr>
      </w:pPr>
      <w:r w:rsidRPr="0013512D">
        <w:rPr>
          <w:lang w:val="en-GB"/>
        </w:rPr>
        <w:t xml:space="preserve">The third quality of art that we wish to stress is its </w:t>
      </w:r>
      <w:r w:rsidRPr="0013512D">
        <w:rPr>
          <w:i/>
          <w:lang w:val="en-GB"/>
        </w:rPr>
        <w:t>inherent intelligence</w:t>
      </w:r>
      <w:r w:rsidRPr="0013512D">
        <w:rPr>
          <w:lang w:val="en-GB"/>
        </w:rPr>
        <w:t xml:space="preserve">, independent from the meaning intended by the creator or the commissioner of an artistic piece. </w:t>
      </w:r>
      <w:r w:rsidR="00476FF1" w:rsidRPr="0013512D">
        <w:rPr>
          <w:lang w:val="en-GB"/>
        </w:rPr>
        <w:t xml:space="preserve">This quality is linked to the previous point on broader relational quality of art, but it focuses more on time-and-space-dependency of artistic pieces. This last quality </w:t>
      </w:r>
      <w:r w:rsidRPr="0013512D">
        <w:rPr>
          <w:lang w:val="en-GB"/>
        </w:rPr>
        <w:t>can also be referred to as ‘split agency’</w:t>
      </w:r>
      <w:r w:rsidR="00476FF1" w:rsidRPr="0013512D">
        <w:rPr>
          <w:lang w:val="en-GB"/>
        </w:rPr>
        <w:t xml:space="preserve"> of art</w:t>
      </w:r>
      <w:r w:rsidRPr="0013512D">
        <w:rPr>
          <w:lang w:val="en-GB"/>
        </w:rPr>
        <w:t xml:space="preserve">. Artistic process implies that the agency of the creator or commissioner of art is shared with the agency of the one receiving it in a given moment in time and space and an inherent intelligence of the artistic piece itself. </w:t>
      </w:r>
      <w:proofErr w:type="spellStart"/>
      <w:r w:rsidRPr="0013512D">
        <w:rPr>
          <w:lang w:val="en-GB"/>
        </w:rPr>
        <w:t>Mieke</w:t>
      </w:r>
      <w:proofErr w:type="spellEnd"/>
      <w:r w:rsidRPr="0013512D">
        <w:rPr>
          <w:lang w:val="en-GB"/>
        </w:rPr>
        <w:t xml:space="preserve"> Bal, a cultural theorist, dwells on this topic by exploring, more specifically, pictorial </w:t>
      </w:r>
      <w:r w:rsidRPr="0013512D">
        <w:rPr>
          <w:lang w:val="en-GB"/>
        </w:rPr>
        <w:lastRenderedPageBreak/>
        <w:t>inte</w:t>
      </w:r>
      <w:r w:rsidR="009D0291" w:rsidRPr="0013512D">
        <w:rPr>
          <w:lang w:val="en-GB"/>
        </w:rPr>
        <w:t>lligence of images. Images are no</w:t>
      </w:r>
      <w:r w:rsidRPr="0013512D">
        <w:rPr>
          <w:lang w:val="en-GB"/>
        </w:rPr>
        <w:t>t subordi</w:t>
      </w:r>
      <w:r w:rsidR="009D0291" w:rsidRPr="0013512D">
        <w:rPr>
          <w:lang w:val="en-GB"/>
        </w:rPr>
        <w:t xml:space="preserve">nated to language or discourse; </w:t>
      </w:r>
      <w:r w:rsidRPr="0013512D">
        <w:rPr>
          <w:lang w:val="en-GB"/>
        </w:rPr>
        <w:t>they exist in parallel. Images articulate thoughts</w:t>
      </w:r>
      <w:r w:rsidR="000021D0" w:rsidRPr="0013512D">
        <w:rPr>
          <w:lang w:val="en-GB"/>
        </w:rPr>
        <w:t xml:space="preserve"> </w:t>
      </w:r>
      <w:r w:rsidRPr="0013512D">
        <w:rPr>
          <w:lang w:val="en-GB"/>
        </w:rPr>
        <w:t>visually.  The question is then: ‘How can the images think?’</w:t>
      </w:r>
      <w:r w:rsidRPr="0013512D">
        <w:rPr>
          <w:rStyle w:val="FootnoteReference"/>
          <w:lang w:val="en-GB"/>
        </w:rPr>
        <w:footnoteReference w:id="65"/>
      </w:r>
      <w:r w:rsidRPr="0013512D">
        <w:rPr>
          <w:lang w:val="en-GB"/>
        </w:rPr>
        <w:t xml:space="preserve"> There exists, she argues, a gap between the process of creation and the object itself. There is certain muteness to the object and the need to (re-)-activate it.</w:t>
      </w:r>
      <w:r w:rsidRPr="0013512D">
        <w:rPr>
          <w:rStyle w:val="FootnoteReference"/>
          <w:lang w:val="en-GB"/>
        </w:rPr>
        <w:footnoteReference w:id="66"/>
      </w:r>
      <w:r w:rsidRPr="0013512D">
        <w:rPr>
          <w:lang w:val="en-GB"/>
        </w:rPr>
        <w:t xml:space="preserve"> The process of re-activation is, however, not a mere process of reconstructing author’s intention.</w:t>
      </w:r>
      <w:r w:rsidRPr="0013512D">
        <w:rPr>
          <w:rStyle w:val="FootnoteReference"/>
          <w:lang w:val="en-GB"/>
        </w:rPr>
        <w:footnoteReference w:id="67"/>
      </w:r>
      <w:r w:rsidRPr="0013512D">
        <w:rPr>
          <w:lang w:val="en-GB"/>
        </w:rPr>
        <w:t xml:space="preserve"> Filling in the gaps requires the agency of the receiver. The key to understanding art is to conceptualise it only partially through the involvement of the artist. The main definitional quality of art is </w:t>
      </w:r>
      <w:r w:rsidR="00331218" w:rsidRPr="0013512D">
        <w:rPr>
          <w:lang w:val="en-GB"/>
        </w:rPr>
        <w:t xml:space="preserve">thus </w:t>
      </w:r>
      <w:r w:rsidRPr="0013512D">
        <w:rPr>
          <w:lang w:val="en-GB"/>
        </w:rPr>
        <w:t>its capacity to bring the receiver to the present moment, and this process requires time and change of situation to reach the receivers and ‘do’ things to them.</w:t>
      </w:r>
      <w:r w:rsidRPr="0013512D">
        <w:rPr>
          <w:rStyle w:val="FootnoteReference"/>
          <w:lang w:val="en-GB"/>
        </w:rPr>
        <w:footnoteReference w:id="68"/>
      </w:r>
      <w:r w:rsidR="003707F8" w:rsidRPr="0013512D">
        <w:rPr>
          <w:lang w:val="en-GB"/>
        </w:rPr>
        <w:t xml:space="preserve"> </w:t>
      </w:r>
    </w:p>
    <w:p w14:paraId="4D056A0C" w14:textId="63C22520" w:rsidR="00812375" w:rsidRPr="0013512D" w:rsidRDefault="00812375" w:rsidP="005C247F">
      <w:pPr>
        <w:spacing w:line="360" w:lineRule="auto"/>
        <w:rPr>
          <w:lang w:val="en-GB"/>
        </w:rPr>
      </w:pPr>
    </w:p>
    <w:p w14:paraId="54B9CE66" w14:textId="122C54F1" w:rsidR="00812375" w:rsidRPr="0013512D" w:rsidRDefault="00812375" w:rsidP="005C247F">
      <w:pPr>
        <w:spacing w:line="360" w:lineRule="auto"/>
        <w:rPr>
          <w:color w:val="FF0000"/>
          <w:lang w:val="en-GB"/>
        </w:rPr>
      </w:pPr>
      <w:r w:rsidRPr="0013512D">
        <w:rPr>
          <w:lang w:val="en-GB"/>
        </w:rPr>
        <w:t>Art, with its inherent intelligence, can support the mission of international criminal law. Art can be used as a powerful and accessible tool to communicate its values to a wider audience, beyond the legal community. The placement of artworks in the public sphere conveys a message to the public that has a healing effect.</w:t>
      </w:r>
      <w:r w:rsidRPr="0013512D">
        <w:rPr>
          <w:rStyle w:val="FootnoteReference"/>
          <w:lang w:val="en-GB"/>
        </w:rPr>
        <w:footnoteReference w:id="69"/>
      </w:r>
      <w:r w:rsidRPr="0013512D">
        <w:rPr>
          <w:lang w:val="en-GB"/>
        </w:rPr>
        <w:t xml:space="preserve"> Following atrocities, a lack of a belief in humanity is a key hindrance to achieving reconciliation.</w:t>
      </w:r>
      <w:r w:rsidRPr="0013512D">
        <w:rPr>
          <w:rStyle w:val="FootnoteReference"/>
          <w:lang w:val="en-GB"/>
        </w:rPr>
        <w:footnoteReference w:id="70"/>
      </w:r>
      <w:r w:rsidRPr="0013512D">
        <w:rPr>
          <w:lang w:val="en-GB"/>
        </w:rPr>
        <w:t xml:space="preserve"> An installation is a symbol, which tangibly acknowledges the experience of a disparate group of people.</w:t>
      </w:r>
      <w:r w:rsidRPr="0013512D">
        <w:rPr>
          <w:rStyle w:val="FootnoteReference"/>
          <w:lang w:val="en-GB"/>
        </w:rPr>
        <w:footnoteReference w:id="71"/>
      </w:r>
      <w:r w:rsidRPr="0013512D">
        <w:rPr>
          <w:color w:val="FF0000"/>
          <w:lang w:val="en-GB"/>
        </w:rPr>
        <w:t xml:space="preserve"> </w:t>
      </w:r>
      <w:r w:rsidRPr="0013512D">
        <w:rPr>
          <w:lang w:val="en-GB"/>
        </w:rPr>
        <w:t>Art located in public spaces is what Quentin Stevens and Karen Franck define as, ‘spaces of engagement.’</w:t>
      </w:r>
      <w:r w:rsidRPr="0013512D">
        <w:rPr>
          <w:rStyle w:val="FootnoteReference"/>
          <w:lang w:val="en-GB"/>
        </w:rPr>
        <w:footnoteReference w:id="72"/>
      </w:r>
      <w:r w:rsidRPr="0013512D">
        <w:rPr>
          <w:lang w:val="en-GB"/>
        </w:rPr>
        <w:t xml:space="preserve"> Through such placement, installations merge with mundane daily life, therefore avoiding the ‘closing down of meaning’ by intervening in the public sphere.</w:t>
      </w:r>
      <w:r w:rsidRPr="0013512D">
        <w:rPr>
          <w:rStyle w:val="FootnoteReference"/>
          <w:lang w:val="en-GB"/>
        </w:rPr>
        <w:footnoteReference w:id="73"/>
      </w:r>
      <w:r w:rsidRPr="0013512D">
        <w:rPr>
          <w:lang w:val="en-GB"/>
        </w:rPr>
        <w:t xml:space="preserve"> Messages such as accountability and </w:t>
      </w:r>
      <w:proofErr w:type="spellStart"/>
      <w:r w:rsidRPr="0013512D">
        <w:rPr>
          <w:lang w:val="en-GB"/>
        </w:rPr>
        <w:t>destigmatization</w:t>
      </w:r>
      <w:proofErr w:type="spellEnd"/>
      <w:r w:rsidRPr="0013512D">
        <w:rPr>
          <w:lang w:val="en-GB"/>
        </w:rPr>
        <w:t xml:space="preserve"> can be conveyed through art in a way that legal proceedings alone cannot. </w:t>
      </w:r>
    </w:p>
    <w:p w14:paraId="77300448" w14:textId="77777777" w:rsidR="00812375" w:rsidRPr="0013512D" w:rsidRDefault="00812375" w:rsidP="005C247F">
      <w:pPr>
        <w:spacing w:line="360" w:lineRule="auto"/>
        <w:rPr>
          <w:color w:val="FF0000"/>
          <w:lang w:val="en-GB"/>
        </w:rPr>
      </w:pPr>
    </w:p>
    <w:p w14:paraId="08212736" w14:textId="2C817462" w:rsidR="00812375" w:rsidRPr="0013512D" w:rsidRDefault="00812375" w:rsidP="005C247F">
      <w:pPr>
        <w:spacing w:line="360" w:lineRule="auto"/>
        <w:rPr>
          <w:color w:val="FF0000"/>
          <w:lang w:val="en-GB"/>
        </w:rPr>
      </w:pPr>
      <w:r w:rsidRPr="0013512D">
        <w:rPr>
          <w:lang w:val="en-GB"/>
        </w:rPr>
        <w:t xml:space="preserve">International criminal law is currently at the initial stages of integrating this understanding of the role of art as a ‘symbol’. It is instructive to elaborate here on the </w:t>
      </w:r>
      <w:r w:rsidRPr="0013512D">
        <w:rPr>
          <w:lang w:val="en-GB"/>
        </w:rPr>
        <w:lastRenderedPageBreak/>
        <w:t xml:space="preserve">process of reparations in </w:t>
      </w:r>
      <w:r w:rsidRPr="0013512D">
        <w:rPr>
          <w:i/>
          <w:lang w:val="en-GB"/>
        </w:rPr>
        <w:t>Lubanga</w:t>
      </w:r>
      <w:r w:rsidRPr="0013512D">
        <w:rPr>
          <w:lang w:val="en-GB"/>
        </w:rPr>
        <w:t xml:space="preserve"> – the first ICC case resulting in conviction. This case is also the first instance where the ICC ordered symbolic reparations that include artistic </w:t>
      </w:r>
      <w:proofErr w:type="spellStart"/>
      <w:r w:rsidRPr="0013512D">
        <w:rPr>
          <w:lang w:val="en-GB"/>
        </w:rPr>
        <w:t>endeavors</w:t>
      </w:r>
      <w:proofErr w:type="spellEnd"/>
      <w:r w:rsidRPr="0013512D">
        <w:rPr>
          <w:lang w:val="en-GB"/>
        </w:rPr>
        <w:t xml:space="preserve">. </w:t>
      </w:r>
      <w:r w:rsidR="005B62E6" w:rsidRPr="0013512D">
        <w:rPr>
          <w:lang w:val="en-GB"/>
        </w:rPr>
        <w:t>It</w:t>
      </w:r>
      <w:r w:rsidRPr="0013512D">
        <w:rPr>
          <w:lang w:val="en-GB"/>
        </w:rPr>
        <w:t xml:space="preserve"> dealt with the crime of recruiting children. </w:t>
      </w:r>
      <w:r w:rsidRPr="0013512D">
        <w:rPr>
          <w:color w:val="000000"/>
          <w:lang w:val="en-GB"/>
        </w:rPr>
        <w:t xml:space="preserve">The </w:t>
      </w:r>
      <w:r w:rsidRPr="0013512D">
        <w:rPr>
          <w:i/>
          <w:color w:val="000000"/>
          <w:lang w:val="en-GB"/>
        </w:rPr>
        <w:t>Lubanga</w:t>
      </w:r>
      <w:r w:rsidRPr="0013512D">
        <w:rPr>
          <w:color w:val="000000"/>
          <w:lang w:val="en-GB"/>
        </w:rPr>
        <w:t xml:space="preserve"> order on reparations explicitly acknowledged the reconciliatory value of reparations in the affected communities.</w:t>
      </w:r>
      <w:r w:rsidRPr="0013512D">
        <w:rPr>
          <w:rStyle w:val="FootnoteReference"/>
          <w:color w:val="000000"/>
          <w:lang w:val="en-GB"/>
        </w:rPr>
        <w:footnoteReference w:id="74"/>
      </w:r>
      <w:r w:rsidRPr="0013512D">
        <w:rPr>
          <w:color w:val="000000"/>
          <w:lang w:val="en-GB"/>
        </w:rPr>
        <w:t xml:space="preserve"> When it came to practical implementation, the </w:t>
      </w:r>
      <w:r w:rsidRPr="0013512D">
        <w:rPr>
          <w:lang w:val="en-GB"/>
        </w:rPr>
        <w:t xml:space="preserve">Trust Fund for Victims (TVF), which is the body specifically tasked with implementing reparations, faced a real challenge in explaining how reconciliation and reintegration should be understood for the purposes of symbolic reparations initiatives in the specific context of this case. </w:t>
      </w:r>
    </w:p>
    <w:p w14:paraId="7AE9E934" w14:textId="77777777" w:rsidR="00812375" w:rsidRPr="0013512D" w:rsidRDefault="00812375" w:rsidP="005C247F">
      <w:pPr>
        <w:spacing w:line="360" w:lineRule="auto"/>
        <w:rPr>
          <w:lang w:val="en-GB"/>
        </w:rPr>
      </w:pPr>
    </w:p>
    <w:p w14:paraId="7AA45EA2" w14:textId="77777777" w:rsidR="00812375" w:rsidRPr="0013512D" w:rsidRDefault="00812375" w:rsidP="005C247F">
      <w:pPr>
        <w:spacing w:line="360" w:lineRule="auto"/>
        <w:rPr>
          <w:lang w:val="en-GB"/>
        </w:rPr>
      </w:pPr>
      <w:r w:rsidRPr="0013512D">
        <w:rPr>
          <w:lang w:val="en-GB"/>
        </w:rPr>
        <w:t>The draft implementation plan proposed by TVF included memorialization projects that would be community-driven and ‘take a range of forms, including written, audio, artistic, events or other mediums.’</w:t>
      </w:r>
      <w:r w:rsidRPr="0013512D">
        <w:rPr>
          <w:rStyle w:val="FootnoteReference"/>
          <w:lang w:val="en-GB"/>
        </w:rPr>
        <w:footnoteReference w:id="75"/>
      </w:r>
      <w:r w:rsidRPr="0013512D">
        <w:rPr>
          <w:lang w:val="en-GB"/>
        </w:rPr>
        <w:t xml:space="preserve"> This is, in part, to fight the social stigma attached to the former child soldiers as individuals and also their general  profile in the community.</w:t>
      </w:r>
      <w:r w:rsidRPr="0013512D">
        <w:rPr>
          <w:rStyle w:val="FootnoteReference"/>
          <w:lang w:val="en-GB"/>
        </w:rPr>
        <w:footnoteReference w:id="76"/>
      </w:r>
      <w:r w:rsidRPr="0013512D">
        <w:rPr>
          <w:lang w:val="en-GB"/>
        </w:rPr>
        <w:t xml:space="preserve"> Consequently, the TVF suggested that activities and events may include a community dialogue, artistic, cultural, and theatrical activities to promote awareness-raising about the crimes subject to international prosecution and the harms suffered by child soldiers.</w:t>
      </w:r>
      <w:r w:rsidRPr="0013512D">
        <w:rPr>
          <w:rStyle w:val="FootnoteReference"/>
          <w:lang w:val="en-GB"/>
        </w:rPr>
        <w:footnoteReference w:id="77"/>
      </w:r>
      <w:r w:rsidRPr="0013512D">
        <w:rPr>
          <w:lang w:val="en-GB"/>
        </w:rPr>
        <w:t xml:space="preserve"> When it comes to a more permanent physical space, the TVF proposed that the future building should serve as a ‘living’ space that offers a venue for symbolic activities.  The interior of the building could be utilized to exhibit pictures and artwork created by former child soldiers that depict the past, present, and their hopes for the future. The structures may also host music, dance, drama and cultural events.</w:t>
      </w:r>
      <w:r w:rsidRPr="0013512D">
        <w:rPr>
          <w:rStyle w:val="FootnoteReference"/>
          <w:lang w:val="en-GB"/>
        </w:rPr>
        <w:footnoteReference w:id="78"/>
      </w:r>
      <w:r w:rsidRPr="0013512D">
        <w:rPr>
          <w:lang w:val="en-GB"/>
        </w:rPr>
        <w:t xml:space="preserve"> </w:t>
      </w:r>
    </w:p>
    <w:p w14:paraId="0ECF58AD" w14:textId="77777777" w:rsidR="00812375" w:rsidRPr="0013512D" w:rsidRDefault="00812375" w:rsidP="005C247F">
      <w:pPr>
        <w:spacing w:line="360" w:lineRule="auto"/>
        <w:rPr>
          <w:lang w:val="en-GB"/>
        </w:rPr>
      </w:pPr>
    </w:p>
    <w:p w14:paraId="12D8E07B" w14:textId="7416F689" w:rsidR="00812375" w:rsidRPr="0013512D" w:rsidRDefault="00812375" w:rsidP="005C247F">
      <w:pPr>
        <w:spacing w:line="360" w:lineRule="auto"/>
        <w:rPr>
          <w:lang w:val="en-GB"/>
        </w:rPr>
      </w:pPr>
      <w:r w:rsidRPr="0013512D">
        <w:rPr>
          <w:lang w:val="en-GB"/>
        </w:rPr>
        <w:t xml:space="preserve">The Trial Chamber approved the TVF’s plan for the construction of three of such community </w:t>
      </w:r>
      <w:proofErr w:type="spellStart"/>
      <w:r w:rsidRPr="0013512D">
        <w:rPr>
          <w:lang w:val="en-GB"/>
        </w:rPr>
        <w:t>centers</w:t>
      </w:r>
      <w:proofErr w:type="spellEnd"/>
      <w:r w:rsidRPr="0013512D">
        <w:rPr>
          <w:lang w:val="en-GB"/>
        </w:rPr>
        <w:t xml:space="preserve"> and the launch of a mobile program featuring activities to reduce stigma and discrimination that former child soldiers continue to face in the communities where they reside.</w:t>
      </w:r>
      <w:r w:rsidRPr="0013512D">
        <w:rPr>
          <w:rStyle w:val="FootnoteReference"/>
          <w:lang w:val="en-GB"/>
        </w:rPr>
        <w:t xml:space="preserve"> </w:t>
      </w:r>
      <w:r w:rsidRPr="0013512D">
        <w:rPr>
          <w:rStyle w:val="FootnoteReference"/>
          <w:lang w:val="en-GB"/>
        </w:rPr>
        <w:footnoteReference w:id="79"/>
      </w:r>
      <w:r w:rsidRPr="0013512D">
        <w:rPr>
          <w:lang w:val="en-GB"/>
        </w:rPr>
        <w:t xml:space="preserve"> These buildings are now in the process of being constructed with </w:t>
      </w:r>
      <w:r w:rsidRPr="0013512D">
        <w:rPr>
          <w:lang w:val="en-GB"/>
        </w:rPr>
        <w:lastRenderedPageBreak/>
        <w:t>the assistance of local villages.</w:t>
      </w:r>
      <w:r w:rsidRPr="0013512D">
        <w:rPr>
          <w:rStyle w:val="FootnoteReference"/>
          <w:lang w:val="en-GB"/>
        </w:rPr>
        <w:footnoteReference w:id="80"/>
      </w:r>
      <w:r w:rsidRPr="0013512D">
        <w:rPr>
          <w:lang w:val="en-GB"/>
        </w:rPr>
        <w:t xml:space="preserve"> It appears that the </w:t>
      </w:r>
      <w:r w:rsidRPr="0013512D">
        <w:rPr>
          <w:i/>
          <w:lang w:val="en-GB"/>
        </w:rPr>
        <w:t>Lubanga</w:t>
      </w:r>
      <w:r w:rsidRPr="0013512D">
        <w:rPr>
          <w:lang w:val="en-GB"/>
        </w:rPr>
        <w:t xml:space="preserve"> Trial Chamber and the TVF through their decision to create permanent spaces for artistic expression in the local communities, implicitly acknowledged that an important element of art as a method of reconciliation is its inclusivity and ability to overcome limitations of time and space. This quality of art, discussed in the previous section, offers solid possibilities of memorialization. </w:t>
      </w:r>
    </w:p>
    <w:p w14:paraId="53B209FF" w14:textId="77777777" w:rsidR="00CC0842" w:rsidRPr="0013512D" w:rsidRDefault="00CC0842" w:rsidP="005C247F">
      <w:pPr>
        <w:spacing w:line="360" w:lineRule="auto"/>
        <w:rPr>
          <w:color w:val="FF0000"/>
          <w:lang w:val="en-GB"/>
        </w:rPr>
      </w:pPr>
    </w:p>
    <w:p w14:paraId="4C68488D" w14:textId="039B7E57" w:rsidR="00044F51" w:rsidRPr="0013512D" w:rsidRDefault="005D38A8" w:rsidP="005C247F">
      <w:pPr>
        <w:pStyle w:val="ListParagraph"/>
        <w:numPr>
          <w:ilvl w:val="0"/>
          <w:numId w:val="1"/>
        </w:numPr>
        <w:spacing w:line="360" w:lineRule="auto"/>
        <w:rPr>
          <w:rFonts w:ascii="Times New Roman" w:hAnsi="Times New Roman"/>
          <w:u w:val="single"/>
          <w:lang w:val="en-GB"/>
        </w:rPr>
      </w:pPr>
      <w:r w:rsidRPr="0013512D">
        <w:rPr>
          <w:rFonts w:ascii="Times New Roman" w:hAnsi="Times New Roman"/>
          <w:u w:val="single"/>
          <w:lang w:val="en-GB"/>
        </w:rPr>
        <w:t>Who</w:t>
      </w:r>
      <w:r w:rsidR="00062E80" w:rsidRPr="0013512D">
        <w:rPr>
          <w:rFonts w:ascii="Times New Roman" w:hAnsi="Times New Roman"/>
          <w:u w:val="single"/>
          <w:lang w:val="en-GB"/>
        </w:rPr>
        <w:t xml:space="preserve"> Makes and Engages with </w:t>
      </w:r>
      <w:r w:rsidRPr="0013512D">
        <w:rPr>
          <w:rFonts w:ascii="Times New Roman" w:hAnsi="Times New Roman"/>
          <w:u w:val="single"/>
          <w:lang w:val="en-GB"/>
        </w:rPr>
        <w:t>Art?</w:t>
      </w:r>
    </w:p>
    <w:p w14:paraId="4BBC5E04" w14:textId="77777777" w:rsidR="004C7D8A" w:rsidRPr="0013512D" w:rsidRDefault="004C7D8A" w:rsidP="005C247F">
      <w:pPr>
        <w:spacing w:line="360" w:lineRule="auto"/>
        <w:rPr>
          <w:lang w:val="en-GB"/>
        </w:rPr>
      </w:pPr>
    </w:p>
    <w:p w14:paraId="0731C80E" w14:textId="7C743297" w:rsidR="00C1604B" w:rsidRPr="0013512D" w:rsidRDefault="004C7D8A" w:rsidP="005C247F">
      <w:pPr>
        <w:spacing w:line="360" w:lineRule="auto"/>
        <w:rPr>
          <w:lang w:val="en-GB"/>
        </w:rPr>
      </w:pPr>
      <w:r w:rsidRPr="0013512D">
        <w:rPr>
          <w:lang w:val="en-GB"/>
        </w:rPr>
        <w:t xml:space="preserve">When discussing the role of art in international criminal </w:t>
      </w:r>
      <w:r w:rsidR="00AC6717" w:rsidRPr="0013512D">
        <w:rPr>
          <w:lang w:val="en-GB"/>
        </w:rPr>
        <w:t>justice</w:t>
      </w:r>
      <w:r w:rsidRPr="0013512D">
        <w:rPr>
          <w:lang w:val="en-GB"/>
        </w:rPr>
        <w:t>, it is essential to identify modalities of stakeholders</w:t>
      </w:r>
      <w:r w:rsidR="00F2505E" w:rsidRPr="0013512D">
        <w:rPr>
          <w:lang w:val="en-GB"/>
        </w:rPr>
        <w:t>’</w:t>
      </w:r>
      <w:r w:rsidRPr="0013512D">
        <w:rPr>
          <w:lang w:val="en-GB"/>
        </w:rPr>
        <w:t xml:space="preserve"> engagement with </w:t>
      </w:r>
      <w:r w:rsidR="00200793" w:rsidRPr="0013512D">
        <w:rPr>
          <w:lang w:val="en-GB"/>
        </w:rPr>
        <w:t>it</w:t>
      </w:r>
      <w:r w:rsidR="00AA0748" w:rsidRPr="0013512D">
        <w:rPr>
          <w:lang w:val="en-GB"/>
        </w:rPr>
        <w:t xml:space="preserve">. </w:t>
      </w:r>
      <w:r w:rsidR="007514A0" w:rsidRPr="0013512D">
        <w:rPr>
          <w:lang w:val="en-GB"/>
        </w:rPr>
        <w:t xml:space="preserve">In this section, we will </w:t>
      </w:r>
      <w:r w:rsidRPr="0013512D">
        <w:rPr>
          <w:lang w:val="en-GB"/>
        </w:rPr>
        <w:t xml:space="preserve">look at the </w:t>
      </w:r>
      <w:r w:rsidR="00200793" w:rsidRPr="0013512D">
        <w:rPr>
          <w:lang w:val="en-GB"/>
        </w:rPr>
        <w:t>‘agency question’</w:t>
      </w:r>
      <w:r w:rsidRPr="0013512D">
        <w:rPr>
          <w:lang w:val="en-GB"/>
        </w:rPr>
        <w:t xml:space="preserve"> and assess how </w:t>
      </w:r>
      <w:r w:rsidR="00200793" w:rsidRPr="0013512D">
        <w:rPr>
          <w:lang w:val="en-GB"/>
        </w:rPr>
        <w:t xml:space="preserve">various parties </w:t>
      </w:r>
      <w:r w:rsidRPr="0013512D">
        <w:rPr>
          <w:lang w:val="en-GB"/>
        </w:rPr>
        <w:t xml:space="preserve">could </w:t>
      </w:r>
      <w:r w:rsidR="00F34EA3" w:rsidRPr="0013512D">
        <w:rPr>
          <w:lang w:val="en-GB"/>
        </w:rPr>
        <w:t>participate</w:t>
      </w:r>
      <w:r w:rsidRPr="0013512D">
        <w:rPr>
          <w:lang w:val="en-GB"/>
        </w:rPr>
        <w:t xml:space="preserve"> with creative expression</w:t>
      </w:r>
      <w:r w:rsidR="00062E80" w:rsidRPr="0013512D">
        <w:rPr>
          <w:lang w:val="en-GB"/>
        </w:rPr>
        <w:t xml:space="preserve"> as a means to achieve reconciliation</w:t>
      </w:r>
      <w:r w:rsidRPr="0013512D">
        <w:rPr>
          <w:lang w:val="en-GB"/>
        </w:rPr>
        <w:t>.</w:t>
      </w:r>
      <w:r w:rsidR="00D13D43" w:rsidRPr="0013512D">
        <w:rPr>
          <w:rStyle w:val="FootnoteReference"/>
          <w:lang w:val="en-GB"/>
        </w:rPr>
        <w:footnoteReference w:id="81"/>
      </w:r>
      <w:r w:rsidR="007514A0" w:rsidRPr="0013512D">
        <w:rPr>
          <w:lang w:val="en-GB"/>
        </w:rPr>
        <w:t xml:space="preserve"> </w:t>
      </w:r>
      <w:r w:rsidR="00EC6117" w:rsidRPr="0013512D">
        <w:rPr>
          <w:lang w:val="en-GB"/>
        </w:rPr>
        <w:t>Exploring th</w:t>
      </w:r>
      <w:r w:rsidR="00AC6717" w:rsidRPr="0013512D">
        <w:rPr>
          <w:lang w:val="en-GB"/>
        </w:rPr>
        <w:t xml:space="preserve">e question of agency </w:t>
      </w:r>
      <w:r w:rsidR="00074495" w:rsidRPr="0013512D">
        <w:rPr>
          <w:lang w:val="en-GB"/>
        </w:rPr>
        <w:t xml:space="preserve">provides illustrations </w:t>
      </w:r>
      <w:r w:rsidR="00FF5F42" w:rsidRPr="0013512D">
        <w:rPr>
          <w:lang w:val="en-GB"/>
        </w:rPr>
        <w:t>for the</w:t>
      </w:r>
      <w:r w:rsidR="00D13D43" w:rsidRPr="0013512D">
        <w:rPr>
          <w:lang w:val="en-GB"/>
        </w:rPr>
        <w:t xml:space="preserve"> paradigm that includes</w:t>
      </w:r>
      <w:r w:rsidR="00AC6717" w:rsidRPr="0013512D">
        <w:rPr>
          <w:lang w:val="en-GB"/>
        </w:rPr>
        <w:t xml:space="preserve"> international criminal </w:t>
      </w:r>
      <w:r w:rsidR="00C1604B" w:rsidRPr="0013512D">
        <w:rPr>
          <w:lang w:val="en-GB"/>
        </w:rPr>
        <w:t>justice</w:t>
      </w:r>
      <w:r w:rsidR="00AC6717" w:rsidRPr="0013512D">
        <w:rPr>
          <w:lang w:val="en-GB"/>
        </w:rPr>
        <w:t xml:space="preserve">, art and reconciliation. </w:t>
      </w:r>
      <w:r w:rsidR="00F60ADC" w:rsidRPr="0013512D">
        <w:rPr>
          <w:lang w:val="en-GB"/>
        </w:rPr>
        <w:t xml:space="preserve">Arguably, international criminal justice can </w:t>
      </w:r>
      <w:r w:rsidR="00D13D43" w:rsidRPr="0013512D">
        <w:rPr>
          <w:lang w:val="en-GB"/>
        </w:rPr>
        <w:t xml:space="preserve">no </w:t>
      </w:r>
      <w:r w:rsidR="00F60ADC" w:rsidRPr="0013512D">
        <w:rPr>
          <w:lang w:val="en-GB"/>
        </w:rPr>
        <w:t>longer be viewed solely from the vantage point of international courts. Rather it is a ‘project’ with many aspirations</w:t>
      </w:r>
      <w:r w:rsidR="00D455C8" w:rsidRPr="0013512D">
        <w:rPr>
          <w:lang w:val="en-GB"/>
        </w:rPr>
        <w:t xml:space="preserve"> and</w:t>
      </w:r>
      <w:r w:rsidR="00FE1B7F" w:rsidRPr="0013512D">
        <w:rPr>
          <w:lang w:val="en-GB"/>
        </w:rPr>
        <w:t xml:space="preserve"> engaging multiple stakeholders. At the core of th</w:t>
      </w:r>
      <w:r w:rsidR="00D455C8" w:rsidRPr="0013512D">
        <w:rPr>
          <w:lang w:val="en-GB"/>
        </w:rPr>
        <w:t>is</w:t>
      </w:r>
      <w:r w:rsidR="00FE1B7F" w:rsidRPr="0013512D">
        <w:rPr>
          <w:lang w:val="en-GB"/>
        </w:rPr>
        <w:t xml:space="preserve"> project is the idea of justice in the aftermath of war crimes, crimes against humanity and genocid</w:t>
      </w:r>
      <w:r w:rsidR="006D0C32" w:rsidRPr="0013512D">
        <w:rPr>
          <w:lang w:val="en-GB"/>
        </w:rPr>
        <w:t>e.</w:t>
      </w:r>
      <w:r w:rsidR="00D455C8" w:rsidRPr="0013512D">
        <w:rPr>
          <w:lang w:val="en-GB"/>
        </w:rPr>
        <w:t xml:space="preserve"> </w:t>
      </w:r>
      <w:r w:rsidR="00074495" w:rsidRPr="0013512D">
        <w:rPr>
          <w:lang w:val="en-GB"/>
        </w:rPr>
        <w:t xml:space="preserve">This idea of justice </w:t>
      </w:r>
      <w:r w:rsidR="006D0C32" w:rsidRPr="0013512D">
        <w:rPr>
          <w:lang w:val="en-GB"/>
        </w:rPr>
        <w:t xml:space="preserve">increasingly </w:t>
      </w:r>
      <w:r w:rsidR="00074495" w:rsidRPr="0013512D">
        <w:rPr>
          <w:lang w:val="en-GB"/>
        </w:rPr>
        <w:t>encompass</w:t>
      </w:r>
      <w:r w:rsidR="006D0C32" w:rsidRPr="0013512D">
        <w:rPr>
          <w:lang w:val="en-GB"/>
        </w:rPr>
        <w:t>es</w:t>
      </w:r>
      <w:r w:rsidR="00074495" w:rsidRPr="0013512D">
        <w:rPr>
          <w:lang w:val="en-GB"/>
        </w:rPr>
        <w:t xml:space="preserve"> concerns about </w:t>
      </w:r>
      <w:r w:rsidR="00FE1B7F" w:rsidRPr="0013512D">
        <w:rPr>
          <w:lang w:val="en-GB"/>
        </w:rPr>
        <w:t>v</w:t>
      </w:r>
      <w:r w:rsidR="00F60ADC" w:rsidRPr="0013512D">
        <w:rPr>
          <w:lang w:val="en-GB"/>
        </w:rPr>
        <w:t>ictims’ and community needs</w:t>
      </w:r>
      <w:r w:rsidR="003B6AB0" w:rsidRPr="0013512D">
        <w:rPr>
          <w:lang w:val="en-GB"/>
        </w:rPr>
        <w:t>.</w:t>
      </w:r>
      <w:r w:rsidR="006D0C32" w:rsidRPr="0013512D">
        <w:rPr>
          <w:lang w:val="en-GB"/>
        </w:rPr>
        <w:t xml:space="preserve"> Attention to these questions is necessary for maintaining overall legitimacy of the field. </w:t>
      </w:r>
      <w:r w:rsidR="00FF5F42" w:rsidRPr="0013512D">
        <w:rPr>
          <w:lang w:val="en-GB"/>
        </w:rPr>
        <w:t xml:space="preserve">For instance, </w:t>
      </w:r>
      <w:proofErr w:type="spellStart"/>
      <w:r w:rsidR="00FF5F42" w:rsidRPr="0013512D">
        <w:rPr>
          <w:lang w:val="en-GB"/>
        </w:rPr>
        <w:t>Frédéric</w:t>
      </w:r>
      <w:proofErr w:type="spellEnd"/>
      <w:r w:rsidR="00FF5F42" w:rsidRPr="0013512D">
        <w:rPr>
          <w:lang w:val="en-GB"/>
        </w:rPr>
        <w:t xml:space="preserve"> </w:t>
      </w:r>
      <w:proofErr w:type="spellStart"/>
      <w:r w:rsidR="00FF5F42" w:rsidRPr="0013512D">
        <w:rPr>
          <w:lang w:val="en-GB"/>
        </w:rPr>
        <w:t>Mégret</w:t>
      </w:r>
      <w:proofErr w:type="spellEnd"/>
      <w:r w:rsidR="00FF5F42" w:rsidRPr="0013512D">
        <w:rPr>
          <w:lang w:val="en-GB"/>
        </w:rPr>
        <w:t xml:space="preserve"> suggests expanding our vision of international criminal justice to include the idea of the ‘sites of conscience’ - sites built with a specific commemorative purpose that would bridge legal concepts of victim reparation, humanitarian ideas of victim assistance, and the larger needs of transitional societies.</w:t>
      </w:r>
      <w:r w:rsidR="00FF5F42" w:rsidRPr="0013512D">
        <w:rPr>
          <w:rStyle w:val="FootnoteReference"/>
          <w:lang w:val="en-GB"/>
        </w:rPr>
        <w:footnoteReference w:id="82"/>
      </w:r>
      <w:r w:rsidR="00FF5F42" w:rsidRPr="0013512D">
        <w:rPr>
          <w:lang w:val="en-GB"/>
        </w:rPr>
        <w:t xml:space="preserve"> Thus, a</w:t>
      </w:r>
      <w:r w:rsidR="006D0C32" w:rsidRPr="0013512D">
        <w:rPr>
          <w:lang w:val="en-GB"/>
        </w:rPr>
        <w:t xml:space="preserve">s the discussion opens up to a more expansive vision of post-conflict justice to be delivered by international criminal law, </w:t>
      </w:r>
      <w:r w:rsidR="007A3EDA" w:rsidRPr="0013512D">
        <w:rPr>
          <w:lang w:val="en-GB"/>
        </w:rPr>
        <w:t>the number of actors engaged in it</w:t>
      </w:r>
      <w:r w:rsidR="006D0C32" w:rsidRPr="0013512D">
        <w:rPr>
          <w:lang w:val="en-GB"/>
        </w:rPr>
        <w:t xml:space="preserve"> grows. </w:t>
      </w:r>
    </w:p>
    <w:p w14:paraId="3C06C595" w14:textId="77777777" w:rsidR="004C7D8A" w:rsidRPr="0013512D" w:rsidRDefault="004C7D8A" w:rsidP="005C247F">
      <w:pPr>
        <w:spacing w:line="360" w:lineRule="auto"/>
        <w:rPr>
          <w:lang w:val="en-GB"/>
        </w:rPr>
      </w:pPr>
    </w:p>
    <w:p w14:paraId="3229FFF3" w14:textId="248D1D7E" w:rsidR="007C119F" w:rsidRPr="0013512D" w:rsidRDefault="00FF2AB0" w:rsidP="005C247F">
      <w:pPr>
        <w:pStyle w:val="ListParagraph"/>
        <w:numPr>
          <w:ilvl w:val="1"/>
          <w:numId w:val="1"/>
        </w:numPr>
        <w:spacing w:line="360" w:lineRule="auto"/>
        <w:rPr>
          <w:rFonts w:ascii="Times New Roman" w:hAnsi="Times New Roman"/>
          <w:i/>
          <w:u w:val="single"/>
          <w:lang w:val="en-GB"/>
        </w:rPr>
      </w:pPr>
      <w:r w:rsidRPr="0013512D">
        <w:rPr>
          <w:rFonts w:ascii="Times New Roman" w:hAnsi="Times New Roman"/>
          <w:i/>
          <w:lang w:val="en-GB"/>
        </w:rPr>
        <w:t>I</w:t>
      </w:r>
      <w:r w:rsidR="00293C73" w:rsidRPr="0013512D">
        <w:rPr>
          <w:rFonts w:ascii="Times New Roman" w:hAnsi="Times New Roman"/>
          <w:i/>
          <w:lang w:val="en-GB"/>
        </w:rPr>
        <w:t>nternational courts</w:t>
      </w:r>
    </w:p>
    <w:p w14:paraId="31F111FA" w14:textId="77777777" w:rsidR="00115E0B" w:rsidRPr="0013512D" w:rsidRDefault="00115E0B" w:rsidP="005C247F">
      <w:pPr>
        <w:pStyle w:val="ListParagraph"/>
        <w:spacing w:line="360" w:lineRule="auto"/>
        <w:ind w:left="1440"/>
        <w:rPr>
          <w:rFonts w:ascii="Times New Roman" w:hAnsi="Times New Roman"/>
          <w:i/>
          <w:u w:val="single"/>
          <w:lang w:val="en-GB"/>
        </w:rPr>
      </w:pPr>
    </w:p>
    <w:p w14:paraId="796BCB55" w14:textId="4239393D" w:rsidR="00044F51" w:rsidRPr="0013512D" w:rsidRDefault="005C73E5" w:rsidP="005C247F">
      <w:pPr>
        <w:spacing w:line="360" w:lineRule="auto"/>
        <w:rPr>
          <w:lang w:val="en-GB"/>
        </w:rPr>
      </w:pPr>
      <w:r w:rsidRPr="0013512D">
        <w:rPr>
          <w:lang w:val="en-GB"/>
        </w:rPr>
        <w:lastRenderedPageBreak/>
        <w:t>International courts are the</w:t>
      </w:r>
      <w:r w:rsidR="005262CA" w:rsidRPr="0013512D">
        <w:rPr>
          <w:lang w:val="en-GB"/>
        </w:rPr>
        <w:t xml:space="preserve"> main</w:t>
      </w:r>
      <w:r w:rsidRPr="0013512D">
        <w:rPr>
          <w:lang w:val="en-GB"/>
        </w:rPr>
        <w:t xml:space="preserve"> sources of jurisprudence and </w:t>
      </w:r>
      <w:r w:rsidR="00956BA4" w:rsidRPr="0013512D">
        <w:rPr>
          <w:lang w:val="en-GB"/>
        </w:rPr>
        <w:t xml:space="preserve">the main ‘interpreters’ of the </w:t>
      </w:r>
      <w:r w:rsidRPr="0013512D">
        <w:rPr>
          <w:lang w:val="en-GB"/>
        </w:rPr>
        <w:t>normative standards in the field of international criminal law. They are also the starting point in the discussion of</w:t>
      </w:r>
      <w:r w:rsidR="00F34EA3" w:rsidRPr="0013512D">
        <w:rPr>
          <w:lang w:val="en-GB"/>
        </w:rPr>
        <w:t xml:space="preserve"> the</w:t>
      </w:r>
      <w:r w:rsidRPr="0013512D">
        <w:rPr>
          <w:lang w:val="en-GB"/>
        </w:rPr>
        <w:t xml:space="preserve"> role of art in promoting the goal of reconciliation. How can international courts through their practice contribute to the development of artistic endeavours? </w:t>
      </w:r>
      <w:r w:rsidR="005262CA" w:rsidRPr="0013512D">
        <w:rPr>
          <w:lang w:val="en-GB"/>
        </w:rPr>
        <w:t xml:space="preserve">The ICC, </w:t>
      </w:r>
      <w:r w:rsidR="00EB4448" w:rsidRPr="0013512D">
        <w:rPr>
          <w:lang w:val="en-GB"/>
        </w:rPr>
        <w:t xml:space="preserve">the Extraordinary Chambers in the Courts of Cambodia (ECCC) </w:t>
      </w:r>
      <w:r w:rsidR="005262CA" w:rsidRPr="0013512D">
        <w:rPr>
          <w:lang w:val="en-GB"/>
        </w:rPr>
        <w:t>and the Inter-American-Court of Human Rights (</w:t>
      </w:r>
      <w:proofErr w:type="spellStart"/>
      <w:r w:rsidR="005262CA" w:rsidRPr="0013512D">
        <w:rPr>
          <w:lang w:val="en-GB"/>
        </w:rPr>
        <w:t>IACtHR</w:t>
      </w:r>
      <w:proofErr w:type="spellEnd"/>
      <w:r w:rsidR="005262CA" w:rsidRPr="0013512D">
        <w:rPr>
          <w:lang w:val="en-GB"/>
        </w:rPr>
        <w:t xml:space="preserve">) </w:t>
      </w:r>
      <w:r w:rsidR="00F34EA3" w:rsidRPr="0013512D">
        <w:rPr>
          <w:lang w:val="en-GB"/>
        </w:rPr>
        <w:t>are</w:t>
      </w:r>
      <w:r w:rsidR="005262CA" w:rsidRPr="0013512D">
        <w:rPr>
          <w:lang w:val="en-GB"/>
        </w:rPr>
        <w:t xml:space="preserve"> already embracing the value of artistic efforts</w:t>
      </w:r>
      <w:r w:rsidR="00D45A78" w:rsidRPr="0013512D">
        <w:rPr>
          <w:lang w:val="en-GB"/>
        </w:rPr>
        <w:t xml:space="preserve"> through the practice of reparations. These three courts are particularly strong in their practice of reparations with symbolic </w:t>
      </w:r>
      <w:r w:rsidR="00F46102" w:rsidRPr="0013512D">
        <w:rPr>
          <w:lang w:val="en-GB"/>
        </w:rPr>
        <w:t>effect</w:t>
      </w:r>
      <w:r w:rsidR="00D45A78" w:rsidRPr="0013512D">
        <w:rPr>
          <w:lang w:val="en-GB"/>
        </w:rPr>
        <w:t>.</w:t>
      </w:r>
      <w:r w:rsidR="00FF1266" w:rsidRPr="0013512D">
        <w:rPr>
          <w:lang w:val="en-GB"/>
        </w:rPr>
        <w:t xml:space="preserve"> </w:t>
      </w:r>
    </w:p>
    <w:p w14:paraId="30F84268" w14:textId="6A5EBA54" w:rsidR="005C73E5" w:rsidRPr="0013512D" w:rsidRDefault="005C73E5" w:rsidP="005C247F">
      <w:pPr>
        <w:spacing w:line="360" w:lineRule="auto"/>
        <w:rPr>
          <w:lang w:val="en-GB"/>
        </w:rPr>
      </w:pPr>
    </w:p>
    <w:p w14:paraId="287CB1B2" w14:textId="28A79030" w:rsidR="00AD1B3A" w:rsidRPr="0013512D" w:rsidRDefault="005262CA" w:rsidP="005C247F">
      <w:pPr>
        <w:spacing w:line="360" w:lineRule="auto"/>
        <w:rPr>
          <w:lang w:val="en-GB"/>
        </w:rPr>
      </w:pPr>
      <w:r w:rsidRPr="0013512D">
        <w:rPr>
          <w:lang w:val="en-GB"/>
        </w:rPr>
        <w:t>Pursuant to Article 75(1) of the Rome Statute of the ICC, the Court may order reparations to victims, in the form of restitution, compensation and rehabilitation.</w:t>
      </w:r>
      <w:r w:rsidRPr="0013512D">
        <w:rPr>
          <w:rStyle w:val="FootnoteReference"/>
          <w:lang w:val="en-GB"/>
        </w:rPr>
        <w:footnoteReference w:id="83"/>
      </w:r>
      <w:r w:rsidRPr="0013512D">
        <w:rPr>
          <w:lang w:val="en-GB"/>
        </w:rPr>
        <w:t xml:space="preserve"> This list is not exhaustive as the Court may select reparations with symbolic, preventative and transformative value.</w:t>
      </w:r>
      <w:r w:rsidRPr="0013512D">
        <w:rPr>
          <w:rStyle w:val="FootnoteReference"/>
          <w:lang w:val="en-GB"/>
        </w:rPr>
        <w:footnoteReference w:id="84"/>
      </w:r>
      <w:r w:rsidRPr="0013512D">
        <w:rPr>
          <w:lang w:val="en-GB"/>
        </w:rPr>
        <w:t xml:space="preserve"> The nature of reparations is thus to be defined on a case by case basis and depending on the circumstances of the case. What is important is that the Court is not limited to ordering a specific type of reparations, say, for example, financial compensation. Where appropriate</w:t>
      </w:r>
      <w:r w:rsidR="00F34EA3" w:rsidRPr="0013512D">
        <w:rPr>
          <w:lang w:val="en-GB"/>
        </w:rPr>
        <w:t>,</w:t>
      </w:r>
      <w:r w:rsidRPr="0013512D">
        <w:rPr>
          <w:lang w:val="en-GB"/>
        </w:rPr>
        <w:t xml:space="preserve"> the ICC may order that the award for reparations be made through the </w:t>
      </w:r>
      <w:r w:rsidR="00335466" w:rsidRPr="0013512D">
        <w:rPr>
          <w:lang w:val="en-GB"/>
        </w:rPr>
        <w:t>TVF</w:t>
      </w:r>
      <w:r w:rsidRPr="0013512D">
        <w:rPr>
          <w:lang w:val="en-GB"/>
        </w:rPr>
        <w:t>.</w:t>
      </w:r>
      <w:r w:rsidRPr="0013512D">
        <w:rPr>
          <w:rStyle w:val="FootnoteReference"/>
          <w:lang w:val="en-GB"/>
        </w:rPr>
        <w:footnoteReference w:id="85"/>
      </w:r>
      <w:r w:rsidRPr="0013512D">
        <w:rPr>
          <w:lang w:val="en-GB"/>
        </w:rPr>
        <w:t xml:space="preserve"> Article 79 of the Rome Statute refers to the Trust Fund</w:t>
      </w:r>
      <w:r w:rsidR="00235D09" w:rsidRPr="0013512D">
        <w:rPr>
          <w:lang w:val="en-GB"/>
        </w:rPr>
        <w:t xml:space="preserve"> as</w:t>
      </w:r>
      <w:r w:rsidRPr="0013512D">
        <w:rPr>
          <w:lang w:val="en-GB"/>
        </w:rPr>
        <w:t xml:space="preserve"> a body established by the Assembly of State Parties with the mandate to serve as an intermediary between victims and the ICC, in particular when</w:t>
      </w:r>
      <w:r w:rsidR="00F34EA3" w:rsidRPr="0013512D">
        <w:rPr>
          <w:lang w:val="en-GB"/>
        </w:rPr>
        <w:t xml:space="preserve"> it</w:t>
      </w:r>
      <w:r w:rsidRPr="0013512D">
        <w:rPr>
          <w:lang w:val="en-GB"/>
        </w:rPr>
        <w:t xml:space="preserve"> comes to accumulating fines or forfeiture ordered by the Court to be later used for reparations.</w:t>
      </w:r>
      <w:r w:rsidRPr="0013512D">
        <w:rPr>
          <w:rStyle w:val="FootnoteReference"/>
          <w:lang w:val="en-GB"/>
        </w:rPr>
        <w:footnoteReference w:id="86"/>
      </w:r>
      <w:r w:rsidRPr="0013512D">
        <w:rPr>
          <w:lang w:val="en-GB"/>
        </w:rPr>
        <w:t xml:space="preserve"> While the Court orders symbolic reparations in abstract terms, it is up to the implementing body –TVF – to come up with the practical execution of the order. </w:t>
      </w:r>
      <w:r w:rsidR="00AD1B3A" w:rsidRPr="0013512D">
        <w:rPr>
          <w:lang w:val="en-GB"/>
        </w:rPr>
        <w:t xml:space="preserve">The first case where symbolic reparations have been ordered and are currently implemented </w:t>
      </w:r>
      <w:r w:rsidR="00235D09" w:rsidRPr="0013512D">
        <w:rPr>
          <w:lang w:val="en-GB"/>
        </w:rPr>
        <w:t xml:space="preserve">is </w:t>
      </w:r>
      <w:r w:rsidR="00AD1B3A" w:rsidRPr="0013512D">
        <w:rPr>
          <w:i/>
          <w:lang w:val="en-GB"/>
        </w:rPr>
        <w:t>Lubanga</w:t>
      </w:r>
      <w:r w:rsidR="00235D09" w:rsidRPr="0013512D">
        <w:rPr>
          <w:lang w:val="en-GB"/>
        </w:rPr>
        <w:t xml:space="preserve"> and it is</w:t>
      </w:r>
      <w:r w:rsidR="00AD1B3A" w:rsidRPr="0013512D">
        <w:rPr>
          <w:lang w:val="en-GB"/>
        </w:rPr>
        <w:t xml:space="preserve"> discussed in the previous section.</w:t>
      </w:r>
    </w:p>
    <w:p w14:paraId="3F534014" w14:textId="77CE1368" w:rsidR="00FF1266" w:rsidRPr="0013512D" w:rsidRDefault="00FF1266" w:rsidP="005C247F">
      <w:pPr>
        <w:spacing w:line="360" w:lineRule="auto"/>
        <w:rPr>
          <w:lang w:val="en-GB"/>
        </w:rPr>
      </w:pPr>
    </w:p>
    <w:p w14:paraId="18E9C00C" w14:textId="77777777" w:rsidR="00F80AB0" w:rsidRPr="0013512D" w:rsidRDefault="00FF1266" w:rsidP="005C247F">
      <w:pPr>
        <w:spacing w:line="360" w:lineRule="auto"/>
        <w:rPr>
          <w:lang w:val="en-GB"/>
        </w:rPr>
      </w:pPr>
      <w:r w:rsidRPr="0013512D">
        <w:rPr>
          <w:lang w:val="en-GB"/>
        </w:rPr>
        <w:t>Symbolic reparations have clear advantages for</w:t>
      </w:r>
      <w:r w:rsidR="002E1056" w:rsidRPr="0013512D">
        <w:rPr>
          <w:lang w:val="en-GB"/>
        </w:rPr>
        <w:t xml:space="preserve"> long-term</w:t>
      </w:r>
      <w:r w:rsidRPr="0013512D">
        <w:rPr>
          <w:lang w:val="en-GB"/>
        </w:rPr>
        <w:t xml:space="preserve"> healing </w:t>
      </w:r>
      <w:r w:rsidR="002E1056" w:rsidRPr="0013512D">
        <w:rPr>
          <w:lang w:val="en-GB"/>
        </w:rPr>
        <w:t>and can complement other</w:t>
      </w:r>
      <w:r w:rsidRPr="0013512D">
        <w:rPr>
          <w:lang w:val="en-GB"/>
        </w:rPr>
        <w:t xml:space="preserve"> </w:t>
      </w:r>
      <w:r w:rsidR="00313FB1" w:rsidRPr="0013512D">
        <w:rPr>
          <w:lang w:val="en-GB"/>
        </w:rPr>
        <w:t xml:space="preserve">forms of </w:t>
      </w:r>
      <w:r w:rsidRPr="0013512D">
        <w:rPr>
          <w:lang w:val="en-GB"/>
        </w:rPr>
        <w:t xml:space="preserve">reparations listed in the Rome Statute, namely restitution, compensation and rehabilitation. </w:t>
      </w:r>
      <w:r w:rsidR="00313FB1" w:rsidRPr="0013512D">
        <w:rPr>
          <w:lang w:val="en-GB"/>
        </w:rPr>
        <w:t>Each of these three expressly mentioned forms of reparations have their downsides when it comes to achieving the goal of reconciliation. The principle pf restitution derives its origins from the d</w:t>
      </w:r>
      <w:r w:rsidR="002E1056" w:rsidRPr="0013512D">
        <w:rPr>
          <w:lang w:val="en-GB"/>
        </w:rPr>
        <w:t xml:space="preserve">omestic idea of </w:t>
      </w:r>
      <w:r w:rsidR="002E1056" w:rsidRPr="0013512D">
        <w:rPr>
          <w:i/>
          <w:iCs/>
          <w:lang w:val="en-GB"/>
        </w:rPr>
        <w:t xml:space="preserve">restitutio ad </w:t>
      </w:r>
      <w:proofErr w:type="gramStart"/>
      <w:r w:rsidR="002E1056" w:rsidRPr="0013512D">
        <w:rPr>
          <w:i/>
          <w:iCs/>
          <w:lang w:val="en-GB"/>
        </w:rPr>
        <w:t>integrum</w:t>
      </w:r>
      <w:proofErr w:type="gramEnd"/>
      <w:r w:rsidR="002E1056" w:rsidRPr="0013512D">
        <w:rPr>
          <w:lang w:val="en-GB"/>
        </w:rPr>
        <w:t xml:space="preserve"> </w:t>
      </w:r>
      <w:r w:rsidR="00313FB1" w:rsidRPr="0013512D">
        <w:rPr>
          <w:lang w:val="en-GB"/>
        </w:rPr>
        <w:t xml:space="preserve">but it </w:t>
      </w:r>
      <w:r w:rsidR="002E1056" w:rsidRPr="0013512D">
        <w:rPr>
          <w:lang w:val="en-GB"/>
        </w:rPr>
        <w:t xml:space="preserve">does </w:t>
      </w:r>
      <w:r w:rsidR="002E1056" w:rsidRPr="0013512D">
        <w:rPr>
          <w:lang w:val="en-GB"/>
        </w:rPr>
        <w:lastRenderedPageBreak/>
        <w:t>not fully reflect the reality of mass atrocities</w:t>
      </w:r>
      <w:r w:rsidR="002E1056" w:rsidRPr="0013512D">
        <w:rPr>
          <w:rStyle w:val="FootnoteReference"/>
          <w:lang w:val="en-GB"/>
        </w:rPr>
        <w:footnoteReference w:id="87"/>
      </w:r>
      <w:r w:rsidR="002E1056" w:rsidRPr="0013512D">
        <w:rPr>
          <w:lang w:val="en-GB"/>
        </w:rPr>
        <w:t xml:space="preserve"> – it is hardly possible to undo the harm inflicted on the victims. </w:t>
      </w:r>
      <w:r w:rsidRPr="0013512D">
        <w:rPr>
          <w:lang w:val="en-GB"/>
        </w:rPr>
        <w:t xml:space="preserve">Monetary compensation is </w:t>
      </w:r>
      <w:r w:rsidR="00313FB1" w:rsidRPr="0013512D">
        <w:rPr>
          <w:lang w:val="en-GB"/>
        </w:rPr>
        <w:t xml:space="preserve">limited in scope and </w:t>
      </w:r>
      <w:r w:rsidRPr="0013512D">
        <w:rPr>
          <w:lang w:val="en-GB"/>
        </w:rPr>
        <w:t>oriented towards the past and without more</w:t>
      </w:r>
      <w:r w:rsidR="002E1056" w:rsidRPr="0013512D">
        <w:rPr>
          <w:lang w:val="en-GB"/>
        </w:rPr>
        <w:t xml:space="preserve"> efforts</w:t>
      </w:r>
      <w:r w:rsidRPr="0013512D">
        <w:rPr>
          <w:lang w:val="en-GB"/>
        </w:rPr>
        <w:t xml:space="preserve"> is unlikely to leave</w:t>
      </w:r>
      <w:r w:rsidR="00313FB1" w:rsidRPr="0013512D">
        <w:rPr>
          <w:lang w:val="en-GB"/>
        </w:rPr>
        <w:t xml:space="preserve"> a</w:t>
      </w:r>
      <w:r w:rsidRPr="0013512D">
        <w:rPr>
          <w:lang w:val="en-GB"/>
        </w:rPr>
        <w:t xml:space="preserve"> solid legacy.</w:t>
      </w:r>
      <w:r w:rsidRPr="0013512D">
        <w:rPr>
          <w:rStyle w:val="FootnoteReference"/>
          <w:lang w:val="en-GB"/>
        </w:rPr>
        <w:footnoteReference w:id="88"/>
      </w:r>
      <w:r w:rsidRPr="0013512D">
        <w:rPr>
          <w:lang w:val="en-GB"/>
        </w:rPr>
        <w:t xml:space="preserve"> Finally, rehabilitation appears to be </w:t>
      </w:r>
      <w:proofErr w:type="spellStart"/>
      <w:r w:rsidRPr="0013512D">
        <w:rPr>
          <w:lang w:val="en-GB"/>
        </w:rPr>
        <w:t>welfarist</w:t>
      </w:r>
      <w:proofErr w:type="spellEnd"/>
      <w:r w:rsidRPr="0013512D">
        <w:rPr>
          <w:lang w:val="en-GB"/>
        </w:rPr>
        <w:t xml:space="preserve"> in nature, referring to physical, psychological and material support for the benefit of victims and their families.</w:t>
      </w:r>
      <w:r w:rsidRPr="0013512D">
        <w:rPr>
          <w:rStyle w:val="FootnoteReference"/>
          <w:lang w:val="en-GB"/>
        </w:rPr>
        <w:footnoteReference w:id="89"/>
      </w:r>
      <w:r w:rsidR="005323D1" w:rsidRPr="0013512D">
        <w:rPr>
          <w:lang w:val="en-GB"/>
        </w:rPr>
        <w:t xml:space="preserve"> </w:t>
      </w:r>
      <w:r w:rsidR="00313FB1" w:rsidRPr="0013512D">
        <w:rPr>
          <w:lang w:val="en-GB"/>
        </w:rPr>
        <w:t xml:space="preserve">Yet, it lacks broader context. </w:t>
      </w:r>
    </w:p>
    <w:p w14:paraId="7C83B904" w14:textId="77777777" w:rsidR="00F80AB0" w:rsidRPr="0013512D" w:rsidRDefault="00F80AB0" w:rsidP="005C247F">
      <w:pPr>
        <w:spacing w:line="360" w:lineRule="auto"/>
        <w:rPr>
          <w:lang w:val="en-GB"/>
        </w:rPr>
      </w:pPr>
    </w:p>
    <w:p w14:paraId="37CB7C4F" w14:textId="5A795A22" w:rsidR="00FF1266" w:rsidRPr="0013512D" w:rsidRDefault="00F80AB0" w:rsidP="005C247F">
      <w:pPr>
        <w:spacing w:line="360" w:lineRule="auto"/>
        <w:rPr>
          <w:lang w:val="en-GB"/>
        </w:rPr>
      </w:pPr>
      <w:r w:rsidRPr="0013512D">
        <w:rPr>
          <w:lang w:val="en-GB"/>
        </w:rPr>
        <w:t>Thus, t</w:t>
      </w:r>
      <w:r w:rsidR="005323D1" w:rsidRPr="0013512D">
        <w:rPr>
          <w:lang w:val="en-GB"/>
        </w:rPr>
        <w:t xml:space="preserve">here is </w:t>
      </w:r>
      <w:r w:rsidR="002E1056" w:rsidRPr="0013512D">
        <w:rPr>
          <w:lang w:val="en-GB"/>
        </w:rPr>
        <w:t xml:space="preserve">a </w:t>
      </w:r>
      <w:r w:rsidR="005323D1" w:rsidRPr="0013512D">
        <w:rPr>
          <w:lang w:val="en-GB"/>
        </w:rPr>
        <w:t>clear scope for initiatives that are commemorative in nature and that allow communities to heal and process the past, while looking at how to rebuild the broken ties in the community affected by violence. Art</w:t>
      </w:r>
      <w:r w:rsidR="002E1056" w:rsidRPr="0013512D">
        <w:rPr>
          <w:lang w:val="en-GB"/>
        </w:rPr>
        <w:t xml:space="preserve">’s inherent intelligence, relational and procedural qualities, discussed in section two of this paper, speak directly to the success in designing symbolic reparations. </w:t>
      </w:r>
      <w:r w:rsidR="00863877" w:rsidRPr="0013512D">
        <w:rPr>
          <w:lang w:val="en-GB"/>
        </w:rPr>
        <w:t>More specifically</w:t>
      </w:r>
      <w:r w:rsidR="002F0CC5" w:rsidRPr="0013512D">
        <w:rPr>
          <w:lang w:val="en-GB"/>
        </w:rPr>
        <w:t xml:space="preserve">, </w:t>
      </w:r>
      <w:r w:rsidR="00863877" w:rsidRPr="0013512D">
        <w:rPr>
          <w:lang w:val="en-GB"/>
        </w:rPr>
        <w:t xml:space="preserve">the </w:t>
      </w:r>
      <w:r w:rsidR="002F0CC5" w:rsidRPr="0013512D">
        <w:rPr>
          <w:lang w:val="en-GB"/>
        </w:rPr>
        <w:t>psychological benefits of symbolization reside in externalizing unexpressed emotion or experience, giving it a form and therefore opening avenues for subsequent processing of trauma.</w:t>
      </w:r>
      <w:r w:rsidR="002F0CC5" w:rsidRPr="0013512D">
        <w:rPr>
          <w:rStyle w:val="FootnoteReference"/>
          <w:lang w:val="en-GB"/>
        </w:rPr>
        <w:footnoteReference w:id="90"/>
      </w:r>
    </w:p>
    <w:p w14:paraId="353EB242" w14:textId="77777777" w:rsidR="00911337" w:rsidRPr="0013512D" w:rsidRDefault="00911337" w:rsidP="005C247F">
      <w:pPr>
        <w:spacing w:line="360" w:lineRule="auto"/>
        <w:rPr>
          <w:lang w:val="en-GB"/>
        </w:rPr>
      </w:pPr>
    </w:p>
    <w:p w14:paraId="69288085" w14:textId="212E2796" w:rsidR="005609B0" w:rsidRPr="0013512D" w:rsidRDefault="005609B0" w:rsidP="005C247F">
      <w:pPr>
        <w:spacing w:line="360" w:lineRule="auto"/>
        <w:rPr>
          <w:lang w:val="en-GB"/>
        </w:rPr>
      </w:pPr>
      <w:r w:rsidRPr="0013512D">
        <w:rPr>
          <w:lang w:val="en-GB"/>
        </w:rPr>
        <w:t xml:space="preserve">The ECCC framework </w:t>
      </w:r>
      <w:r w:rsidR="008B79C4" w:rsidRPr="0013512D">
        <w:rPr>
          <w:lang w:val="en-GB"/>
        </w:rPr>
        <w:t xml:space="preserve">also </w:t>
      </w:r>
      <w:r w:rsidRPr="0013512D">
        <w:rPr>
          <w:lang w:val="en-GB"/>
        </w:rPr>
        <w:t xml:space="preserve">provides for the possibility of civil party participation before the </w:t>
      </w:r>
      <w:r w:rsidR="008B79C4" w:rsidRPr="0013512D">
        <w:rPr>
          <w:lang w:val="en-GB"/>
        </w:rPr>
        <w:t>Court and it</w:t>
      </w:r>
      <w:r w:rsidRPr="0013512D">
        <w:rPr>
          <w:lang w:val="en-GB"/>
        </w:rPr>
        <w:t xml:space="preserve"> includes both the right for victims to participate as parties in the criminal trial of an accused, and to pursue a related civil action for collective and moral reparations</w:t>
      </w:r>
      <w:r w:rsidR="00F80AB0" w:rsidRPr="0013512D">
        <w:rPr>
          <w:lang w:val="en-GB"/>
        </w:rPr>
        <w:t>, including symbolic reparations</w:t>
      </w:r>
      <w:r w:rsidRPr="0013512D">
        <w:rPr>
          <w:rStyle w:val="FootnoteReference"/>
          <w:lang w:val="en-GB"/>
        </w:rPr>
        <w:footnoteReference w:id="91"/>
      </w:r>
      <w:r w:rsidR="00E7028F" w:rsidRPr="0013512D">
        <w:rPr>
          <w:lang w:val="en-GB"/>
        </w:rPr>
        <w:t xml:space="preserve"> The ECCC </w:t>
      </w:r>
      <w:r w:rsidR="003041EF" w:rsidRPr="0013512D">
        <w:rPr>
          <w:lang w:val="en-GB"/>
        </w:rPr>
        <w:t>rendered</w:t>
      </w:r>
      <w:r w:rsidR="00E7028F" w:rsidRPr="0013512D">
        <w:rPr>
          <w:lang w:val="en-GB"/>
        </w:rPr>
        <w:t xml:space="preserve"> its judgment in Case 002 on 16 November 2018 in which it rule</w:t>
      </w:r>
      <w:r w:rsidR="003041EF" w:rsidRPr="0013512D">
        <w:rPr>
          <w:lang w:val="en-GB"/>
        </w:rPr>
        <w:t>d positively</w:t>
      </w:r>
      <w:r w:rsidR="00E7028F" w:rsidRPr="0013512D">
        <w:rPr>
          <w:lang w:val="en-GB"/>
        </w:rPr>
        <w:t xml:space="preserve"> on the request by civil parties to accept as a form of reparations a classical dance production and a related exhibition addressing the crime of forced marriage committed during the Khmer Rouge regime.</w:t>
      </w:r>
      <w:r w:rsidR="00E7028F" w:rsidRPr="0013512D">
        <w:rPr>
          <w:rStyle w:val="FootnoteReference"/>
          <w:lang w:val="en-GB"/>
        </w:rPr>
        <w:footnoteReference w:id="92"/>
      </w:r>
    </w:p>
    <w:p w14:paraId="464AEAC4" w14:textId="77777777" w:rsidR="00186983" w:rsidRPr="0013512D" w:rsidRDefault="00186983" w:rsidP="005C247F">
      <w:pPr>
        <w:spacing w:line="360" w:lineRule="auto"/>
        <w:rPr>
          <w:lang w:val="en-GB"/>
        </w:rPr>
      </w:pPr>
    </w:p>
    <w:p w14:paraId="60F22AF1" w14:textId="5CA72246" w:rsidR="0060574B" w:rsidRPr="0013512D" w:rsidRDefault="0060574B" w:rsidP="005C247F">
      <w:pPr>
        <w:spacing w:line="360" w:lineRule="auto"/>
        <w:rPr>
          <w:lang w:val="en-GB"/>
        </w:rPr>
      </w:pPr>
      <w:r w:rsidRPr="0013512D">
        <w:rPr>
          <w:lang w:val="en-GB"/>
        </w:rPr>
        <w:t>The</w:t>
      </w:r>
      <w:r w:rsidR="007A0180" w:rsidRPr="0013512D">
        <w:rPr>
          <w:lang w:val="en-GB"/>
        </w:rPr>
        <w:t xml:space="preserve"> performance</w:t>
      </w:r>
      <w:r w:rsidR="000F6B25" w:rsidRPr="0013512D">
        <w:rPr>
          <w:lang w:val="en-GB"/>
        </w:rPr>
        <w:t xml:space="preserve"> </w:t>
      </w:r>
      <w:r w:rsidRPr="0013512D">
        <w:rPr>
          <w:lang w:val="en-GB"/>
        </w:rPr>
        <w:t>and exhibition communicate</w:t>
      </w:r>
      <w:r w:rsidR="000F6B25" w:rsidRPr="0013512D">
        <w:rPr>
          <w:lang w:val="en-GB"/>
        </w:rPr>
        <w:t xml:space="preserve"> emotional and historical complexities</w:t>
      </w:r>
      <w:r w:rsidR="004272FD" w:rsidRPr="0013512D">
        <w:rPr>
          <w:lang w:val="en-GB"/>
        </w:rPr>
        <w:t xml:space="preserve"> of this historical moment in time</w:t>
      </w:r>
      <w:r w:rsidRPr="0013512D">
        <w:rPr>
          <w:lang w:val="en-GB"/>
        </w:rPr>
        <w:t xml:space="preserve">. </w:t>
      </w:r>
      <w:proofErr w:type="spellStart"/>
      <w:r w:rsidR="00741D58" w:rsidRPr="0013512D">
        <w:rPr>
          <w:lang w:val="en-GB"/>
        </w:rPr>
        <w:t>Sophiline</w:t>
      </w:r>
      <w:proofErr w:type="spellEnd"/>
      <w:r w:rsidR="00741D58" w:rsidRPr="0013512D">
        <w:rPr>
          <w:lang w:val="en-GB"/>
        </w:rPr>
        <w:t xml:space="preserve"> Arts Ensemble </w:t>
      </w:r>
      <w:r w:rsidRPr="0013512D">
        <w:rPr>
          <w:lang w:val="en-GB"/>
        </w:rPr>
        <w:t xml:space="preserve">developed the dance </w:t>
      </w:r>
      <w:r w:rsidRPr="0013512D">
        <w:rPr>
          <w:lang w:val="en-GB"/>
        </w:rPr>
        <w:lastRenderedPageBreak/>
        <w:t xml:space="preserve">performance, </w:t>
      </w:r>
      <w:proofErr w:type="spellStart"/>
      <w:r w:rsidRPr="0013512D">
        <w:rPr>
          <w:i/>
          <w:lang w:val="en-GB"/>
        </w:rPr>
        <w:t>Phka</w:t>
      </w:r>
      <w:proofErr w:type="spellEnd"/>
      <w:r w:rsidRPr="0013512D">
        <w:rPr>
          <w:i/>
          <w:lang w:val="en-GB"/>
        </w:rPr>
        <w:t xml:space="preserve"> Sla</w:t>
      </w:r>
      <w:r w:rsidRPr="0013512D">
        <w:rPr>
          <w:lang w:val="en-GB"/>
        </w:rPr>
        <w:t xml:space="preserve"> </w:t>
      </w:r>
      <w:r w:rsidR="004272FD" w:rsidRPr="0013512D">
        <w:rPr>
          <w:lang w:val="en-GB"/>
        </w:rPr>
        <w:t>with the aim of helping survivors heal</w:t>
      </w:r>
      <w:r w:rsidRPr="0013512D">
        <w:rPr>
          <w:lang w:val="en-GB"/>
        </w:rPr>
        <w:t>.</w:t>
      </w:r>
      <w:r w:rsidR="006E182D" w:rsidRPr="0013512D">
        <w:rPr>
          <w:rStyle w:val="FootnoteReference"/>
          <w:lang w:val="en-GB"/>
        </w:rPr>
        <w:footnoteReference w:id="93"/>
      </w:r>
      <w:r w:rsidRPr="0013512D">
        <w:rPr>
          <w:lang w:val="en-GB"/>
        </w:rPr>
        <w:t xml:space="preserve"> </w:t>
      </w:r>
      <w:r w:rsidR="007A0180" w:rsidRPr="0013512D">
        <w:rPr>
          <w:lang w:val="en-GB"/>
        </w:rPr>
        <w:t>Informative in nature, this performance opens by contrasting a traditional marriage to one under the forced marriage Khmer Rouge Regime, expanding on the policy’s outlined objects to increase population.</w:t>
      </w:r>
      <w:r w:rsidR="006E182D" w:rsidRPr="0013512D">
        <w:rPr>
          <w:rStyle w:val="FootnoteReference"/>
          <w:lang w:val="en-GB"/>
        </w:rPr>
        <w:footnoteReference w:id="94"/>
      </w:r>
      <w:r w:rsidR="007A0180" w:rsidRPr="0013512D">
        <w:rPr>
          <w:lang w:val="en-GB"/>
        </w:rPr>
        <w:t xml:space="preserve"> Narration and dialogue </w:t>
      </w:r>
      <w:r w:rsidR="00C550C8" w:rsidRPr="0013512D">
        <w:rPr>
          <w:lang w:val="en-GB"/>
        </w:rPr>
        <w:t xml:space="preserve">allows </w:t>
      </w:r>
      <w:r w:rsidR="007A0180" w:rsidRPr="0013512D">
        <w:rPr>
          <w:lang w:val="en-GB"/>
        </w:rPr>
        <w:t>for poignant questions to be explicitly raised through the form of script, all while r</w:t>
      </w:r>
      <w:r w:rsidR="000F6B25" w:rsidRPr="0013512D">
        <w:rPr>
          <w:lang w:val="en-GB"/>
        </w:rPr>
        <w:t>ecorded testimonies</w:t>
      </w:r>
      <w:r w:rsidR="00E97D4B" w:rsidRPr="0013512D">
        <w:rPr>
          <w:lang w:val="en-GB"/>
        </w:rPr>
        <w:t xml:space="preserve"> of civil parties in the court </w:t>
      </w:r>
      <w:r w:rsidR="00C550C8" w:rsidRPr="0013512D">
        <w:rPr>
          <w:lang w:val="en-GB"/>
        </w:rPr>
        <w:t xml:space="preserve">are </w:t>
      </w:r>
      <w:r w:rsidR="00E97D4B" w:rsidRPr="0013512D">
        <w:rPr>
          <w:lang w:val="en-GB"/>
        </w:rPr>
        <w:t>translated and expressed through the form of live choreography</w:t>
      </w:r>
      <w:r w:rsidR="007A0180" w:rsidRPr="0013512D">
        <w:rPr>
          <w:lang w:val="en-GB"/>
        </w:rPr>
        <w:t>.</w:t>
      </w:r>
      <w:r w:rsidR="006E182D" w:rsidRPr="0013512D">
        <w:rPr>
          <w:rStyle w:val="FootnoteReference"/>
          <w:lang w:val="en-GB"/>
        </w:rPr>
        <w:footnoteReference w:id="95"/>
      </w:r>
      <w:r w:rsidR="007A0180" w:rsidRPr="0013512D">
        <w:rPr>
          <w:lang w:val="en-GB"/>
        </w:rPr>
        <w:t xml:space="preserve"> </w:t>
      </w:r>
    </w:p>
    <w:p w14:paraId="12DAC966" w14:textId="77777777" w:rsidR="00186983" w:rsidRPr="0013512D" w:rsidRDefault="00186983" w:rsidP="005C247F">
      <w:pPr>
        <w:spacing w:line="360" w:lineRule="auto"/>
        <w:rPr>
          <w:lang w:val="en-GB"/>
        </w:rPr>
      </w:pPr>
    </w:p>
    <w:p w14:paraId="5CDEADCE" w14:textId="431D3A85" w:rsidR="00E7028F" w:rsidRPr="0013512D" w:rsidRDefault="0060574B" w:rsidP="005C247F">
      <w:pPr>
        <w:spacing w:line="360" w:lineRule="auto"/>
        <w:rPr>
          <w:lang w:val="en-GB"/>
        </w:rPr>
      </w:pPr>
      <w:r w:rsidRPr="0013512D">
        <w:rPr>
          <w:lang w:val="en-GB"/>
        </w:rPr>
        <w:t xml:space="preserve">Symbolism </w:t>
      </w:r>
      <w:r w:rsidR="00C550C8" w:rsidRPr="0013512D">
        <w:rPr>
          <w:lang w:val="en-GB"/>
        </w:rPr>
        <w:t xml:space="preserve">is </w:t>
      </w:r>
      <w:r w:rsidRPr="0013512D">
        <w:rPr>
          <w:lang w:val="en-GB"/>
        </w:rPr>
        <w:t xml:space="preserve">laced throughout this work, for example the </w:t>
      </w:r>
      <w:proofErr w:type="spellStart"/>
      <w:r w:rsidRPr="0013512D">
        <w:rPr>
          <w:i/>
          <w:lang w:val="en-GB"/>
        </w:rPr>
        <w:t>Phka</w:t>
      </w:r>
      <w:proofErr w:type="spellEnd"/>
      <w:r w:rsidRPr="0013512D">
        <w:rPr>
          <w:i/>
          <w:lang w:val="en-GB"/>
        </w:rPr>
        <w:t xml:space="preserve"> Sla, </w:t>
      </w:r>
      <w:r w:rsidRPr="0013512D">
        <w:rPr>
          <w:lang w:val="en-GB"/>
        </w:rPr>
        <w:t>the name of the show, is a kind of flower that is given to the bride by the groom in traditional Cambodian wedding ceremonies.</w:t>
      </w:r>
      <w:r w:rsidRPr="0013512D">
        <w:rPr>
          <w:i/>
          <w:lang w:val="en-GB"/>
        </w:rPr>
        <w:t xml:space="preserve"> </w:t>
      </w:r>
      <w:r w:rsidRPr="0013512D">
        <w:rPr>
          <w:lang w:val="en-GB"/>
        </w:rPr>
        <w:t xml:space="preserve">The music </w:t>
      </w:r>
      <w:r w:rsidR="00741D58" w:rsidRPr="0013512D">
        <w:rPr>
          <w:lang w:val="en-GB"/>
        </w:rPr>
        <w:t xml:space="preserve">guides viewers through an intricate journey, featuring variants of traditional melodies in juxtaposed to patriotic songs from the Khmer Rouge offering a rich and experiential historical backdrop. </w:t>
      </w:r>
      <w:r w:rsidR="007A0180" w:rsidRPr="0013512D">
        <w:rPr>
          <w:lang w:val="en-GB"/>
        </w:rPr>
        <w:t>Through this multi-dimensional portrayal, nuanced stories</w:t>
      </w:r>
      <w:r w:rsidR="00741D58" w:rsidRPr="0013512D">
        <w:rPr>
          <w:lang w:val="en-GB"/>
        </w:rPr>
        <w:t xml:space="preserve"> and fates</w:t>
      </w:r>
      <w:r w:rsidR="007A0180" w:rsidRPr="0013512D">
        <w:rPr>
          <w:lang w:val="en-GB"/>
        </w:rPr>
        <w:t xml:space="preserve"> emerged, shedding light on the complexity of the issue and lasting historical imprint as a result of this gender-based violence.</w:t>
      </w:r>
      <w:r w:rsidR="006E182D" w:rsidRPr="0013512D">
        <w:rPr>
          <w:rStyle w:val="FootnoteReference"/>
          <w:lang w:val="en-GB"/>
        </w:rPr>
        <w:footnoteReference w:id="96"/>
      </w:r>
    </w:p>
    <w:p w14:paraId="535AC793" w14:textId="77777777" w:rsidR="00186983" w:rsidRPr="0013512D" w:rsidRDefault="00186983" w:rsidP="005C247F">
      <w:pPr>
        <w:spacing w:line="360" w:lineRule="auto"/>
        <w:rPr>
          <w:lang w:val="en-GB"/>
        </w:rPr>
      </w:pPr>
    </w:p>
    <w:p w14:paraId="4A3EBAC0" w14:textId="07B61C4C" w:rsidR="00A36599" w:rsidRPr="0013512D" w:rsidRDefault="00711BB0" w:rsidP="005C247F">
      <w:pPr>
        <w:spacing w:line="360" w:lineRule="auto"/>
        <w:rPr>
          <w:lang w:val="en-GB"/>
        </w:rPr>
      </w:pPr>
      <w:r w:rsidRPr="0013512D">
        <w:rPr>
          <w:lang w:val="en-GB"/>
        </w:rPr>
        <w:t xml:space="preserve">The </w:t>
      </w:r>
      <w:proofErr w:type="spellStart"/>
      <w:r w:rsidRPr="0013512D">
        <w:rPr>
          <w:lang w:val="en-GB"/>
        </w:rPr>
        <w:t>IACtHR</w:t>
      </w:r>
      <w:proofErr w:type="spellEnd"/>
      <w:r w:rsidRPr="0013512D">
        <w:rPr>
          <w:lang w:val="en-GB"/>
        </w:rPr>
        <w:t xml:space="preserve"> is an international human rights court,</w:t>
      </w:r>
      <w:r w:rsidR="00A36599" w:rsidRPr="0013512D">
        <w:rPr>
          <w:lang w:val="en-GB"/>
        </w:rPr>
        <w:t xml:space="preserve"> hence, in contrast with the previous two courts dealing with individual criminal responsibility, it</w:t>
      </w:r>
      <w:r w:rsidRPr="0013512D">
        <w:rPr>
          <w:lang w:val="en-GB"/>
        </w:rPr>
        <w:t xml:space="preserve"> rules on state responsibility for the violations of Inter-American Convention on Human Rights (IACHR). </w:t>
      </w:r>
      <w:r w:rsidR="00A36599" w:rsidRPr="0013512D">
        <w:rPr>
          <w:lang w:val="en-GB"/>
        </w:rPr>
        <w:t>Since its creation, the Court was confronted with mass human rights violations, often sanctioned by the state.</w:t>
      </w:r>
      <w:r w:rsidR="00A36599" w:rsidRPr="0013512D">
        <w:rPr>
          <w:rStyle w:val="FootnoteReference"/>
          <w:lang w:val="en-GB"/>
        </w:rPr>
        <w:footnoteReference w:id="97"/>
      </w:r>
      <w:r w:rsidR="00A36599" w:rsidRPr="0013512D">
        <w:rPr>
          <w:lang w:val="en-GB"/>
        </w:rPr>
        <w:t xml:space="preserve"> As a result, it developed an extensive system of reparations. </w:t>
      </w:r>
    </w:p>
    <w:p w14:paraId="66E64D77" w14:textId="737F6B83" w:rsidR="00AE13F9" w:rsidRPr="0013512D" w:rsidRDefault="00A36599" w:rsidP="005C247F">
      <w:pPr>
        <w:spacing w:line="360" w:lineRule="auto"/>
        <w:rPr>
          <w:lang w:val="en-GB"/>
        </w:rPr>
      </w:pPr>
      <w:r w:rsidRPr="0013512D">
        <w:rPr>
          <w:lang w:val="en-GB"/>
        </w:rPr>
        <w:t xml:space="preserve">As Alexandra </w:t>
      </w:r>
      <w:proofErr w:type="spellStart"/>
      <w:r w:rsidRPr="0013512D">
        <w:rPr>
          <w:lang w:val="en-GB"/>
        </w:rPr>
        <w:t>Hunneus</w:t>
      </w:r>
      <w:proofErr w:type="spellEnd"/>
      <w:r w:rsidRPr="0013512D">
        <w:rPr>
          <w:lang w:val="en-GB"/>
        </w:rPr>
        <w:t xml:space="preserve"> notes, it quickly became apparent that monetary compensation would not satisfy the families of </w:t>
      </w:r>
      <w:proofErr w:type="gramStart"/>
      <w:r w:rsidRPr="0013512D">
        <w:rPr>
          <w:lang w:val="en-GB"/>
        </w:rPr>
        <w:t>victims’</w:t>
      </w:r>
      <w:proofErr w:type="gramEnd"/>
      <w:r w:rsidRPr="0013512D">
        <w:rPr>
          <w:lang w:val="en-GB"/>
        </w:rPr>
        <w:t xml:space="preserve"> of those who disappeared, while the state continues to perpetrate atrocities and cover them up.</w:t>
      </w:r>
      <w:r w:rsidRPr="0013512D">
        <w:rPr>
          <w:rStyle w:val="FootnoteReference"/>
          <w:lang w:val="en-GB"/>
        </w:rPr>
        <w:footnoteReference w:id="98"/>
      </w:r>
      <w:r w:rsidRPr="0013512D">
        <w:rPr>
          <w:lang w:val="en-GB"/>
        </w:rPr>
        <w:t xml:space="preserve">  The Court therefore had to innovate. Reparations ordered by the </w:t>
      </w:r>
      <w:proofErr w:type="spellStart"/>
      <w:r w:rsidRPr="0013512D">
        <w:rPr>
          <w:lang w:val="en-GB"/>
        </w:rPr>
        <w:t>IACtHR</w:t>
      </w:r>
      <w:proofErr w:type="spellEnd"/>
      <w:r w:rsidRPr="0013512D">
        <w:rPr>
          <w:lang w:val="en-GB"/>
        </w:rPr>
        <w:t xml:space="preserve"> include compensation, satisfaction and assurances that the violations will not be repeated.</w:t>
      </w:r>
      <w:r w:rsidRPr="0013512D">
        <w:rPr>
          <w:rStyle w:val="FootnoteReference"/>
          <w:lang w:val="en-GB"/>
        </w:rPr>
        <w:footnoteReference w:id="99"/>
      </w:r>
      <w:r w:rsidRPr="0013512D">
        <w:rPr>
          <w:lang w:val="en-GB"/>
        </w:rPr>
        <w:t xml:space="preserve"> This list is not exhaustive, and the court frequently orders symbolic reparations that take various forms</w:t>
      </w:r>
      <w:r w:rsidR="00B033C1" w:rsidRPr="0013512D">
        <w:rPr>
          <w:lang w:val="en-GB"/>
        </w:rPr>
        <w:t>.</w:t>
      </w:r>
      <w:r w:rsidRPr="0013512D">
        <w:rPr>
          <w:lang w:val="en-GB"/>
        </w:rPr>
        <w:t xml:space="preserve"> </w:t>
      </w:r>
    </w:p>
    <w:p w14:paraId="7A4C672A" w14:textId="77777777" w:rsidR="00A852F1" w:rsidRPr="0013512D" w:rsidRDefault="00A852F1" w:rsidP="005C247F">
      <w:pPr>
        <w:spacing w:line="360" w:lineRule="auto"/>
        <w:rPr>
          <w:lang w:val="en-GB"/>
        </w:rPr>
      </w:pPr>
    </w:p>
    <w:p w14:paraId="3D2472E4" w14:textId="771C2076" w:rsidR="00AE13F9" w:rsidRPr="0013512D" w:rsidRDefault="006D5F40" w:rsidP="005C247F">
      <w:pPr>
        <w:spacing w:line="360" w:lineRule="auto"/>
        <w:rPr>
          <w:lang w:val="en-GB"/>
        </w:rPr>
      </w:pPr>
      <w:r w:rsidRPr="0013512D">
        <w:rPr>
          <w:rFonts w:eastAsia="Calibri"/>
          <w:lang w:val="en-GB"/>
        </w:rPr>
        <w:t>For instance, t</w:t>
      </w:r>
      <w:r w:rsidR="00B033C1" w:rsidRPr="0013512D">
        <w:rPr>
          <w:rFonts w:eastAsia="Calibri"/>
          <w:lang w:val="en-GB"/>
        </w:rPr>
        <w:t xml:space="preserve">he </w:t>
      </w:r>
      <w:proofErr w:type="spellStart"/>
      <w:r w:rsidR="00B033C1" w:rsidRPr="0013512D">
        <w:rPr>
          <w:rFonts w:eastAsia="Calibri"/>
          <w:lang w:val="en-GB"/>
        </w:rPr>
        <w:t>IACtHR</w:t>
      </w:r>
      <w:proofErr w:type="spellEnd"/>
      <w:r w:rsidR="00B033C1" w:rsidRPr="0013512D">
        <w:rPr>
          <w:rFonts w:eastAsia="Calibri"/>
          <w:lang w:val="en-GB"/>
        </w:rPr>
        <w:t xml:space="preserve"> frequently orders measures aimed at </w:t>
      </w:r>
      <w:r w:rsidR="00B033C1" w:rsidRPr="0013512D">
        <w:rPr>
          <w:rStyle w:val="A1"/>
          <w:rFonts w:cs="Times New Roman"/>
          <w:sz w:val="24"/>
          <w:szCs w:val="24"/>
          <w:lang w:val="en-GB"/>
        </w:rPr>
        <w:t xml:space="preserve">public commemoration to honour both individual victims and groups of victims, especially in the cases of violations against a large number of persons, such as massacres. </w:t>
      </w:r>
      <w:r w:rsidR="00AE13F9" w:rsidRPr="0013512D">
        <w:rPr>
          <w:rStyle w:val="A1"/>
          <w:rFonts w:cs="Times New Roman"/>
          <w:sz w:val="24"/>
          <w:szCs w:val="24"/>
          <w:lang w:val="en-GB"/>
        </w:rPr>
        <w:t>Reparation orders</w:t>
      </w:r>
      <w:r w:rsidR="00A87889" w:rsidRPr="0013512D">
        <w:rPr>
          <w:rStyle w:val="A1"/>
          <w:rFonts w:cs="Times New Roman"/>
          <w:sz w:val="24"/>
          <w:szCs w:val="24"/>
          <w:lang w:val="en-GB"/>
        </w:rPr>
        <w:t xml:space="preserve"> in these cases</w:t>
      </w:r>
      <w:r w:rsidR="00AE13F9" w:rsidRPr="0013512D">
        <w:rPr>
          <w:rStyle w:val="A1"/>
          <w:rFonts w:cs="Times New Roman"/>
          <w:sz w:val="24"/>
          <w:szCs w:val="24"/>
          <w:lang w:val="en-GB"/>
        </w:rPr>
        <w:t xml:space="preserve"> may result in both tangible and intangible objects. </w:t>
      </w:r>
      <w:r w:rsidR="00B033C1" w:rsidRPr="0013512D">
        <w:rPr>
          <w:rStyle w:val="A1"/>
          <w:rFonts w:cs="Times New Roman"/>
          <w:sz w:val="24"/>
          <w:szCs w:val="24"/>
          <w:lang w:val="en-GB"/>
        </w:rPr>
        <w:t xml:space="preserve">Examples </w:t>
      </w:r>
      <w:r w:rsidR="00AE13F9" w:rsidRPr="0013512D">
        <w:rPr>
          <w:rStyle w:val="A1"/>
          <w:rFonts w:cs="Times New Roman"/>
          <w:sz w:val="24"/>
          <w:szCs w:val="24"/>
          <w:lang w:val="en-GB"/>
        </w:rPr>
        <w:t>of tangible objects</w:t>
      </w:r>
      <w:r w:rsidR="00B033C1" w:rsidRPr="0013512D">
        <w:rPr>
          <w:rStyle w:val="A1"/>
          <w:rFonts w:cs="Times New Roman"/>
          <w:sz w:val="24"/>
          <w:szCs w:val="24"/>
          <w:lang w:val="en-GB"/>
        </w:rPr>
        <w:t xml:space="preserve"> </w:t>
      </w:r>
      <w:r w:rsidR="00AE13F9" w:rsidRPr="0013512D">
        <w:rPr>
          <w:rStyle w:val="A1"/>
          <w:rFonts w:cs="Times New Roman"/>
          <w:sz w:val="24"/>
          <w:szCs w:val="24"/>
          <w:lang w:val="en-GB"/>
        </w:rPr>
        <w:t xml:space="preserve">include orders </w:t>
      </w:r>
      <w:r w:rsidR="00B033C1" w:rsidRPr="0013512D">
        <w:rPr>
          <w:rStyle w:val="A1"/>
          <w:rFonts w:cs="Times New Roman"/>
          <w:sz w:val="24"/>
          <w:szCs w:val="24"/>
          <w:lang w:val="en-GB"/>
        </w:rPr>
        <w:t>for the state to name a street or to erect public monuments.</w:t>
      </w:r>
      <w:r w:rsidR="00B033C1" w:rsidRPr="0013512D">
        <w:rPr>
          <w:rStyle w:val="FootnoteReference"/>
          <w:color w:val="000000"/>
          <w:lang w:val="en-GB"/>
        </w:rPr>
        <w:footnoteReference w:id="100"/>
      </w:r>
      <w:r w:rsidR="00B033C1" w:rsidRPr="0013512D">
        <w:rPr>
          <w:rFonts w:eastAsia="Calibri"/>
          <w:b/>
          <w:lang w:val="en-GB"/>
        </w:rPr>
        <w:t xml:space="preserve"> </w:t>
      </w:r>
      <w:r w:rsidR="00AE13F9" w:rsidRPr="0013512D">
        <w:rPr>
          <w:lang w:val="en-GB"/>
        </w:rPr>
        <w:t xml:space="preserve">Tangible objects solidify the event in the memory, </w:t>
      </w:r>
      <w:proofErr w:type="spellStart"/>
      <w:r w:rsidR="00AE13F9" w:rsidRPr="0013512D">
        <w:rPr>
          <w:lang w:val="en-GB"/>
        </w:rPr>
        <w:t>signaling</w:t>
      </w:r>
      <w:proofErr w:type="spellEnd"/>
      <w:r w:rsidR="00AE13F9" w:rsidRPr="0013512D">
        <w:rPr>
          <w:lang w:val="en-GB"/>
        </w:rPr>
        <w:t xml:space="preserve"> to the future generations the devastating effects of abuse suffered by the victims. The </w:t>
      </w:r>
      <w:proofErr w:type="spellStart"/>
      <w:r w:rsidR="00AE13F9" w:rsidRPr="0013512D">
        <w:rPr>
          <w:lang w:val="en-GB"/>
        </w:rPr>
        <w:t>IACtHR</w:t>
      </w:r>
      <w:proofErr w:type="spellEnd"/>
      <w:r w:rsidR="00AE13F9" w:rsidRPr="0013512D">
        <w:rPr>
          <w:lang w:val="en-GB"/>
        </w:rPr>
        <w:t xml:space="preserve"> may also order reparations in an intangible form, such as a commemoration ceremony or a public apology.</w:t>
      </w:r>
      <w:r w:rsidR="00AE13F9" w:rsidRPr="0013512D">
        <w:rPr>
          <w:rStyle w:val="FootnoteReference"/>
          <w:lang w:val="en-GB"/>
        </w:rPr>
        <w:footnoteReference w:id="101"/>
      </w:r>
      <w:r w:rsidR="00AE13F9" w:rsidRPr="0013512D">
        <w:rPr>
          <w:lang w:val="en-GB"/>
        </w:rPr>
        <w:t xml:space="preserve"> Intangible objects, such as commemoration ceremonies or artistic performances, work more with the present moment by invoking art’s healing potential to bring to the surface, relive and let go of trauma.</w:t>
      </w:r>
    </w:p>
    <w:p w14:paraId="513EB61E" w14:textId="77777777" w:rsidR="001352C0" w:rsidRPr="0013512D" w:rsidRDefault="001352C0" w:rsidP="005C247F">
      <w:pPr>
        <w:spacing w:line="360" w:lineRule="auto"/>
        <w:rPr>
          <w:lang w:val="en-GB"/>
        </w:rPr>
      </w:pPr>
    </w:p>
    <w:p w14:paraId="24B6D2B8" w14:textId="473D4927" w:rsidR="00E7028F" w:rsidRPr="0013512D" w:rsidRDefault="001352C0" w:rsidP="005C247F">
      <w:pPr>
        <w:pStyle w:val="ListParagraph"/>
        <w:numPr>
          <w:ilvl w:val="1"/>
          <w:numId w:val="1"/>
        </w:numPr>
        <w:spacing w:line="360" w:lineRule="auto"/>
        <w:rPr>
          <w:rFonts w:ascii="Times New Roman" w:eastAsiaTheme="minorHAnsi" w:hAnsi="Times New Roman"/>
          <w:i/>
          <w:lang w:val="en-GB"/>
        </w:rPr>
      </w:pPr>
      <w:r w:rsidRPr="0013512D">
        <w:rPr>
          <w:rFonts w:ascii="Times New Roman" w:eastAsiaTheme="minorHAnsi" w:hAnsi="Times New Roman"/>
          <w:i/>
          <w:lang w:val="en-GB"/>
        </w:rPr>
        <w:t>I</w:t>
      </w:r>
      <w:r w:rsidR="00293C73" w:rsidRPr="0013512D">
        <w:rPr>
          <w:rFonts w:ascii="Times New Roman" w:eastAsiaTheme="minorHAnsi" w:hAnsi="Times New Roman"/>
          <w:i/>
          <w:lang w:val="en-GB"/>
        </w:rPr>
        <w:t>nternational courts</w:t>
      </w:r>
      <w:r w:rsidR="00C93A25" w:rsidRPr="0013512D">
        <w:rPr>
          <w:rFonts w:ascii="Times New Roman" w:eastAsiaTheme="minorHAnsi" w:hAnsi="Times New Roman"/>
          <w:i/>
          <w:lang w:val="en-GB"/>
        </w:rPr>
        <w:t xml:space="preserve">: </w:t>
      </w:r>
      <w:r w:rsidR="002E13FF" w:rsidRPr="0013512D">
        <w:rPr>
          <w:rFonts w:ascii="Times New Roman" w:eastAsiaTheme="minorHAnsi" w:hAnsi="Times New Roman"/>
          <w:i/>
          <w:lang w:val="en-GB"/>
        </w:rPr>
        <w:t>o</w:t>
      </w:r>
      <w:r w:rsidR="00C93A25" w:rsidRPr="0013512D">
        <w:rPr>
          <w:rFonts w:ascii="Times New Roman" w:eastAsiaTheme="minorHAnsi" w:hAnsi="Times New Roman"/>
          <w:i/>
          <w:lang w:val="en-GB"/>
        </w:rPr>
        <w:t>utreach</w:t>
      </w:r>
      <w:r w:rsidR="002E13FF" w:rsidRPr="0013512D">
        <w:rPr>
          <w:rFonts w:ascii="Times New Roman" w:eastAsiaTheme="minorHAnsi" w:hAnsi="Times New Roman"/>
          <w:i/>
          <w:lang w:val="en-GB"/>
        </w:rPr>
        <w:t xml:space="preserve"> s</w:t>
      </w:r>
      <w:r w:rsidR="00C93A25" w:rsidRPr="0013512D">
        <w:rPr>
          <w:rFonts w:ascii="Times New Roman" w:eastAsiaTheme="minorHAnsi" w:hAnsi="Times New Roman"/>
          <w:i/>
          <w:lang w:val="en-GB"/>
        </w:rPr>
        <w:t>ection</w:t>
      </w:r>
    </w:p>
    <w:p w14:paraId="707903A6" w14:textId="77777777" w:rsidR="008312C9" w:rsidRPr="0013512D" w:rsidRDefault="008312C9" w:rsidP="005C247F">
      <w:pPr>
        <w:pStyle w:val="ListParagraph"/>
        <w:spacing w:line="360" w:lineRule="auto"/>
        <w:ind w:left="1440"/>
        <w:rPr>
          <w:rFonts w:ascii="Times New Roman" w:eastAsiaTheme="minorHAnsi" w:hAnsi="Times New Roman"/>
          <w:i/>
          <w:lang w:val="en-GB"/>
        </w:rPr>
      </w:pPr>
    </w:p>
    <w:p w14:paraId="23DC6FE8" w14:textId="77777777" w:rsidR="00540C71" w:rsidRPr="0013512D" w:rsidRDefault="005C2863" w:rsidP="005C247F">
      <w:pPr>
        <w:spacing w:line="360" w:lineRule="auto"/>
        <w:rPr>
          <w:lang w:val="en-GB"/>
        </w:rPr>
      </w:pPr>
      <w:r w:rsidRPr="0013512D">
        <w:rPr>
          <w:lang w:val="en-GB"/>
        </w:rPr>
        <w:t xml:space="preserve">Outreach efforts </w:t>
      </w:r>
      <w:r w:rsidR="0004137D" w:rsidRPr="0013512D">
        <w:rPr>
          <w:lang w:val="en-GB"/>
        </w:rPr>
        <w:t>by international courts are gaining importance. When the ICTY and ICTR were established it was expected that no outreach would be necessary and</w:t>
      </w:r>
      <w:r w:rsidR="00886586" w:rsidRPr="0013512D">
        <w:rPr>
          <w:lang w:val="en-GB"/>
        </w:rPr>
        <w:t xml:space="preserve"> that</w:t>
      </w:r>
      <w:r w:rsidR="0004137D" w:rsidRPr="0013512D">
        <w:rPr>
          <w:lang w:val="en-GB"/>
        </w:rPr>
        <w:t xml:space="preserve"> the judgments would speak for themselves.</w:t>
      </w:r>
      <w:r w:rsidR="0004137D" w:rsidRPr="0013512D">
        <w:rPr>
          <w:rStyle w:val="FootnoteReference"/>
          <w:lang w:val="en-GB"/>
        </w:rPr>
        <w:footnoteReference w:id="102"/>
      </w:r>
      <w:r w:rsidR="0004137D" w:rsidRPr="0013512D">
        <w:rPr>
          <w:lang w:val="en-GB"/>
        </w:rPr>
        <w:t xml:space="preserve"> The distance between the tribunals and their intended audience led to the mounting number of misconceptions about the tribunals. The outreach sections were thus created, but it happened only a few years into the tribunals’ operation.</w:t>
      </w:r>
      <w:r w:rsidR="0004137D" w:rsidRPr="0013512D">
        <w:rPr>
          <w:rStyle w:val="FootnoteReference"/>
          <w:lang w:val="en-GB"/>
        </w:rPr>
        <w:footnoteReference w:id="103"/>
      </w:r>
      <w:r w:rsidR="0004137D" w:rsidRPr="0013512D">
        <w:rPr>
          <w:lang w:val="en-GB"/>
        </w:rPr>
        <w:t xml:space="preserve"> In contrast with its predecessors, the ICC had an outreach section in place at the time of its creation. The emphasis is on providing accurate information to communities affected by the crimes adjudicated at the Court.</w:t>
      </w:r>
      <w:r w:rsidR="0004137D" w:rsidRPr="0013512D">
        <w:rPr>
          <w:rStyle w:val="FootnoteReference"/>
          <w:lang w:val="en-GB"/>
        </w:rPr>
        <w:footnoteReference w:id="104"/>
      </w:r>
      <w:r w:rsidR="0004137D" w:rsidRPr="0013512D">
        <w:rPr>
          <w:lang w:val="en-GB"/>
        </w:rPr>
        <w:t xml:space="preserve"> There is clear scope for the ICC to use creative and artistic tools to reach out to relevant communities. </w:t>
      </w:r>
    </w:p>
    <w:p w14:paraId="424B55C8" w14:textId="77777777" w:rsidR="00540C71" w:rsidRPr="0013512D" w:rsidRDefault="00540C71" w:rsidP="005C247F">
      <w:pPr>
        <w:spacing w:line="360" w:lineRule="auto"/>
        <w:rPr>
          <w:lang w:val="en-GB"/>
        </w:rPr>
      </w:pPr>
    </w:p>
    <w:p w14:paraId="4EED7B63" w14:textId="45F641B2" w:rsidR="0004137D" w:rsidRPr="0013512D" w:rsidRDefault="00BA66FF" w:rsidP="005C247F">
      <w:pPr>
        <w:spacing w:line="360" w:lineRule="auto"/>
        <w:rPr>
          <w:lang w:val="en-GB"/>
        </w:rPr>
      </w:pPr>
      <w:r w:rsidRPr="0013512D">
        <w:rPr>
          <w:lang w:val="en-GB"/>
        </w:rPr>
        <w:lastRenderedPageBreak/>
        <w:t xml:space="preserve">An early attempt to that effect </w:t>
      </w:r>
      <w:r w:rsidR="00C763FF" w:rsidRPr="0013512D">
        <w:rPr>
          <w:lang w:val="en-GB"/>
        </w:rPr>
        <w:t>was</w:t>
      </w:r>
      <w:r w:rsidRPr="0013512D">
        <w:rPr>
          <w:lang w:val="en-GB"/>
        </w:rPr>
        <w:t xml:space="preserve"> an exhibition entitled “Healing, Trauma and Hope” conducted in partnership with the National Geographic photographer Marcus Bleasdale. It took place in 2018 on the ICC premises</w:t>
      </w:r>
      <w:r w:rsidR="00540C71" w:rsidRPr="0013512D">
        <w:rPr>
          <w:lang w:val="en-GB"/>
        </w:rPr>
        <w:t xml:space="preserve"> in the Hague</w:t>
      </w:r>
      <w:r w:rsidRPr="0013512D">
        <w:rPr>
          <w:lang w:val="en-GB"/>
        </w:rPr>
        <w:t xml:space="preserve"> and at the UN Headquarters</w:t>
      </w:r>
      <w:r w:rsidR="00540C71" w:rsidRPr="0013512D">
        <w:rPr>
          <w:lang w:val="en-GB"/>
        </w:rPr>
        <w:t xml:space="preserve"> in New York,</w:t>
      </w:r>
      <w:r w:rsidRPr="0013512D">
        <w:rPr>
          <w:lang w:val="en-GB"/>
        </w:rPr>
        <w:t xml:space="preserve"> and is currently available online.</w:t>
      </w:r>
      <w:r w:rsidRPr="0013512D">
        <w:rPr>
          <w:rStyle w:val="FootnoteReference"/>
          <w:lang w:val="en-GB"/>
        </w:rPr>
        <w:footnoteReference w:id="105"/>
      </w:r>
      <w:r w:rsidR="00127CA5" w:rsidRPr="0013512D">
        <w:rPr>
          <w:lang w:val="en-GB"/>
        </w:rPr>
        <w:t xml:space="preserve"> </w:t>
      </w:r>
      <w:proofErr w:type="spellStart"/>
      <w:r w:rsidR="00127CA5" w:rsidRPr="0013512D">
        <w:rPr>
          <w:lang w:val="en-GB"/>
        </w:rPr>
        <w:t>Fiana</w:t>
      </w:r>
      <w:proofErr w:type="spellEnd"/>
      <w:r w:rsidR="00127CA5" w:rsidRPr="0013512D">
        <w:rPr>
          <w:lang w:val="en-GB"/>
        </w:rPr>
        <w:t xml:space="preserve"> </w:t>
      </w:r>
      <w:proofErr w:type="spellStart"/>
      <w:r w:rsidR="00127CA5" w:rsidRPr="0013512D">
        <w:rPr>
          <w:lang w:val="en-GB"/>
        </w:rPr>
        <w:t>Gantheret</w:t>
      </w:r>
      <w:proofErr w:type="spellEnd"/>
      <w:r w:rsidR="00127CA5" w:rsidRPr="0013512D">
        <w:rPr>
          <w:lang w:val="en-GB"/>
        </w:rPr>
        <w:t xml:space="preserve"> observes that one of the underlying rationales </w:t>
      </w:r>
      <w:r w:rsidR="00540C71" w:rsidRPr="0013512D">
        <w:rPr>
          <w:lang w:val="en-GB"/>
        </w:rPr>
        <w:t xml:space="preserve">for </w:t>
      </w:r>
      <w:r w:rsidR="00127CA5" w:rsidRPr="0013512D">
        <w:rPr>
          <w:lang w:val="en-GB"/>
        </w:rPr>
        <w:t>this exhibition was precisely</w:t>
      </w:r>
      <w:r w:rsidR="00540C71" w:rsidRPr="0013512D">
        <w:rPr>
          <w:lang w:val="en-GB"/>
        </w:rPr>
        <w:t xml:space="preserve"> the desire of the Outreach section</w:t>
      </w:r>
      <w:r w:rsidR="00127CA5" w:rsidRPr="0013512D">
        <w:rPr>
          <w:lang w:val="en-GB"/>
        </w:rPr>
        <w:t xml:space="preserve"> to communicate some of the issues related to justice through art.</w:t>
      </w:r>
      <w:r w:rsidR="00127CA5" w:rsidRPr="0013512D">
        <w:rPr>
          <w:rStyle w:val="FootnoteReference"/>
          <w:lang w:val="en-GB"/>
        </w:rPr>
        <w:footnoteReference w:id="106"/>
      </w:r>
      <w:r w:rsidR="00127CA5" w:rsidRPr="0013512D">
        <w:rPr>
          <w:lang w:val="en-GB"/>
        </w:rPr>
        <w:t xml:space="preserve"> Yet, the impact of </w:t>
      </w:r>
      <w:r w:rsidR="00540C71" w:rsidRPr="0013512D">
        <w:rPr>
          <w:lang w:val="en-GB"/>
        </w:rPr>
        <w:t>such</w:t>
      </w:r>
      <w:r w:rsidR="00127CA5" w:rsidRPr="0013512D">
        <w:rPr>
          <w:lang w:val="en-GB"/>
        </w:rPr>
        <w:t xml:space="preserve"> efforts remains unclear. </w:t>
      </w:r>
      <w:proofErr w:type="spellStart"/>
      <w:r w:rsidR="00127CA5" w:rsidRPr="0013512D">
        <w:rPr>
          <w:lang w:val="en-GB"/>
        </w:rPr>
        <w:t>Gantheret</w:t>
      </w:r>
      <w:proofErr w:type="spellEnd"/>
      <w:r w:rsidR="00127CA5" w:rsidRPr="0013512D">
        <w:rPr>
          <w:lang w:val="en-GB"/>
        </w:rPr>
        <w:t xml:space="preserve"> notes that while the ICC prefers statistical or </w:t>
      </w:r>
      <w:r w:rsidR="00540C71" w:rsidRPr="0013512D">
        <w:rPr>
          <w:lang w:val="en-GB"/>
        </w:rPr>
        <w:t>quantitative (for instance, number of attendees)</w:t>
      </w:r>
      <w:r w:rsidR="00127CA5" w:rsidRPr="0013512D">
        <w:rPr>
          <w:lang w:val="en-GB"/>
        </w:rPr>
        <w:t xml:space="preserve"> approach to measure the effect of its various activities, and some leading universities offer </w:t>
      </w:r>
      <w:r w:rsidR="00540C71" w:rsidRPr="0013512D">
        <w:rPr>
          <w:lang w:val="en-GB"/>
        </w:rPr>
        <w:t>additional</w:t>
      </w:r>
      <w:r w:rsidR="00127CA5" w:rsidRPr="0013512D">
        <w:rPr>
          <w:lang w:val="en-GB"/>
        </w:rPr>
        <w:t xml:space="preserve"> </w:t>
      </w:r>
      <w:r w:rsidR="00540C71" w:rsidRPr="0013512D">
        <w:rPr>
          <w:lang w:val="en-GB"/>
        </w:rPr>
        <w:t>qualitative</w:t>
      </w:r>
      <w:r w:rsidR="00127CA5" w:rsidRPr="0013512D">
        <w:rPr>
          <w:lang w:val="en-GB"/>
        </w:rPr>
        <w:t xml:space="preserve"> assessments, there is no study specifically </w:t>
      </w:r>
      <w:r w:rsidR="00C763FF" w:rsidRPr="0013512D">
        <w:rPr>
          <w:lang w:val="en-GB"/>
        </w:rPr>
        <w:t xml:space="preserve">and comprehensively </w:t>
      </w:r>
      <w:r w:rsidR="00127CA5" w:rsidRPr="0013512D">
        <w:rPr>
          <w:lang w:val="en-GB"/>
        </w:rPr>
        <w:t>addressing</w:t>
      </w:r>
      <w:r w:rsidR="00540C71" w:rsidRPr="0013512D">
        <w:rPr>
          <w:lang w:val="en-GB"/>
        </w:rPr>
        <w:t xml:space="preserve"> the impact of</w:t>
      </w:r>
      <w:r w:rsidR="00127CA5" w:rsidRPr="0013512D">
        <w:rPr>
          <w:lang w:val="en-GB"/>
        </w:rPr>
        <w:t xml:space="preserve"> creative outreach </w:t>
      </w:r>
      <w:r w:rsidR="00540C71" w:rsidRPr="0013512D">
        <w:rPr>
          <w:lang w:val="en-GB"/>
        </w:rPr>
        <w:t>activities</w:t>
      </w:r>
      <w:r w:rsidR="00127CA5" w:rsidRPr="0013512D">
        <w:rPr>
          <w:lang w:val="en-GB"/>
        </w:rPr>
        <w:t>.</w:t>
      </w:r>
      <w:r w:rsidR="00540C71" w:rsidRPr="0013512D">
        <w:rPr>
          <w:rStyle w:val="FootnoteReference"/>
          <w:lang w:val="en-GB"/>
        </w:rPr>
        <w:footnoteReference w:id="107"/>
      </w:r>
    </w:p>
    <w:p w14:paraId="0659E3EE" w14:textId="77777777" w:rsidR="00F729DB" w:rsidRPr="0013512D" w:rsidRDefault="00F729DB" w:rsidP="005C247F">
      <w:pPr>
        <w:spacing w:line="360" w:lineRule="auto"/>
        <w:rPr>
          <w:lang w:val="en-GB"/>
        </w:rPr>
      </w:pPr>
    </w:p>
    <w:p w14:paraId="2A3B513D" w14:textId="77777777" w:rsidR="00D51435" w:rsidRPr="0013512D" w:rsidRDefault="007B17FA" w:rsidP="005C247F">
      <w:pPr>
        <w:spacing w:line="360" w:lineRule="auto"/>
        <w:rPr>
          <w:lang w:val="en-GB"/>
        </w:rPr>
      </w:pPr>
      <w:r w:rsidRPr="0013512D">
        <w:rPr>
          <w:lang w:val="en-GB"/>
        </w:rPr>
        <w:t xml:space="preserve">The hybrid courts – the Special Court for Sierra Leone (SCSL) and the ECCC – invested significant attention </w:t>
      </w:r>
      <w:r w:rsidR="00667829" w:rsidRPr="0013512D">
        <w:rPr>
          <w:lang w:val="en-GB"/>
        </w:rPr>
        <w:t>to</w:t>
      </w:r>
      <w:r w:rsidRPr="0013512D">
        <w:rPr>
          <w:lang w:val="en-GB"/>
        </w:rPr>
        <w:t xml:space="preserve"> outreach efforts. The SCSL was the first internationalised court to have an extensive outreach programme that included audio and video tools</w:t>
      </w:r>
      <w:r w:rsidR="003470F2" w:rsidRPr="0013512D">
        <w:rPr>
          <w:lang w:val="en-GB"/>
        </w:rPr>
        <w:t xml:space="preserve"> and placed a strong emphasis on public engagement</w:t>
      </w:r>
      <w:r w:rsidRPr="0013512D">
        <w:rPr>
          <w:lang w:val="en-GB"/>
        </w:rPr>
        <w:t>.</w:t>
      </w:r>
      <w:r w:rsidRPr="0013512D">
        <w:rPr>
          <w:rStyle w:val="FootnoteReference"/>
          <w:lang w:val="en-GB"/>
        </w:rPr>
        <w:footnoteReference w:id="108"/>
      </w:r>
      <w:r w:rsidRPr="0013512D">
        <w:rPr>
          <w:lang w:val="en-GB"/>
        </w:rPr>
        <w:t xml:space="preserve"> It has been observed, however, that its success was limited: it managed to spread the knowledge about the SCSL but not the deeper understanding of the Court’s operation.</w:t>
      </w:r>
      <w:r w:rsidRPr="0013512D">
        <w:rPr>
          <w:rStyle w:val="FootnoteReference"/>
          <w:lang w:val="en-GB"/>
        </w:rPr>
        <w:footnoteReference w:id="109"/>
      </w:r>
      <w:r w:rsidRPr="0013512D">
        <w:rPr>
          <w:lang w:val="en-GB"/>
        </w:rPr>
        <w:t xml:space="preserve"> </w:t>
      </w:r>
    </w:p>
    <w:p w14:paraId="15660FF9" w14:textId="77777777" w:rsidR="00D51435" w:rsidRPr="0013512D" w:rsidRDefault="00D51435" w:rsidP="005C247F">
      <w:pPr>
        <w:spacing w:line="360" w:lineRule="auto"/>
        <w:rPr>
          <w:lang w:val="en-GB"/>
        </w:rPr>
      </w:pPr>
    </w:p>
    <w:p w14:paraId="39E5E19E" w14:textId="40A858DE" w:rsidR="00E84B1F" w:rsidRPr="0013512D" w:rsidRDefault="0004137D" w:rsidP="005C247F">
      <w:pPr>
        <w:spacing w:line="360" w:lineRule="auto"/>
        <w:rPr>
          <w:lang w:val="en-GB"/>
        </w:rPr>
      </w:pPr>
      <w:r w:rsidRPr="0013512D">
        <w:rPr>
          <w:lang w:val="en-GB"/>
        </w:rPr>
        <w:t xml:space="preserve">The ECCC has most experience </w:t>
      </w:r>
      <w:r w:rsidR="00474032" w:rsidRPr="0013512D">
        <w:rPr>
          <w:lang w:val="en-GB"/>
        </w:rPr>
        <w:t>with regard to</w:t>
      </w:r>
      <w:r w:rsidRPr="0013512D">
        <w:rPr>
          <w:lang w:val="en-GB"/>
        </w:rPr>
        <w:t xml:space="preserve"> creative outreach. </w:t>
      </w:r>
      <w:r w:rsidR="00EC0F6C" w:rsidRPr="0013512D">
        <w:rPr>
          <w:lang w:val="en-GB"/>
        </w:rPr>
        <w:t>In terms of organizational structure,</w:t>
      </w:r>
      <w:r w:rsidR="00101F60" w:rsidRPr="0013512D">
        <w:rPr>
          <w:lang w:val="en-GB"/>
        </w:rPr>
        <w:t xml:space="preserve"> responsibility for outreach is shared by the Public Affairs Section</w:t>
      </w:r>
      <w:r w:rsidR="000D1A52" w:rsidRPr="0013512D">
        <w:rPr>
          <w:lang w:val="en-GB"/>
        </w:rPr>
        <w:t xml:space="preserve"> (PAS)</w:t>
      </w:r>
      <w:r w:rsidR="00101F60" w:rsidRPr="0013512D">
        <w:rPr>
          <w:lang w:val="en-GB"/>
        </w:rPr>
        <w:t xml:space="preserve"> and the Victims Support Section</w:t>
      </w:r>
      <w:r w:rsidR="000D1A52" w:rsidRPr="0013512D">
        <w:rPr>
          <w:lang w:val="en-GB"/>
        </w:rPr>
        <w:t xml:space="preserve"> (VSS)</w:t>
      </w:r>
      <w:r w:rsidR="00EC0F6C" w:rsidRPr="0013512D">
        <w:rPr>
          <w:lang w:val="en-GB"/>
        </w:rPr>
        <w:t xml:space="preserve"> of the ECCC</w:t>
      </w:r>
      <w:r w:rsidR="00101F60" w:rsidRPr="0013512D">
        <w:rPr>
          <w:lang w:val="en-GB"/>
        </w:rPr>
        <w:t>.</w:t>
      </w:r>
      <w:r w:rsidR="00101F60" w:rsidRPr="0013512D">
        <w:rPr>
          <w:rStyle w:val="FootnoteReference"/>
          <w:lang w:val="en-GB"/>
        </w:rPr>
        <w:footnoteReference w:id="110"/>
      </w:r>
      <w:r w:rsidR="000D1A52" w:rsidRPr="0013512D">
        <w:rPr>
          <w:lang w:val="en-GB"/>
        </w:rPr>
        <w:t xml:space="preserve"> In the course of its existence, PAS engaged in a number of creative activities aimed at outreach. For instance, it published stickers, booklets and brochures in Khmer and English. Brochures for the public explain operation of the court and include images.</w:t>
      </w:r>
      <w:r w:rsidR="00785EC2" w:rsidRPr="0013512D">
        <w:rPr>
          <w:lang w:val="en-GB"/>
        </w:rPr>
        <w:t xml:space="preserve"> To elaborate</w:t>
      </w:r>
      <w:r w:rsidR="000D1A52" w:rsidRPr="0013512D">
        <w:rPr>
          <w:lang w:val="en-GB"/>
        </w:rPr>
        <w:t xml:space="preserve">, one </w:t>
      </w:r>
      <w:r w:rsidR="000D1A52" w:rsidRPr="0013512D">
        <w:rPr>
          <w:lang w:val="en-GB"/>
        </w:rPr>
        <w:lastRenderedPageBreak/>
        <w:t xml:space="preserve">poster reads ‘Everyone can be involved in the process’. It portrays ordinary Cambodians listening to the ECCC trials on the radio, reading about them in the newspaper, watching them on </w:t>
      </w:r>
      <w:r w:rsidR="004E7314" w:rsidRPr="0013512D">
        <w:rPr>
          <w:lang w:val="en-GB"/>
        </w:rPr>
        <w:t>television</w:t>
      </w:r>
      <w:r w:rsidR="000D1A52" w:rsidRPr="0013512D">
        <w:rPr>
          <w:lang w:val="en-GB"/>
        </w:rPr>
        <w:t xml:space="preserve"> or visiting the trial in person. </w:t>
      </w:r>
      <w:r w:rsidR="00F86A43" w:rsidRPr="0013512D">
        <w:rPr>
          <w:lang w:val="en-GB"/>
        </w:rPr>
        <w:t xml:space="preserve">Maria </w:t>
      </w:r>
      <w:proofErr w:type="spellStart"/>
      <w:r w:rsidR="000D1A52" w:rsidRPr="0013512D">
        <w:rPr>
          <w:lang w:val="en-GB"/>
        </w:rPr>
        <w:t>Elander</w:t>
      </w:r>
      <w:proofErr w:type="spellEnd"/>
      <w:r w:rsidR="000D1A52" w:rsidRPr="0013512D">
        <w:rPr>
          <w:lang w:val="en-GB"/>
        </w:rPr>
        <w:t xml:space="preserve"> points out that </w:t>
      </w:r>
      <w:r w:rsidR="0063469A" w:rsidRPr="0013512D">
        <w:rPr>
          <w:lang w:val="en-GB"/>
        </w:rPr>
        <w:t xml:space="preserve">such </w:t>
      </w:r>
      <w:r w:rsidR="00FB5B20" w:rsidRPr="0013512D">
        <w:rPr>
          <w:lang w:val="en-GB"/>
        </w:rPr>
        <w:t xml:space="preserve">a </w:t>
      </w:r>
      <w:r w:rsidR="000D1A52" w:rsidRPr="0013512D">
        <w:rPr>
          <w:lang w:val="en-GB"/>
        </w:rPr>
        <w:t>message impl</w:t>
      </w:r>
      <w:r w:rsidR="00FB5B20" w:rsidRPr="0013512D">
        <w:rPr>
          <w:lang w:val="en-GB"/>
        </w:rPr>
        <w:t>ies</w:t>
      </w:r>
      <w:r w:rsidR="000D1A52" w:rsidRPr="0013512D">
        <w:rPr>
          <w:lang w:val="en-GB"/>
        </w:rPr>
        <w:t xml:space="preserve"> peaceful engagement with the Court as opposed to, for example, protesting or arguing.</w:t>
      </w:r>
      <w:r w:rsidR="000D1A52" w:rsidRPr="0013512D">
        <w:rPr>
          <w:rStyle w:val="FootnoteReference"/>
          <w:lang w:val="en-GB"/>
        </w:rPr>
        <w:footnoteReference w:id="111"/>
      </w:r>
      <w:r w:rsidR="000D1A52" w:rsidRPr="0013512D">
        <w:rPr>
          <w:lang w:val="en-GB"/>
        </w:rPr>
        <w:t xml:space="preserve"> </w:t>
      </w:r>
    </w:p>
    <w:p w14:paraId="0CAF5D20" w14:textId="77777777" w:rsidR="00F729DB" w:rsidRPr="0013512D" w:rsidRDefault="00F729DB" w:rsidP="005C247F">
      <w:pPr>
        <w:spacing w:line="360" w:lineRule="auto"/>
        <w:rPr>
          <w:lang w:val="en-GB"/>
        </w:rPr>
      </w:pPr>
    </w:p>
    <w:p w14:paraId="60BF5747" w14:textId="36BD26A8" w:rsidR="00F729DB" w:rsidRPr="0013512D" w:rsidRDefault="00636BBF" w:rsidP="00A14CE1">
      <w:pPr>
        <w:spacing w:line="360" w:lineRule="auto"/>
        <w:rPr>
          <w:lang w:val="en-GB"/>
        </w:rPr>
      </w:pPr>
      <w:r w:rsidRPr="0013512D">
        <w:rPr>
          <w:lang w:val="en-GB"/>
        </w:rPr>
        <w:t>The ‘flagship’ of ECCC’s outreach efforts is its Study Tour, engaging public in the discussion of the ECCC and Khmer Rouge more generally.</w:t>
      </w:r>
      <w:r w:rsidRPr="0013512D">
        <w:rPr>
          <w:rStyle w:val="FootnoteReference"/>
          <w:lang w:val="en-GB"/>
        </w:rPr>
        <w:footnoteReference w:id="112"/>
      </w:r>
      <w:r w:rsidRPr="0013512D">
        <w:rPr>
          <w:lang w:val="en-GB"/>
        </w:rPr>
        <w:t xml:space="preserve"> The tour includes visits to Toul </w:t>
      </w:r>
      <w:proofErr w:type="spellStart"/>
      <w:r w:rsidRPr="0013512D">
        <w:rPr>
          <w:lang w:val="en-GB"/>
        </w:rPr>
        <w:t>Sleng</w:t>
      </w:r>
      <w:proofErr w:type="spellEnd"/>
      <w:r w:rsidRPr="0013512D">
        <w:rPr>
          <w:lang w:val="en-GB"/>
        </w:rPr>
        <w:t xml:space="preserve"> Museum, </w:t>
      </w:r>
      <w:proofErr w:type="spellStart"/>
      <w:r w:rsidRPr="0013512D">
        <w:rPr>
          <w:lang w:val="en-GB"/>
        </w:rPr>
        <w:t>Choeung</w:t>
      </w:r>
      <w:proofErr w:type="spellEnd"/>
      <w:r w:rsidRPr="0013512D">
        <w:rPr>
          <w:lang w:val="en-GB"/>
        </w:rPr>
        <w:t xml:space="preserve"> </w:t>
      </w:r>
      <w:proofErr w:type="spellStart"/>
      <w:r w:rsidRPr="0013512D">
        <w:rPr>
          <w:lang w:val="en-GB"/>
        </w:rPr>
        <w:t>Ek</w:t>
      </w:r>
      <w:proofErr w:type="spellEnd"/>
      <w:r w:rsidRPr="0013512D">
        <w:rPr>
          <w:lang w:val="en-GB"/>
        </w:rPr>
        <w:t xml:space="preserve"> Killing </w:t>
      </w:r>
      <w:proofErr w:type="spellStart"/>
      <w:r w:rsidRPr="0013512D">
        <w:rPr>
          <w:lang w:val="en-GB"/>
        </w:rPr>
        <w:t>Fileds</w:t>
      </w:r>
      <w:proofErr w:type="spellEnd"/>
      <w:r w:rsidRPr="0013512D">
        <w:rPr>
          <w:lang w:val="en-GB"/>
        </w:rPr>
        <w:t xml:space="preserve"> and the ECCC itself. The building currently housing Toul </w:t>
      </w:r>
      <w:proofErr w:type="spellStart"/>
      <w:r w:rsidRPr="0013512D">
        <w:rPr>
          <w:lang w:val="en-GB"/>
        </w:rPr>
        <w:t>Sleng</w:t>
      </w:r>
      <w:proofErr w:type="spellEnd"/>
      <w:r w:rsidRPr="0013512D">
        <w:rPr>
          <w:lang w:val="en-GB"/>
        </w:rPr>
        <w:t xml:space="preserve"> museum was </w:t>
      </w:r>
      <w:r w:rsidR="004E7314" w:rsidRPr="0013512D">
        <w:rPr>
          <w:lang w:val="en-GB"/>
        </w:rPr>
        <w:t xml:space="preserve">originally </w:t>
      </w:r>
      <w:r w:rsidRPr="0013512D">
        <w:rPr>
          <w:lang w:val="en-GB"/>
        </w:rPr>
        <w:t xml:space="preserve">a high school </w:t>
      </w:r>
      <w:r w:rsidR="004E7314" w:rsidRPr="0013512D">
        <w:rPr>
          <w:lang w:val="en-GB"/>
        </w:rPr>
        <w:t xml:space="preserve">and later </w:t>
      </w:r>
      <w:r w:rsidRPr="0013512D">
        <w:rPr>
          <w:lang w:val="en-GB"/>
        </w:rPr>
        <w:t xml:space="preserve">turned into </w:t>
      </w:r>
      <w:r w:rsidR="004E7314" w:rsidRPr="0013512D">
        <w:rPr>
          <w:lang w:val="en-GB"/>
        </w:rPr>
        <w:t xml:space="preserve">an </w:t>
      </w:r>
      <w:r w:rsidRPr="0013512D">
        <w:rPr>
          <w:lang w:val="en-GB"/>
        </w:rPr>
        <w:t xml:space="preserve">interrogation and torture facility </w:t>
      </w:r>
      <w:r w:rsidR="004E7314" w:rsidRPr="0013512D">
        <w:rPr>
          <w:lang w:val="en-GB"/>
        </w:rPr>
        <w:t xml:space="preserve">named </w:t>
      </w:r>
      <w:r w:rsidR="00911337" w:rsidRPr="0013512D">
        <w:rPr>
          <w:lang w:val="en-GB"/>
        </w:rPr>
        <w:t>‘</w:t>
      </w:r>
      <w:r w:rsidRPr="0013512D">
        <w:rPr>
          <w:lang w:val="en-GB"/>
        </w:rPr>
        <w:t>S-21</w:t>
      </w:r>
      <w:r w:rsidR="00911337" w:rsidRPr="0013512D">
        <w:rPr>
          <w:lang w:val="en-GB"/>
        </w:rPr>
        <w:t>’</w:t>
      </w:r>
      <w:r w:rsidRPr="0013512D">
        <w:rPr>
          <w:lang w:val="en-GB"/>
        </w:rPr>
        <w:t xml:space="preserve"> by the Khmer Rouge regime</w:t>
      </w:r>
      <w:r w:rsidR="008312C9" w:rsidRPr="0013512D">
        <w:rPr>
          <w:lang w:val="en-GB"/>
        </w:rPr>
        <w:t xml:space="preserve"> between 1975 and 1978. The museum opened to the public in 1980 with a clear education</w:t>
      </w:r>
      <w:r w:rsidR="00B20E9D" w:rsidRPr="0013512D">
        <w:rPr>
          <w:lang w:val="en-GB"/>
        </w:rPr>
        <w:t>al</w:t>
      </w:r>
      <w:r w:rsidR="008312C9" w:rsidRPr="0013512D">
        <w:rPr>
          <w:lang w:val="en-GB"/>
        </w:rPr>
        <w:t xml:space="preserve"> objective and was visited by </w:t>
      </w:r>
      <w:r w:rsidR="002E13FF" w:rsidRPr="0013512D">
        <w:rPr>
          <w:lang w:val="en-GB"/>
        </w:rPr>
        <w:t>hundreds of</w:t>
      </w:r>
      <w:r w:rsidR="002643D5" w:rsidRPr="0013512D">
        <w:rPr>
          <w:lang w:val="en-GB"/>
        </w:rPr>
        <w:t xml:space="preserve"> thousands of people</w:t>
      </w:r>
      <w:r w:rsidR="008312C9" w:rsidRPr="0013512D">
        <w:rPr>
          <w:lang w:val="en-GB"/>
        </w:rPr>
        <w:t xml:space="preserve"> in the first few months of its opening.</w:t>
      </w:r>
      <w:r w:rsidR="008312C9" w:rsidRPr="0013512D">
        <w:rPr>
          <w:rStyle w:val="FootnoteReference"/>
          <w:lang w:val="en-GB"/>
        </w:rPr>
        <w:footnoteReference w:id="113"/>
      </w:r>
      <w:r w:rsidR="008312C9" w:rsidRPr="0013512D">
        <w:rPr>
          <w:lang w:val="en-GB"/>
        </w:rPr>
        <w:t xml:space="preserve"> The museum displays on its walls 6,000 photographs of victims who were photographed by Khmer Rouge cadres upon admission to S-21. These photographs are now part of the exhibits of the museum. They create a powerful moment</w:t>
      </w:r>
      <w:r w:rsidR="00E47C05" w:rsidRPr="0013512D">
        <w:rPr>
          <w:lang w:val="en-GB"/>
        </w:rPr>
        <w:t>um</w:t>
      </w:r>
      <w:r w:rsidR="008312C9" w:rsidRPr="0013512D">
        <w:rPr>
          <w:lang w:val="en-GB"/>
        </w:rPr>
        <w:t xml:space="preserve"> for the viewer</w:t>
      </w:r>
      <w:r w:rsidR="0065130F" w:rsidRPr="0013512D">
        <w:rPr>
          <w:lang w:val="en-GB"/>
        </w:rPr>
        <w:t xml:space="preserve">, making it possible for them to </w:t>
      </w:r>
      <w:r w:rsidR="001B0A2D" w:rsidRPr="0013512D">
        <w:rPr>
          <w:lang w:val="en-GB"/>
        </w:rPr>
        <w:t xml:space="preserve">connect with the message of international criminal law through personal relationship with art. Viewing the photographs at </w:t>
      </w:r>
      <w:proofErr w:type="spellStart"/>
      <w:r w:rsidR="001B0A2D" w:rsidRPr="0013512D">
        <w:rPr>
          <w:lang w:val="en-GB"/>
        </w:rPr>
        <w:t>Tuol</w:t>
      </w:r>
      <w:proofErr w:type="spellEnd"/>
      <w:r w:rsidR="001B0A2D" w:rsidRPr="0013512D">
        <w:rPr>
          <w:lang w:val="en-GB"/>
        </w:rPr>
        <w:t xml:space="preserve"> </w:t>
      </w:r>
      <w:proofErr w:type="spellStart"/>
      <w:r w:rsidR="001B0A2D" w:rsidRPr="0013512D">
        <w:rPr>
          <w:lang w:val="en-GB"/>
        </w:rPr>
        <w:t>Sleng</w:t>
      </w:r>
      <w:proofErr w:type="spellEnd"/>
      <w:r w:rsidR="001B0A2D" w:rsidRPr="0013512D">
        <w:rPr>
          <w:lang w:val="en-GB"/>
        </w:rPr>
        <w:t xml:space="preserve"> museum activates art’s inherent intelligence by directly bringing the viewer into the space experienced by the victims’</w:t>
      </w:r>
      <w:r w:rsidR="00487F2B" w:rsidRPr="0013512D">
        <w:rPr>
          <w:lang w:val="en-GB"/>
        </w:rPr>
        <w:t xml:space="preserve"> at the time of admission to the prison</w:t>
      </w:r>
      <w:r w:rsidR="001B0A2D" w:rsidRPr="0013512D">
        <w:rPr>
          <w:lang w:val="en-GB"/>
        </w:rPr>
        <w:t xml:space="preserve">. </w:t>
      </w:r>
      <w:r w:rsidR="001707FD" w:rsidRPr="0013512D">
        <w:rPr>
          <w:lang w:val="en-GB"/>
        </w:rPr>
        <w:t xml:space="preserve">It creates empathy and, arguably, opens the intellectual channels for receiving more information about the work of the ECCC and the overall mission of international criminal justice. </w:t>
      </w:r>
    </w:p>
    <w:p w14:paraId="11899256" w14:textId="77777777" w:rsidR="00F729DB" w:rsidRPr="0013512D" w:rsidRDefault="00F729DB" w:rsidP="00A14CE1">
      <w:pPr>
        <w:spacing w:line="360" w:lineRule="auto"/>
        <w:rPr>
          <w:lang w:val="en-GB"/>
        </w:rPr>
      </w:pPr>
    </w:p>
    <w:p w14:paraId="147F41BC" w14:textId="27841796" w:rsidR="00044F51" w:rsidRPr="0013512D" w:rsidRDefault="00044F51" w:rsidP="00F729DB">
      <w:pPr>
        <w:pStyle w:val="ListParagraph"/>
        <w:numPr>
          <w:ilvl w:val="1"/>
          <w:numId w:val="1"/>
        </w:numPr>
        <w:spacing w:line="360" w:lineRule="auto"/>
        <w:rPr>
          <w:rFonts w:ascii="Times New Roman" w:hAnsi="Times New Roman"/>
          <w:i/>
          <w:lang w:val="en-GB"/>
        </w:rPr>
      </w:pPr>
      <w:r w:rsidRPr="0013512D">
        <w:rPr>
          <w:rFonts w:ascii="Times New Roman" w:hAnsi="Times New Roman"/>
          <w:i/>
          <w:lang w:val="en-GB"/>
        </w:rPr>
        <w:t xml:space="preserve">Policy </w:t>
      </w:r>
      <w:r w:rsidR="00293C73" w:rsidRPr="0013512D">
        <w:rPr>
          <w:rFonts w:ascii="Times New Roman" w:hAnsi="Times New Roman"/>
          <w:i/>
          <w:lang w:val="en-GB"/>
        </w:rPr>
        <w:t>m</w:t>
      </w:r>
      <w:r w:rsidRPr="0013512D">
        <w:rPr>
          <w:rFonts w:ascii="Times New Roman" w:hAnsi="Times New Roman"/>
          <w:i/>
          <w:lang w:val="en-GB"/>
        </w:rPr>
        <w:t>akers</w:t>
      </w:r>
    </w:p>
    <w:p w14:paraId="6875DDD7" w14:textId="77777777" w:rsidR="00186983" w:rsidRPr="0013512D" w:rsidRDefault="00186983" w:rsidP="005C247F">
      <w:pPr>
        <w:pStyle w:val="ListParagraph"/>
        <w:spacing w:line="360" w:lineRule="auto"/>
        <w:ind w:left="1440"/>
        <w:rPr>
          <w:rFonts w:ascii="Times New Roman" w:hAnsi="Times New Roman"/>
          <w:i/>
          <w:lang w:val="en-GB"/>
        </w:rPr>
      </w:pPr>
    </w:p>
    <w:p w14:paraId="7E2D77B2" w14:textId="36EDA75E" w:rsidR="00706BA7" w:rsidRPr="0013512D" w:rsidRDefault="002E45EC" w:rsidP="005C247F">
      <w:pPr>
        <w:tabs>
          <w:tab w:val="left" w:pos="1276"/>
        </w:tabs>
        <w:spacing w:line="360" w:lineRule="auto"/>
        <w:rPr>
          <w:rFonts w:eastAsia="Calibri"/>
          <w:lang w:val="en-GB"/>
        </w:rPr>
      </w:pPr>
      <w:r w:rsidRPr="0013512D">
        <w:rPr>
          <w:rFonts w:eastAsia="Calibri"/>
          <w:lang w:val="en-GB"/>
        </w:rPr>
        <w:t>I</w:t>
      </w:r>
      <w:r w:rsidR="00044F51" w:rsidRPr="0013512D">
        <w:rPr>
          <w:rFonts w:eastAsia="Calibri"/>
          <w:lang w:val="en-GB"/>
        </w:rPr>
        <w:t xml:space="preserve">nternational criminal </w:t>
      </w:r>
      <w:r w:rsidR="00B8611D" w:rsidRPr="0013512D">
        <w:rPr>
          <w:rFonts w:eastAsia="Calibri"/>
          <w:lang w:val="en-GB"/>
        </w:rPr>
        <w:t xml:space="preserve">justice </w:t>
      </w:r>
      <w:r w:rsidR="00044F51" w:rsidRPr="0013512D">
        <w:rPr>
          <w:rFonts w:eastAsia="Calibri"/>
          <w:lang w:val="en-GB"/>
        </w:rPr>
        <w:t xml:space="preserve">becomes an instrument of reconciliation and accountability efforts in a variety of ways: it can be applied directly by international courts or tribunals or it may merely constitute the body of substantive law </w:t>
      </w:r>
      <w:r w:rsidR="00934521" w:rsidRPr="0013512D">
        <w:rPr>
          <w:rFonts w:eastAsia="Calibri"/>
          <w:lang w:val="en-GB"/>
        </w:rPr>
        <w:t>utilized</w:t>
      </w:r>
      <w:r w:rsidR="00044F51" w:rsidRPr="0013512D">
        <w:rPr>
          <w:rFonts w:eastAsia="Calibri"/>
          <w:lang w:val="en-GB"/>
        </w:rPr>
        <w:t xml:space="preserve"> in the course of transition to peace. Colombia is a good example of the involvement of international and national policy makers in the process transition to peace and </w:t>
      </w:r>
      <w:r w:rsidR="005C0083" w:rsidRPr="0013512D">
        <w:rPr>
          <w:rFonts w:eastAsia="Calibri"/>
          <w:lang w:val="en-GB"/>
        </w:rPr>
        <w:t>of</w:t>
      </w:r>
      <w:r w:rsidR="00955B71" w:rsidRPr="0013512D">
        <w:rPr>
          <w:rFonts w:eastAsia="Calibri"/>
          <w:lang w:val="en-GB"/>
        </w:rPr>
        <w:t xml:space="preserve"> </w:t>
      </w:r>
      <w:r w:rsidR="00044F51" w:rsidRPr="0013512D">
        <w:rPr>
          <w:rFonts w:eastAsia="Calibri"/>
          <w:lang w:val="en-GB"/>
        </w:rPr>
        <w:t xml:space="preserve">using </w:t>
      </w:r>
      <w:r w:rsidR="00044F51" w:rsidRPr="0013512D">
        <w:rPr>
          <w:rFonts w:eastAsia="Calibri"/>
          <w:lang w:val="en-GB"/>
        </w:rPr>
        <w:lastRenderedPageBreak/>
        <w:t xml:space="preserve">the ‘tool box’ of international criminal law. </w:t>
      </w:r>
      <w:r w:rsidR="00F12D29" w:rsidRPr="0013512D">
        <w:rPr>
          <w:rFonts w:eastAsia="Calibri"/>
          <w:lang w:val="en-GB"/>
        </w:rPr>
        <w:t>It is clear that these policy makers may become the source of artistic initiatives.</w:t>
      </w:r>
      <w:r w:rsidR="00706BA7" w:rsidRPr="0013512D">
        <w:rPr>
          <w:rFonts w:eastAsia="Calibri"/>
          <w:lang w:val="en-GB"/>
        </w:rPr>
        <w:t xml:space="preserve"> </w:t>
      </w:r>
      <w:r w:rsidR="00044F51" w:rsidRPr="0013512D">
        <w:rPr>
          <w:lang w:val="en-GB"/>
        </w:rPr>
        <w:t>The peace</w:t>
      </w:r>
      <w:r w:rsidR="00044F51" w:rsidRPr="0013512D">
        <w:rPr>
          <w:rFonts w:eastAsia="Calibri"/>
          <w:lang w:val="en-GB"/>
        </w:rPr>
        <w:t xml:space="preserve"> deal concluded between </w:t>
      </w:r>
      <w:r w:rsidR="00044F51" w:rsidRPr="0013512D">
        <w:rPr>
          <w:lang w:val="en-GB"/>
        </w:rPr>
        <w:t xml:space="preserve">Revolutionary Armed Forces of Colombia (FARC) </w:t>
      </w:r>
      <w:r w:rsidR="00044F51" w:rsidRPr="0013512D">
        <w:rPr>
          <w:rFonts w:eastAsia="Calibri"/>
          <w:lang w:val="en-GB"/>
        </w:rPr>
        <w:t>guerrillas and the government</w:t>
      </w:r>
      <w:r w:rsidR="00044F51" w:rsidRPr="0013512D">
        <w:rPr>
          <w:lang w:val="en-GB"/>
        </w:rPr>
        <w:t xml:space="preserve"> that ends protracted civil war in the country is closely monitored by the ICC as part of its assessment of Colombia’s ability and willingness to conduct its own prosecutions of international crimes.</w:t>
      </w:r>
      <w:r w:rsidR="00044F51" w:rsidRPr="0013512D">
        <w:rPr>
          <w:rStyle w:val="FootnoteReference"/>
          <w:lang w:val="en-GB"/>
        </w:rPr>
        <w:footnoteReference w:id="114"/>
      </w:r>
      <w:r w:rsidR="00044F51" w:rsidRPr="0013512D">
        <w:rPr>
          <w:rFonts w:eastAsia="Calibri"/>
          <w:lang w:val="en-GB"/>
        </w:rPr>
        <w:t xml:space="preserve"> </w:t>
      </w:r>
    </w:p>
    <w:p w14:paraId="1BA38FB8" w14:textId="77777777" w:rsidR="00186983" w:rsidRPr="0013512D" w:rsidRDefault="00186983" w:rsidP="005C247F">
      <w:pPr>
        <w:tabs>
          <w:tab w:val="left" w:pos="1276"/>
        </w:tabs>
        <w:spacing w:line="360" w:lineRule="auto"/>
        <w:rPr>
          <w:rFonts w:eastAsia="Calibri"/>
          <w:lang w:val="en-GB"/>
        </w:rPr>
      </w:pPr>
    </w:p>
    <w:p w14:paraId="5EE43284" w14:textId="60AE9A87" w:rsidR="00C1508D" w:rsidRPr="0013512D" w:rsidRDefault="00B20E9D" w:rsidP="005C247F">
      <w:pPr>
        <w:tabs>
          <w:tab w:val="left" w:pos="1276"/>
        </w:tabs>
        <w:spacing w:line="360" w:lineRule="auto"/>
        <w:rPr>
          <w:rFonts w:eastAsia="Calibri"/>
          <w:lang w:val="en-GB"/>
        </w:rPr>
      </w:pPr>
      <w:r w:rsidRPr="0013512D">
        <w:rPr>
          <w:lang w:val="en-GB"/>
        </w:rPr>
        <w:t xml:space="preserve">Implementation of the peace deal provides ample scope for </w:t>
      </w:r>
      <w:r w:rsidR="00044F51" w:rsidRPr="0013512D">
        <w:rPr>
          <w:lang w:val="en-GB"/>
        </w:rPr>
        <w:t>activities promoting national reflection and healing</w:t>
      </w:r>
      <w:r w:rsidR="008A12BD" w:rsidRPr="0013512D">
        <w:rPr>
          <w:lang w:val="en-GB"/>
        </w:rPr>
        <w:t xml:space="preserve">. </w:t>
      </w:r>
      <w:r w:rsidR="0002611A" w:rsidRPr="0013512D">
        <w:rPr>
          <w:lang w:val="en-GB"/>
        </w:rPr>
        <w:t>For instance, t</w:t>
      </w:r>
      <w:r w:rsidR="008A12BD" w:rsidRPr="0013512D">
        <w:rPr>
          <w:lang w:val="en-GB"/>
        </w:rPr>
        <w:t>hese include</w:t>
      </w:r>
      <w:r w:rsidR="00044F51" w:rsidRPr="0013512D">
        <w:rPr>
          <w:lang w:val="en-GB"/>
        </w:rPr>
        <w:t xml:space="preserve"> commemoration </w:t>
      </w:r>
      <w:r w:rsidR="0002611A" w:rsidRPr="0013512D">
        <w:rPr>
          <w:lang w:val="en-GB"/>
        </w:rPr>
        <w:t>efforts</w:t>
      </w:r>
      <w:r w:rsidR="00044F51" w:rsidRPr="0013512D">
        <w:rPr>
          <w:lang w:val="en-GB"/>
        </w:rPr>
        <w:t xml:space="preserve"> in local communities</w:t>
      </w:r>
      <w:r w:rsidR="00044F51" w:rsidRPr="0013512D">
        <w:rPr>
          <w:rFonts w:eastAsia="Calibri"/>
          <w:lang w:val="en-GB"/>
        </w:rPr>
        <w:t xml:space="preserve">. </w:t>
      </w:r>
      <w:r w:rsidR="00044F51" w:rsidRPr="0013512D">
        <w:rPr>
          <w:lang w:val="en-GB"/>
        </w:rPr>
        <w:t xml:space="preserve">One of </w:t>
      </w:r>
      <w:r w:rsidRPr="0013512D">
        <w:rPr>
          <w:lang w:val="en-GB"/>
        </w:rPr>
        <w:t xml:space="preserve">the peace agreement’s </w:t>
      </w:r>
      <w:r w:rsidR="00044F51" w:rsidRPr="0013512D">
        <w:rPr>
          <w:lang w:val="en-GB"/>
        </w:rPr>
        <w:t>central features is heavy reliance on restoration and reparation when discussing the idea of justice as such.</w:t>
      </w:r>
      <w:r w:rsidR="00044F51" w:rsidRPr="0013512D">
        <w:rPr>
          <w:rStyle w:val="FootnoteReference"/>
          <w:rFonts w:eastAsiaTheme="minorEastAsia"/>
          <w:lang w:val="en-GB"/>
        </w:rPr>
        <w:footnoteReference w:id="115"/>
      </w:r>
      <w:r w:rsidR="00044F51" w:rsidRPr="0013512D">
        <w:rPr>
          <w:lang w:val="en-GB"/>
        </w:rPr>
        <w:t xml:space="preserve"> </w:t>
      </w:r>
      <w:r w:rsidRPr="0013512D">
        <w:rPr>
          <w:lang w:val="en-GB"/>
        </w:rPr>
        <w:t>Furthermore, t</w:t>
      </w:r>
      <w:r w:rsidR="00044F51" w:rsidRPr="0013512D">
        <w:rPr>
          <w:lang w:val="en-GB"/>
        </w:rPr>
        <w:t>he law implementing the deal provides that the state guarantees the right to reparations to victims of gross violations of humanitarian law, either collectively or individually.</w:t>
      </w:r>
      <w:r w:rsidR="00044F51" w:rsidRPr="0013512D">
        <w:rPr>
          <w:rStyle w:val="FootnoteReference"/>
          <w:rFonts w:eastAsiaTheme="minorEastAsia"/>
          <w:lang w:val="en-GB"/>
        </w:rPr>
        <w:footnoteReference w:id="116"/>
      </w:r>
      <w:r w:rsidR="00044F51" w:rsidRPr="0013512D">
        <w:rPr>
          <w:lang w:val="en-GB"/>
        </w:rPr>
        <w:t xml:space="preserve"> It remains to be seen how such a ‘dual’ restorative-retributive focus of the system created by the peace deal will be </w:t>
      </w:r>
      <w:r w:rsidRPr="0013512D">
        <w:rPr>
          <w:lang w:val="en-GB"/>
        </w:rPr>
        <w:t>executed</w:t>
      </w:r>
      <w:r w:rsidR="00044F51" w:rsidRPr="0013512D">
        <w:rPr>
          <w:lang w:val="en-GB"/>
        </w:rPr>
        <w:t xml:space="preserve">, but it is safe to assume that art and creative expression has potential to facilitate the restorative side of the deal. </w:t>
      </w:r>
      <w:r w:rsidRPr="0013512D">
        <w:rPr>
          <w:rFonts w:eastAsia="Calibri"/>
          <w:lang w:val="en-GB"/>
        </w:rPr>
        <w:t>The first steps to incorporating art in the healing process in Colombia were laid when the agreement was reached to melt</w:t>
      </w:r>
      <w:r w:rsidR="00044F51" w:rsidRPr="0013512D">
        <w:rPr>
          <w:rFonts w:eastAsia="Calibri"/>
          <w:lang w:val="en-GB"/>
        </w:rPr>
        <w:t xml:space="preserve"> the weapons turned over by the guerrillas in the process of demobilization following the signing of the peace deal into three monuments to be installed in Bogotá, Havana and New York – places essential for the negotiation of the final agreement.</w:t>
      </w:r>
      <w:r w:rsidR="00044F51" w:rsidRPr="0013512D">
        <w:rPr>
          <w:rStyle w:val="FootnoteReference"/>
          <w:rFonts w:eastAsia="Calibri"/>
          <w:lang w:val="en-GB"/>
        </w:rPr>
        <w:footnoteReference w:id="117"/>
      </w:r>
      <w:r w:rsidR="00044F51" w:rsidRPr="0013512D">
        <w:rPr>
          <w:rFonts w:eastAsia="Calibri"/>
          <w:lang w:val="en-GB"/>
        </w:rPr>
        <w:t xml:space="preserve"> </w:t>
      </w:r>
    </w:p>
    <w:p w14:paraId="3862C6A0" w14:textId="77777777" w:rsidR="00186983" w:rsidRPr="0013512D" w:rsidRDefault="00186983" w:rsidP="005C247F">
      <w:pPr>
        <w:tabs>
          <w:tab w:val="left" w:pos="1276"/>
        </w:tabs>
        <w:spacing w:line="360" w:lineRule="auto"/>
        <w:rPr>
          <w:rFonts w:eastAsia="Calibri"/>
          <w:lang w:val="en-GB"/>
        </w:rPr>
      </w:pPr>
    </w:p>
    <w:p w14:paraId="21515ACE" w14:textId="406ACC9B" w:rsidR="00044F51" w:rsidRPr="0013512D" w:rsidRDefault="00706BA7" w:rsidP="005C247F">
      <w:pPr>
        <w:pStyle w:val="ListParagraph"/>
        <w:numPr>
          <w:ilvl w:val="1"/>
          <w:numId w:val="1"/>
        </w:numPr>
        <w:spacing w:line="360" w:lineRule="auto"/>
        <w:rPr>
          <w:rFonts w:ascii="Times New Roman" w:hAnsi="Times New Roman"/>
          <w:i/>
          <w:lang w:val="en-GB"/>
        </w:rPr>
      </w:pPr>
      <w:r w:rsidRPr="0013512D">
        <w:rPr>
          <w:rFonts w:ascii="Times New Roman" w:hAnsi="Times New Roman"/>
          <w:i/>
          <w:lang w:val="en-GB"/>
        </w:rPr>
        <w:t xml:space="preserve">Non-governmental </w:t>
      </w:r>
      <w:r w:rsidR="00B5463A" w:rsidRPr="0013512D">
        <w:rPr>
          <w:rFonts w:ascii="Times New Roman" w:hAnsi="Times New Roman"/>
          <w:i/>
          <w:lang w:val="en-GB"/>
        </w:rPr>
        <w:t>organizations</w:t>
      </w:r>
      <w:r w:rsidRPr="0013512D">
        <w:rPr>
          <w:rFonts w:ascii="Times New Roman" w:hAnsi="Times New Roman"/>
          <w:i/>
          <w:lang w:val="en-GB"/>
        </w:rPr>
        <w:t xml:space="preserve"> and individual initiatives </w:t>
      </w:r>
    </w:p>
    <w:p w14:paraId="5C38370A" w14:textId="77777777" w:rsidR="00186983" w:rsidRPr="0013512D" w:rsidRDefault="00186983" w:rsidP="005C247F">
      <w:pPr>
        <w:pStyle w:val="ListParagraph"/>
        <w:spacing w:line="360" w:lineRule="auto"/>
        <w:ind w:left="1440"/>
        <w:rPr>
          <w:rFonts w:ascii="Times New Roman" w:hAnsi="Times New Roman"/>
          <w:i/>
          <w:lang w:val="en-GB"/>
        </w:rPr>
      </w:pPr>
    </w:p>
    <w:p w14:paraId="67DA7C01" w14:textId="77777777" w:rsidR="00B04535" w:rsidRPr="0013512D" w:rsidRDefault="00AE13F9" w:rsidP="005C247F">
      <w:pPr>
        <w:spacing w:line="360" w:lineRule="auto"/>
        <w:rPr>
          <w:lang w:val="en-GB"/>
        </w:rPr>
      </w:pPr>
      <w:r w:rsidRPr="0013512D">
        <w:rPr>
          <w:lang w:val="en-GB"/>
        </w:rPr>
        <w:lastRenderedPageBreak/>
        <w:t>Non-government</w:t>
      </w:r>
      <w:r w:rsidR="00175B1D" w:rsidRPr="0013512D">
        <w:rPr>
          <w:lang w:val="en-GB"/>
        </w:rPr>
        <w:t>al</w:t>
      </w:r>
      <w:r w:rsidRPr="0013512D">
        <w:rPr>
          <w:lang w:val="en-GB"/>
        </w:rPr>
        <w:t xml:space="preserve"> organisations, civil society and individual actors are starting to explore the role of art in promoting the goal of reconciliation</w:t>
      </w:r>
      <w:r w:rsidR="00175B1D" w:rsidRPr="0013512D">
        <w:rPr>
          <w:lang w:val="en-GB"/>
        </w:rPr>
        <w:t>.</w:t>
      </w:r>
      <w:r w:rsidRPr="0013512D">
        <w:rPr>
          <w:lang w:val="en-GB"/>
        </w:rPr>
        <w:t xml:space="preserve"> Some of the initiatives are directly linked with international justice, while others are broader in scope and explore the methodology of art in promoting activist agenda. </w:t>
      </w:r>
      <w:r w:rsidR="00110F28" w:rsidRPr="0013512D">
        <w:rPr>
          <w:lang w:val="en-GB"/>
        </w:rPr>
        <w:t xml:space="preserve">Most examples given in this subsection go beyond the scope of the paradigm of art, reconciliation and international criminal justice, yet they provide </w:t>
      </w:r>
      <w:r w:rsidR="005E73A7" w:rsidRPr="0013512D">
        <w:rPr>
          <w:lang w:val="en-GB"/>
        </w:rPr>
        <w:t>a direction</w:t>
      </w:r>
      <w:r w:rsidR="00110F28" w:rsidRPr="0013512D">
        <w:rPr>
          <w:lang w:val="en-GB"/>
        </w:rPr>
        <w:t xml:space="preserve"> for future </w:t>
      </w:r>
      <w:r w:rsidR="00822FC1" w:rsidRPr="0013512D">
        <w:rPr>
          <w:lang w:val="en-GB"/>
        </w:rPr>
        <w:t xml:space="preserve">creative </w:t>
      </w:r>
      <w:proofErr w:type="spellStart"/>
      <w:r w:rsidR="005E73A7" w:rsidRPr="0013512D">
        <w:rPr>
          <w:lang w:val="en-GB"/>
        </w:rPr>
        <w:t>endeavors</w:t>
      </w:r>
      <w:proofErr w:type="spellEnd"/>
      <w:r w:rsidR="00110F28" w:rsidRPr="0013512D">
        <w:rPr>
          <w:lang w:val="en-GB"/>
        </w:rPr>
        <w:t xml:space="preserve"> that will support the mission of international criminal law in a more direct way</w:t>
      </w:r>
      <w:r w:rsidR="005A7775" w:rsidRPr="0013512D">
        <w:rPr>
          <w:lang w:val="en-GB"/>
        </w:rPr>
        <w:t xml:space="preserve"> – either through research or through creative outreach</w:t>
      </w:r>
      <w:r w:rsidR="00110F28" w:rsidRPr="0013512D">
        <w:rPr>
          <w:lang w:val="en-GB"/>
        </w:rPr>
        <w:t xml:space="preserve">. </w:t>
      </w:r>
    </w:p>
    <w:p w14:paraId="3A60677E" w14:textId="77777777" w:rsidR="00B04535" w:rsidRPr="0013512D" w:rsidRDefault="00B04535" w:rsidP="005C247F">
      <w:pPr>
        <w:spacing w:line="360" w:lineRule="auto"/>
        <w:rPr>
          <w:lang w:val="en-GB"/>
        </w:rPr>
      </w:pPr>
    </w:p>
    <w:p w14:paraId="33557054" w14:textId="43D41618" w:rsidR="00AE13F9" w:rsidRPr="0013512D" w:rsidRDefault="005A7775" w:rsidP="005C247F">
      <w:pPr>
        <w:spacing w:line="360" w:lineRule="auto"/>
        <w:rPr>
          <w:lang w:val="en-GB"/>
        </w:rPr>
      </w:pPr>
      <w:r w:rsidRPr="0013512D">
        <w:rPr>
          <w:lang w:val="en-GB"/>
        </w:rPr>
        <w:t xml:space="preserve">An example of a related project is the one </w:t>
      </w:r>
      <w:r w:rsidR="00AE13F9" w:rsidRPr="0013512D">
        <w:rPr>
          <w:lang w:val="en-GB"/>
        </w:rPr>
        <w:t xml:space="preserve">pursued by the faculty of law of the University of Windsor in Canada </w:t>
      </w:r>
      <w:r w:rsidR="004522F9" w:rsidRPr="0013512D">
        <w:rPr>
          <w:lang w:val="en-GB"/>
        </w:rPr>
        <w:t xml:space="preserve">is </w:t>
      </w:r>
      <w:r w:rsidR="00AE13F9" w:rsidRPr="0013512D">
        <w:rPr>
          <w:lang w:val="en-GB"/>
        </w:rPr>
        <w:t>dealing with indigenous laws and art. Researchers put into context the idea of reconciliation by</w:t>
      </w:r>
      <w:r w:rsidR="00AE13F9" w:rsidRPr="0013512D">
        <w:rPr>
          <w:color w:val="333333"/>
          <w:shd w:val="clear" w:color="auto" w:fill="FFFFFF"/>
          <w:lang w:val="en-GB"/>
        </w:rPr>
        <w:t> </w:t>
      </w:r>
      <w:r w:rsidR="004522F9" w:rsidRPr="0013512D">
        <w:rPr>
          <w:lang w:val="en-GB"/>
        </w:rPr>
        <w:t>reflecting ‘</w:t>
      </w:r>
      <w:r w:rsidR="00AE13F9" w:rsidRPr="0013512D">
        <w:rPr>
          <w:lang w:val="en-GB"/>
        </w:rPr>
        <w:t>the diversity, strength, and hope embodied in Indigenous traditions.</w:t>
      </w:r>
      <w:r w:rsidR="004522F9" w:rsidRPr="0013512D">
        <w:rPr>
          <w:lang w:val="en-GB"/>
        </w:rPr>
        <w:t>’</w:t>
      </w:r>
      <w:r w:rsidR="00AE13F9" w:rsidRPr="0013512D">
        <w:rPr>
          <w:rStyle w:val="FootnoteReference"/>
          <w:lang w:val="en-GB"/>
        </w:rPr>
        <w:footnoteReference w:id="118"/>
      </w:r>
      <w:r w:rsidR="00AE13F9" w:rsidRPr="0013512D">
        <w:rPr>
          <w:lang w:val="en-GB"/>
        </w:rPr>
        <w:t xml:space="preserve"> </w:t>
      </w:r>
      <w:r w:rsidR="00621293" w:rsidRPr="0013512D">
        <w:rPr>
          <w:lang w:val="en-GB"/>
        </w:rPr>
        <w:t>Rachel Kerr</w:t>
      </w:r>
      <w:r w:rsidR="004522F9" w:rsidRPr="0013512D">
        <w:rPr>
          <w:lang w:val="en-GB"/>
        </w:rPr>
        <w:t xml:space="preserve"> leads a</w:t>
      </w:r>
      <w:r w:rsidR="00621293" w:rsidRPr="0013512D">
        <w:rPr>
          <w:lang w:val="en-GB"/>
        </w:rPr>
        <w:t xml:space="preserve"> project in Kings College London entitled ‘</w:t>
      </w:r>
      <w:r w:rsidR="004522F9" w:rsidRPr="0013512D">
        <w:rPr>
          <w:lang w:val="en-GB"/>
        </w:rPr>
        <w:t>Art and</w:t>
      </w:r>
      <w:r w:rsidR="00621293" w:rsidRPr="0013512D">
        <w:rPr>
          <w:lang w:val="en-GB"/>
        </w:rPr>
        <w:t xml:space="preserve"> Reconciliation: an innovative approach to conflict resolution</w:t>
      </w:r>
      <w:r w:rsidR="00621293" w:rsidRPr="0013512D">
        <w:rPr>
          <w:i/>
          <w:lang w:val="en-GB"/>
        </w:rPr>
        <w:t>’.</w:t>
      </w:r>
      <w:r w:rsidR="00621293" w:rsidRPr="0013512D">
        <w:rPr>
          <w:rStyle w:val="FootnoteReference"/>
          <w:rFonts w:eastAsiaTheme="minorEastAsia"/>
          <w:lang w:val="en-GB"/>
        </w:rPr>
        <w:footnoteReference w:id="119"/>
      </w:r>
      <w:r w:rsidR="00621293" w:rsidRPr="0013512D">
        <w:rPr>
          <w:i/>
          <w:lang w:val="en-GB"/>
        </w:rPr>
        <w:t xml:space="preserve"> </w:t>
      </w:r>
      <w:r w:rsidR="00621293" w:rsidRPr="0013512D">
        <w:rPr>
          <w:lang w:val="en-GB"/>
        </w:rPr>
        <w:t xml:space="preserve">The project focuses on the Western Balkans and aims to guide the use of arts in generating conversations around reconciliation. The recently launched Art and International Justice Initiative </w:t>
      </w:r>
      <w:r w:rsidRPr="0013512D">
        <w:rPr>
          <w:lang w:val="en-GB"/>
        </w:rPr>
        <w:t xml:space="preserve">(ARTIJ) </w:t>
      </w:r>
      <w:r w:rsidR="00621293" w:rsidRPr="0013512D">
        <w:rPr>
          <w:lang w:val="en-GB"/>
        </w:rPr>
        <w:t>aims to serve as a hub for artists, academics and practi</w:t>
      </w:r>
      <w:r w:rsidR="005C2863" w:rsidRPr="0013512D">
        <w:rPr>
          <w:lang w:val="en-GB"/>
        </w:rPr>
        <w:t>ti</w:t>
      </w:r>
      <w:r w:rsidR="00621293" w:rsidRPr="0013512D">
        <w:rPr>
          <w:lang w:val="en-GB"/>
        </w:rPr>
        <w:t>oners aiming to explore the ways in</w:t>
      </w:r>
      <w:r w:rsidR="004522F9" w:rsidRPr="0013512D">
        <w:rPr>
          <w:lang w:val="en-GB"/>
        </w:rPr>
        <w:t xml:space="preserve"> which art can support and enhance international justice</w:t>
      </w:r>
      <w:r w:rsidR="00621293" w:rsidRPr="0013512D">
        <w:rPr>
          <w:lang w:val="en-GB"/>
        </w:rPr>
        <w:t>.</w:t>
      </w:r>
      <w:r w:rsidR="00621293" w:rsidRPr="0013512D">
        <w:rPr>
          <w:rStyle w:val="FootnoteReference"/>
          <w:lang w:val="en-GB"/>
        </w:rPr>
        <w:footnoteReference w:id="120"/>
      </w:r>
      <w:r w:rsidRPr="0013512D">
        <w:rPr>
          <w:lang w:val="en-GB"/>
        </w:rPr>
        <w:t xml:space="preserve"> The recent symposium on ‘Art and International Courts’ held on </w:t>
      </w:r>
      <w:r w:rsidR="00783C3C" w:rsidRPr="0013512D">
        <w:rPr>
          <w:lang w:val="en-GB"/>
        </w:rPr>
        <w:t>ARTIJ website is an attempt to map out the main avenues for further discussion, as well as to find a common vocabulary to talk about creativity in the context of international (criminal) justice.</w:t>
      </w:r>
      <w:r w:rsidR="00783C3C" w:rsidRPr="0013512D">
        <w:rPr>
          <w:rStyle w:val="FootnoteReference"/>
          <w:lang w:val="en-GB"/>
        </w:rPr>
        <w:footnoteReference w:id="121"/>
      </w:r>
      <w:r w:rsidR="00783C3C" w:rsidRPr="0013512D">
        <w:rPr>
          <w:lang w:val="en-GB"/>
        </w:rPr>
        <w:t xml:space="preserve"> </w:t>
      </w:r>
    </w:p>
    <w:p w14:paraId="052676A8" w14:textId="77777777" w:rsidR="00186983" w:rsidRPr="0013512D" w:rsidRDefault="00186983" w:rsidP="005C247F">
      <w:pPr>
        <w:spacing w:line="360" w:lineRule="auto"/>
        <w:rPr>
          <w:lang w:val="en-GB"/>
        </w:rPr>
      </w:pPr>
    </w:p>
    <w:p w14:paraId="0C576A96" w14:textId="47472BD7" w:rsidR="00706BA7" w:rsidRPr="0013512D" w:rsidRDefault="00621293" w:rsidP="005C247F">
      <w:pPr>
        <w:spacing w:line="360" w:lineRule="auto"/>
        <w:rPr>
          <w:lang w:val="en-GB"/>
        </w:rPr>
      </w:pPr>
      <w:r w:rsidRPr="0013512D">
        <w:rPr>
          <w:lang w:val="en-GB"/>
        </w:rPr>
        <w:t xml:space="preserve">Other activist projects </w:t>
      </w:r>
      <w:r w:rsidR="005A7775" w:rsidRPr="0013512D">
        <w:rPr>
          <w:lang w:val="en-GB"/>
        </w:rPr>
        <w:t xml:space="preserve">that can serve as an inspiration </w:t>
      </w:r>
      <w:r w:rsidRPr="0013512D">
        <w:rPr>
          <w:lang w:val="en-GB"/>
        </w:rPr>
        <w:t>include</w:t>
      </w:r>
      <w:r w:rsidR="00AE13F9" w:rsidRPr="0013512D">
        <w:rPr>
          <w:lang w:val="en-GB"/>
        </w:rPr>
        <w:t>, for example, ‘legislative art’ by artist Laurie Jo Reynolds. Art in her projects engages government</w:t>
      </w:r>
      <w:r w:rsidR="003A3C7C" w:rsidRPr="0013512D">
        <w:rPr>
          <w:lang w:val="en-GB"/>
        </w:rPr>
        <w:t>al</w:t>
      </w:r>
      <w:r w:rsidR="00AE13F9" w:rsidRPr="0013512D">
        <w:rPr>
          <w:lang w:val="en-GB"/>
        </w:rPr>
        <w:t xml:space="preserve"> </w:t>
      </w:r>
      <w:r w:rsidR="003A3C7C" w:rsidRPr="0013512D">
        <w:rPr>
          <w:lang w:val="en-GB"/>
        </w:rPr>
        <w:t>structures</w:t>
      </w:r>
      <w:r w:rsidR="00AE13F9" w:rsidRPr="0013512D">
        <w:rPr>
          <w:lang w:val="en-GB"/>
        </w:rPr>
        <w:t xml:space="preserve"> with the goal to accomplish concrete political change. Her creative practice of getting imagery from prisoners subjected to severe sensory deprivation in one of the US </w:t>
      </w:r>
      <w:r w:rsidR="00AE13F9" w:rsidRPr="0013512D">
        <w:rPr>
          <w:lang w:val="en-GB"/>
        </w:rPr>
        <w:lastRenderedPageBreak/>
        <w:t>supermax prisons led to its eventual closure.</w:t>
      </w:r>
      <w:r w:rsidR="00AE13F9" w:rsidRPr="0013512D">
        <w:rPr>
          <w:rStyle w:val="FootnoteReference"/>
          <w:lang w:val="en-GB"/>
        </w:rPr>
        <w:footnoteReference w:id="122"/>
      </w:r>
      <w:r w:rsidR="00AE13F9" w:rsidRPr="0013512D">
        <w:rPr>
          <w:lang w:val="en-GB"/>
        </w:rPr>
        <w:t xml:space="preserve"> These types of projects show the relevance of art in facilitating </w:t>
      </w:r>
      <w:r w:rsidR="00E47CDA" w:rsidRPr="0013512D">
        <w:rPr>
          <w:lang w:val="en-GB"/>
        </w:rPr>
        <w:t xml:space="preserve">broader </w:t>
      </w:r>
      <w:r w:rsidR="00AE13F9" w:rsidRPr="0013512D">
        <w:rPr>
          <w:lang w:val="en-GB"/>
        </w:rPr>
        <w:t xml:space="preserve">social change. </w:t>
      </w:r>
    </w:p>
    <w:p w14:paraId="0F232D8B" w14:textId="77777777" w:rsidR="00186983" w:rsidRPr="0013512D" w:rsidRDefault="00186983" w:rsidP="005C247F">
      <w:pPr>
        <w:spacing w:line="360" w:lineRule="auto"/>
        <w:rPr>
          <w:lang w:val="en-GB"/>
        </w:rPr>
      </w:pPr>
    </w:p>
    <w:p w14:paraId="0EF460C6" w14:textId="5396E577" w:rsidR="00706BA7" w:rsidRPr="0013512D" w:rsidRDefault="00706BA7" w:rsidP="005C247F">
      <w:pPr>
        <w:pStyle w:val="ListParagraph"/>
        <w:numPr>
          <w:ilvl w:val="1"/>
          <w:numId w:val="1"/>
        </w:numPr>
        <w:spacing w:line="360" w:lineRule="auto"/>
        <w:rPr>
          <w:rFonts w:ascii="Times New Roman" w:hAnsi="Times New Roman"/>
          <w:i/>
          <w:lang w:val="en-GB"/>
        </w:rPr>
      </w:pPr>
      <w:r w:rsidRPr="0013512D">
        <w:rPr>
          <w:rFonts w:ascii="Times New Roman" w:hAnsi="Times New Roman"/>
          <w:i/>
          <w:lang w:val="en-GB"/>
        </w:rPr>
        <w:t>Victims</w:t>
      </w:r>
    </w:p>
    <w:p w14:paraId="5EEDFA5E" w14:textId="77777777" w:rsidR="00186983" w:rsidRPr="0013512D" w:rsidRDefault="00186983" w:rsidP="005C247F">
      <w:pPr>
        <w:pStyle w:val="ListParagraph"/>
        <w:spacing w:line="360" w:lineRule="auto"/>
        <w:ind w:left="1440"/>
        <w:rPr>
          <w:rFonts w:ascii="Times New Roman" w:hAnsi="Times New Roman"/>
          <w:i/>
          <w:lang w:val="en-GB"/>
        </w:rPr>
      </w:pPr>
    </w:p>
    <w:p w14:paraId="7DBE1B1D" w14:textId="7BA1B9FE" w:rsidR="006108BC" w:rsidRPr="0013512D" w:rsidRDefault="00F77179" w:rsidP="005C247F">
      <w:pPr>
        <w:pStyle w:val="ListParagraph"/>
        <w:spacing w:line="360" w:lineRule="auto"/>
        <w:ind w:left="0"/>
        <w:rPr>
          <w:rFonts w:ascii="Times New Roman" w:hAnsi="Times New Roman"/>
          <w:lang w:val="en-GB"/>
        </w:rPr>
      </w:pPr>
      <w:r w:rsidRPr="0013512D">
        <w:rPr>
          <w:rFonts w:ascii="Times New Roman" w:hAnsi="Times New Roman"/>
          <w:lang w:val="en-GB"/>
        </w:rPr>
        <w:t xml:space="preserve">A more formalized way in which the victims </w:t>
      </w:r>
      <w:r w:rsidR="00383E83" w:rsidRPr="0013512D">
        <w:rPr>
          <w:rFonts w:ascii="Times New Roman" w:hAnsi="Times New Roman"/>
          <w:lang w:val="en-GB"/>
        </w:rPr>
        <w:t xml:space="preserve">and wider community </w:t>
      </w:r>
      <w:r w:rsidRPr="0013512D">
        <w:rPr>
          <w:rFonts w:ascii="Times New Roman" w:hAnsi="Times New Roman"/>
          <w:lang w:val="en-GB"/>
        </w:rPr>
        <w:t>can benefit from artistic expression</w:t>
      </w:r>
      <w:r w:rsidR="00383E83" w:rsidRPr="0013512D">
        <w:rPr>
          <w:rFonts w:ascii="Times New Roman" w:hAnsi="Times New Roman"/>
          <w:lang w:val="en-GB"/>
        </w:rPr>
        <w:t xml:space="preserve"> in the field of international criminal justice</w:t>
      </w:r>
      <w:r w:rsidRPr="0013512D">
        <w:rPr>
          <w:rFonts w:ascii="Times New Roman" w:hAnsi="Times New Roman"/>
          <w:lang w:val="en-GB"/>
        </w:rPr>
        <w:t xml:space="preserve"> is through consultations during the phase of reparations. This is what the ICC is striving to achieve</w:t>
      </w:r>
      <w:r w:rsidR="00383E83" w:rsidRPr="0013512D">
        <w:rPr>
          <w:rFonts w:ascii="Times New Roman" w:hAnsi="Times New Roman"/>
          <w:lang w:val="en-GB"/>
        </w:rPr>
        <w:t xml:space="preserve"> in </w:t>
      </w:r>
      <w:r w:rsidR="00383E83" w:rsidRPr="0013512D">
        <w:rPr>
          <w:rFonts w:ascii="Times New Roman" w:hAnsi="Times New Roman"/>
          <w:i/>
          <w:lang w:val="en-GB"/>
        </w:rPr>
        <w:t>Lubanga</w:t>
      </w:r>
      <w:r w:rsidR="00383E83" w:rsidRPr="0013512D">
        <w:rPr>
          <w:rFonts w:ascii="Times New Roman" w:hAnsi="Times New Roman"/>
          <w:lang w:val="en-GB"/>
        </w:rPr>
        <w:t xml:space="preserve">. TVF submission to the Trial Chamber clearly indicated extensive consultations with different community representatives in the region where the commemoration </w:t>
      </w:r>
      <w:proofErr w:type="spellStart"/>
      <w:r w:rsidR="00383E83" w:rsidRPr="0013512D">
        <w:rPr>
          <w:rFonts w:ascii="Times New Roman" w:hAnsi="Times New Roman"/>
          <w:lang w:val="en-GB"/>
        </w:rPr>
        <w:t>centers</w:t>
      </w:r>
      <w:proofErr w:type="spellEnd"/>
      <w:r w:rsidR="00383E83" w:rsidRPr="0013512D">
        <w:rPr>
          <w:rFonts w:ascii="Times New Roman" w:hAnsi="Times New Roman"/>
          <w:lang w:val="en-GB"/>
        </w:rPr>
        <w:t xml:space="preserve"> will be erected.</w:t>
      </w:r>
      <w:r w:rsidR="00383E83" w:rsidRPr="0013512D">
        <w:rPr>
          <w:rStyle w:val="FootnoteReference"/>
          <w:rFonts w:ascii="Times New Roman" w:hAnsi="Times New Roman"/>
          <w:lang w:val="en-GB"/>
        </w:rPr>
        <w:footnoteReference w:id="123"/>
      </w:r>
      <w:r w:rsidR="00FC2E84" w:rsidRPr="0013512D">
        <w:rPr>
          <w:rFonts w:ascii="Times New Roman" w:hAnsi="Times New Roman"/>
          <w:lang w:val="en-GB"/>
        </w:rPr>
        <w:t xml:space="preserve"> </w:t>
      </w:r>
    </w:p>
    <w:p w14:paraId="4343AEA3" w14:textId="50D12C16" w:rsidR="00383E83" w:rsidRPr="0013512D" w:rsidRDefault="00383E83" w:rsidP="005C247F">
      <w:pPr>
        <w:pStyle w:val="ListParagraph"/>
        <w:spacing w:line="360" w:lineRule="auto"/>
        <w:ind w:left="0"/>
        <w:rPr>
          <w:rFonts w:ascii="Times New Roman" w:hAnsi="Times New Roman"/>
          <w:lang w:val="en-GB"/>
        </w:rPr>
      </w:pPr>
    </w:p>
    <w:p w14:paraId="228EAE2D" w14:textId="4393DFF7" w:rsidR="002E45EC" w:rsidRPr="0013512D" w:rsidRDefault="00383E83" w:rsidP="005C247F">
      <w:pPr>
        <w:pStyle w:val="ListParagraph"/>
        <w:spacing w:line="360" w:lineRule="auto"/>
        <w:ind w:left="0"/>
        <w:rPr>
          <w:rFonts w:ascii="Times New Roman" w:hAnsi="Times New Roman"/>
          <w:lang w:val="en-GB"/>
        </w:rPr>
      </w:pPr>
      <w:r w:rsidRPr="0013512D">
        <w:rPr>
          <w:rFonts w:ascii="Times New Roman" w:hAnsi="Times New Roman"/>
          <w:lang w:val="en-GB"/>
        </w:rPr>
        <w:t xml:space="preserve">There are also less formalized possibilities to involve victims </w:t>
      </w:r>
      <w:r w:rsidR="00BE0CED" w:rsidRPr="0013512D">
        <w:rPr>
          <w:rFonts w:ascii="Times New Roman" w:hAnsi="Times New Roman"/>
          <w:lang w:val="en-GB"/>
        </w:rPr>
        <w:t xml:space="preserve">of mass atrocities </w:t>
      </w:r>
      <w:r w:rsidRPr="0013512D">
        <w:rPr>
          <w:rFonts w:ascii="Times New Roman" w:hAnsi="Times New Roman"/>
          <w:lang w:val="en-GB"/>
        </w:rPr>
        <w:t>in the dialogue relating to accountability, not necessarily using the route of reparations.</w:t>
      </w:r>
      <w:r w:rsidR="00F56FE6" w:rsidRPr="0013512D">
        <w:rPr>
          <w:rFonts w:ascii="Times New Roman" w:hAnsi="Times New Roman"/>
          <w:lang w:val="en-GB"/>
        </w:rPr>
        <w:t xml:space="preserve"> </w:t>
      </w:r>
      <w:r w:rsidR="00AF14E1" w:rsidRPr="0013512D">
        <w:rPr>
          <w:rFonts w:ascii="Times New Roman" w:hAnsi="Times New Roman"/>
          <w:lang w:val="en-GB"/>
        </w:rPr>
        <w:t xml:space="preserve">For example, </w:t>
      </w:r>
      <w:r w:rsidR="00F56FE6" w:rsidRPr="0013512D">
        <w:rPr>
          <w:rFonts w:ascii="Times New Roman" w:hAnsi="Times New Roman"/>
          <w:lang w:val="en-GB"/>
        </w:rPr>
        <w:t>South Africa</w:t>
      </w:r>
      <w:r w:rsidR="001C480C" w:rsidRPr="0013512D">
        <w:rPr>
          <w:rFonts w:ascii="Times New Roman" w:hAnsi="Times New Roman"/>
          <w:lang w:val="en-GB"/>
        </w:rPr>
        <w:t xml:space="preserve">’s </w:t>
      </w:r>
      <w:r w:rsidR="00083171" w:rsidRPr="0013512D">
        <w:rPr>
          <w:rFonts w:ascii="Times New Roman" w:hAnsi="Times New Roman"/>
          <w:lang w:val="en-GB"/>
        </w:rPr>
        <w:t>African National Congress</w:t>
      </w:r>
      <w:r w:rsidR="001C480C" w:rsidRPr="0013512D">
        <w:rPr>
          <w:rFonts w:ascii="Times New Roman" w:hAnsi="Times New Roman"/>
          <w:lang w:val="en-GB"/>
        </w:rPr>
        <w:t xml:space="preserve"> address</w:t>
      </w:r>
      <w:r w:rsidR="00291FEB" w:rsidRPr="0013512D">
        <w:rPr>
          <w:rFonts w:ascii="Times New Roman" w:hAnsi="Times New Roman"/>
          <w:lang w:val="en-GB"/>
        </w:rPr>
        <w:t>ed</w:t>
      </w:r>
      <w:r w:rsidR="001C480C" w:rsidRPr="0013512D">
        <w:rPr>
          <w:rFonts w:ascii="Times New Roman" w:hAnsi="Times New Roman"/>
          <w:lang w:val="en-GB"/>
        </w:rPr>
        <w:t xml:space="preserve"> the past through the National Reconciliation Act of 1995</w:t>
      </w:r>
      <w:r w:rsidR="001A37D5" w:rsidRPr="0013512D">
        <w:rPr>
          <w:rFonts w:ascii="Times New Roman" w:hAnsi="Times New Roman"/>
          <w:lang w:val="en-GB"/>
        </w:rPr>
        <w:t xml:space="preserve"> </w:t>
      </w:r>
      <w:r w:rsidR="005E5511" w:rsidRPr="0013512D">
        <w:rPr>
          <w:rFonts w:ascii="Times New Roman" w:hAnsi="Times New Roman"/>
          <w:lang w:val="en-GB"/>
        </w:rPr>
        <w:t>by offering</w:t>
      </w:r>
      <w:r w:rsidR="005556B6" w:rsidRPr="0013512D">
        <w:rPr>
          <w:rFonts w:ascii="Times New Roman" w:hAnsi="Times New Roman"/>
          <w:lang w:val="en-GB"/>
        </w:rPr>
        <w:t xml:space="preserve"> a platform for </w:t>
      </w:r>
      <w:r w:rsidR="00567C1E" w:rsidRPr="0013512D">
        <w:rPr>
          <w:rFonts w:ascii="Times New Roman" w:hAnsi="Times New Roman"/>
          <w:lang w:val="en-GB"/>
        </w:rPr>
        <w:t>individuals</w:t>
      </w:r>
      <w:r w:rsidR="005556B6" w:rsidRPr="0013512D">
        <w:rPr>
          <w:rFonts w:ascii="Times New Roman" w:hAnsi="Times New Roman"/>
          <w:lang w:val="en-GB"/>
        </w:rPr>
        <w:t xml:space="preserve"> to discuss t</w:t>
      </w:r>
      <w:r w:rsidR="00567C1E" w:rsidRPr="0013512D">
        <w:rPr>
          <w:rFonts w:ascii="Times New Roman" w:hAnsi="Times New Roman"/>
          <w:lang w:val="en-GB"/>
        </w:rPr>
        <w:t>he systemic and individual wrong</w:t>
      </w:r>
      <w:r w:rsidR="005556B6" w:rsidRPr="0013512D">
        <w:rPr>
          <w:rFonts w:ascii="Times New Roman" w:hAnsi="Times New Roman"/>
          <w:lang w:val="en-GB"/>
        </w:rPr>
        <w:t>s committed under the apartheid.</w:t>
      </w:r>
      <w:r w:rsidR="0047323E" w:rsidRPr="0013512D">
        <w:rPr>
          <w:rStyle w:val="FootnoteReference"/>
          <w:rFonts w:ascii="Times New Roman" w:hAnsi="Times New Roman"/>
          <w:lang w:val="en-GB"/>
        </w:rPr>
        <w:footnoteReference w:id="124"/>
      </w:r>
      <w:r w:rsidR="001C480C" w:rsidRPr="0013512D">
        <w:rPr>
          <w:rFonts w:ascii="Times New Roman" w:hAnsi="Times New Roman"/>
          <w:lang w:val="en-GB"/>
        </w:rPr>
        <w:t xml:space="preserve"> </w:t>
      </w:r>
      <w:r w:rsidR="00711706" w:rsidRPr="0013512D">
        <w:rPr>
          <w:rFonts w:ascii="Times New Roman" w:hAnsi="Times New Roman"/>
          <w:lang w:val="en-GB"/>
        </w:rPr>
        <w:t>The Truth and Reconciliation Commission (TRC) set up pursuant to the National Reconciliation Act of 1995 created space for truth to come out.</w:t>
      </w:r>
      <w:r w:rsidR="00711706" w:rsidRPr="0013512D">
        <w:rPr>
          <w:rStyle w:val="FootnoteReference"/>
          <w:rFonts w:ascii="Times New Roman" w:hAnsi="Times New Roman"/>
          <w:lang w:val="en-GB"/>
        </w:rPr>
        <w:footnoteReference w:id="125"/>
      </w:r>
      <w:r w:rsidR="00711706" w:rsidRPr="0013512D">
        <w:rPr>
          <w:rFonts w:ascii="Times New Roman" w:hAnsi="Times New Roman"/>
          <w:lang w:val="en-GB"/>
        </w:rPr>
        <w:t xml:space="preserve"> </w:t>
      </w:r>
      <w:r w:rsidR="002B7ACD" w:rsidRPr="0013512D">
        <w:rPr>
          <w:rFonts w:ascii="Times New Roman" w:hAnsi="Times New Roman"/>
          <w:lang w:val="en-GB"/>
        </w:rPr>
        <w:t xml:space="preserve">During this </w:t>
      </w:r>
      <w:r w:rsidR="0009713C" w:rsidRPr="0013512D">
        <w:rPr>
          <w:rFonts w:ascii="Times New Roman" w:hAnsi="Times New Roman"/>
          <w:lang w:val="en-GB"/>
        </w:rPr>
        <w:t xml:space="preserve">testimony, which was television </w:t>
      </w:r>
      <w:r w:rsidR="002B7ACD" w:rsidRPr="0013512D">
        <w:rPr>
          <w:rFonts w:ascii="Times New Roman" w:hAnsi="Times New Roman"/>
          <w:lang w:val="en-GB"/>
        </w:rPr>
        <w:t>broadcast</w:t>
      </w:r>
      <w:r w:rsidR="0009713C" w:rsidRPr="0013512D">
        <w:rPr>
          <w:rFonts w:ascii="Times New Roman" w:hAnsi="Times New Roman"/>
          <w:lang w:val="en-GB"/>
        </w:rPr>
        <w:t>ed countrywide</w:t>
      </w:r>
      <w:r w:rsidR="002B7ACD" w:rsidRPr="0013512D">
        <w:rPr>
          <w:rFonts w:ascii="Times New Roman" w:hAnsi="Times New Roman"/>
          <w:lang w:val="en-GB"/>
        </w:rPr>
        <w:t>, victims engaged in truth telling, whereas perpetrators asked for amnesty and showed contrition.</w:t>
      </w:r>
      <w:r w:rsidR="002B7ACD" w:rsidRPr="0013512D">
        <w:rPr>
          <w:rStyle w:val="FootnoteReference"/>
          <w:rFonts w:ascii="Times New Roman" w:hAnsi="Times New Roman"/>
          <w:lang w:val="en-GB"/>
        </w:rPr>
        <w:footnoteReference w:id="126"/>
      </w:r>
      <w:r w:rsidR="002B7ACD" w:rsidRPr="0013512D">
        <w:rPr>
          <w:rFonts w:ascii="Times New Roman" w:hAnsi="Times New Roman"/>
          <w:lang w:val="en-GB"/>
        </w:rPr>
        <w:t xml:space="preserve"> </w:t>
      </w:r>
      <w:r w:rsidR="005E5511" w:rsidRPr="0013512D">
        <w:rPr>
          <w:rFonts w:ascii="Times New Roman" w:hAnsi="Times New Roman"/>
          <w:lang w:val="en-GB"/>
        </w:rPr>
        <w:t>The full disclosure of violent crimes by perpetrators</w:t>
      </w:r>
      <w:r w:rsidR="001C480C" w:rsidRPr="0013512D">
        <w:rPr>
          <w:rFonts w:ascii="Times New Roman" w:hAnsi="Times New Roman"/>
          <w:lang w:val="en-GB"/>
        </w:rPr>
        <w:t xml:space="preserve"> </w:t>
      </w:r>
      <w:r w:rsidR="001D3983" w:rsidRPr="0013512D">
        <w:rPr>
          <w:rFonts w:ascii="Times New Roman" w:hAnsi="Times New Roman"/>
          <w:lang w:val="en-GB"/>
        </w:rPr>
        <w:t xml:space="preserve">in conjunction with political changes, such as </w:t>
      </w:r>
      <w:r w:rsidR="00453D55" w:rsidRPr="0013512D">
        <w:rPr>
          <w:rFonts w:ascii="Times New Roman" w:hAnsi="Times New Roman"/>
          <w:lang w:val="en-GB"/>
        </w:rPr>
        <w:t>granting each individual the power to vote</w:t>
      </w:r>
      <w:r w:rsidR="001C480C" w:rsidRPr="0013512D">
        <w:rPr>
          <w:rFonts w:ascii="Times New Roman" w:hAnsi="Times New Roman"/>
          <w:lang w:val="en-GB"/>
        </w:rPr>
        <w:t xml:space="preserve">, </w:t>
      </w:r>
      <w:r w:rsidR="00453D55" w:rsidRPr="0013512D">
        <w:rPr>
          <w:rFonts w:ascii="Times New Roman" w:hAnsi="Times New Roman"/>
          <w:lang w:val="en-GB"/>
        </w:rPr>
        <w:t xml:space="preserve">allowed for a </w:t>
      </w:r>
      <w:r w:rsidR="001A37D5" w:rsidRPr="0013512D">
        <w:rPr>
          <w:rFonts w:ascii="Times New Roman" w:hAnsi="Times New Roman"/>
          <w:lang w:val="en-GB"/>
        </w:rPr>
        <w:t>transition</w:t>
      </w:r>
      <w:r w:rsidR="00453D55" w:rsidRPr="0013512D">
        <w:rPr>
          <w:rFonts w:ascii="Times New Roman" w:hAnsi="Times New Roman"/>
          <w:lang w:val="en-GB"/>
        </w:rPr>
        <w:t xml:space="preserve"> of democracy</w:t>
      </w:r>
      <w:r w:rsidR="004512D6" w:rsidRPr="0013512D">
        <w:rPr>
          <w:rFonts w:ascii="Times New Roman" w:hAnsi="Times New Roman"/>
          <w:lang w:val="en-GB"/>
        </w:rPr>
        <w:t>.</w:t>
      </w:r>
      <w:r w:rsidR="002B7ACD" w:rsidRPr="0013512D">
        <w:rPr>
          <w:rStyle w:val="FootnoteReference"/>
          <w:rFonts w:ascii="Times New Roman" w:hAnsi="Times New Roman"/>
          <w:lang w:val="en-GB"/>
        </w:rPr>
        <w:footnoteReference w:id="127"/>
      </w:r>
      <w:r w:rsidR="002B7ACD" w:rsidRPr="0013512D">
        <w:rPr>
          <w:rFonts w:ascii="Times New Roman" w:hAnsi="Times New Roman"/>
          <w:lang w:val="en-GB"/>
        </w:rPr>
        <w:t xml:space="preserve"> </w:t>
      </w:r>
    </w:p>
    <w:p w14:paraId="23840185" w14:textId="77777777" w:rsidR="002E45EC" w:rsidRPr="0013512D" w:rsidRDefault="002E45EC" w:rsidP="005C247F">
      <w:pPr>
        <w:pStyle w:val="ListParagraph"/>
        <w:spacing w:line="360" w:lineRule="auto"/>
        <w:ind w:left="0"/>
        <w:rPr>
          <w:rFonts w:ascii="Times New Roman" w:hAnsi="Times New Roman"/>
          <w:lang w:val="en-GB"/>
        </w:rPr>
      </w:pPr>
    </w:p>
    <w:p w14:paraId="48E3ABE2" w14:textId="77777777" w:rsidR="002D1E9A" w:rsidRPr="0013512D" w:rsidRDefault="00FF4964" w:rsidP="005C247F">
      <w:pPr>
        <w:pStyle w:val="ListParagraph"/>
        <w:spacing w:line="360" w:lineRule="auto"/>
        <w:ind w:left="0"/>
        <w:rPr>
          <w:rFonts w:ascii="Times New Roman" w:hAnsi="Times New Roman"/>
          <w:lang w:val="en-GB"/>
        </w:rPr>
      </w:pPr>
      <w:r w:rsidRPr="0013512D">
        <w:rPr>
          <w:rFonts w:ascii="Times New Roman" w:hAnsi="Times New Roman"/>
          <w:lang w:val="en-GB"/>
        </w:rPr>
        <w:lastRenderedPageBreak/>
        <w:t xml:space="preserve">Admittedly, the link between international criminal justice and art is less pronounced if </w:t>
      </w:r>
      <w:r w:rsidR="002B4086" w:rsidRPr="0013512D">
        <w:rPr>
          <w:rFonts w:ascii="Times New Roman" w:hAnsi="Times New Roman"/>
          <w:lang w:val="en-GB"/>
        </w:rPr>
        <w:t xml:space="preserve">the </w:t>
      </w:r>
      <w:r w:rsidRPr="0013512D">
        <w:rPr>
          <w:rFonts w:ascii="Times New Roman" w:hAnsi="Times New Roman"/>
          <w:lang w:val="en-GB"/>
        </w:rPr>
        <w:t xml:space="preserve">institutions </w:t>
      </w:r>
      <w:r w:rsidR="0090194A" w:rsidRPr="0013512D">
        <w:rPr>
          <w:rFonts w:ascii="Times New Roman" w:hAnsi="Times New Roman"/>
          <w:lang w:val="en-GB"/>
        </w:rPr>
        <w:t>other</w:t>
      </w:r>
      <w:r w:rsidRPr="0013512D">
        <w:rPr>
          <w:rFonts w:ascii="Times New Roman" w:hAnsi="Times New Roman"/>
          <w:lang w:val="en-GB"/>
        </w:rPr>
        <w:t xml:space="preserve"> than courts are engaged in accountability and reconciliat</w:t>
      </w:r>
      <w:r w:rsidR="002B4086" w:rsidRPr="0013512D">
        <w:rPr>
          <w:rFonts w:ascii="Times New Roman" w:hAnsi="Times New Roman"/>
          <w:lang w:val="en-GB"/>
        </w:rPr>
        <w:t>ion</w:t>
      </w:r>
      <w:r w:rsidRPr="0013512D">
        <w:rPr>
          <w:rFonts w:ascii="Times New Roman" w:hAnsi="Times New Roman"/>
          <w:lang w:val="en-GB"/>
        </w:rPr>
        <w:t xml:space="preserve"> efforts. </w:t>
      </w:r>
      <w:r w:rsidR="006D795C" w:rsidRPr="0013512D">
        <w:rPr>
          <w:rFonts w:ascii="Times New Roman" w:hAnsi="Times New Roman"/>
          <w:lang w:val="en-GB"/>
        </w:rPr>
        <w:t>It appears nonetheless possible</w:t>
      </w:r>
      <w:r w:rsidR="002B4086" w:rsidRPr="0013512D">
        <w:rPr>
          <w:rFonts w:ascii="Times New Roman" w:hAnsi="Times New Roman"/>
          <w:lang w:val="en-GB"/>
        </w:rPr>
        <w:t xml:space="preserve"> to see the connection</w:t>
      </w:r>
      <w:r w:rsidR="006D795C" w:rsidRPr="0013512D">
        <w:rPr>
          <w:rFonts w:ascii="Times New Roman" w:hAnsi="Times New Roman"/>
          <w:lang w:val="en-GB"/>
        </w:rPr>
        <w:t xml:space="preserve"> if</w:t>
      </w:r>
      <w:r w:rsidRPr="0013512D">
        <w:rPr>
          <w:rFonts w:ascii="Times New Roman" w:hAnsi="Times New Roman"/>
          <w:lang w:val="en-GB"/>
        </w:rPr>
        <w:t xml:space="preserve"> one focuses on the core value of the project </w:t>
      </w:r>
      <w:r w:rsidR="002B4086" w:rsidRPr="0013512D">
        <w:rPr>
          <w:rFonts w:ascii="Times New Roman" w:hAnsi="Times New Roman"/>
          <w:lang w:val="en-GB"/>
        </w:rPr>
        <w:t xml:space="preserve">– fight against impunity - </w:t>
      </w:r>
      <w:r w:rsidRPr="0013512D">
        <w:rPr>
          <w:rFonts w:ascii="Times New Roman" w:hAnsi="Times New Roman"/>
          <w:lang w:val="en-GB"/>
        </w:rPr>
        <w:t>and adopts a broader vision of justice</w:t>
      </w:r>
      <w:r w:rsidR="006D795C" w:rsidRPr="0013512D">
        <w:rPr>
          <w:rFonts w:ascii="Times New Roman" w:hAnsi="Times New Roman"/>
          <w:lang w:val="en-GB"/>
        </w:rPr>
        <w:t xml:space="preserve">. </w:t>
      </w:r>
      <w:r w:rsidR="002D1E9A" w:rsidRPr="0013512D">
        <w:rPr>
          <w:rFonts w:ascii="Times New Roman" w:hAnsi="Times New Roman"/>
          <w:lang w:val="en-GB"/>
        </w:rPr>
        <w:t xml:space="preserve">The example of the TRC exemplifies this point. </w:t>
      </w:r>
    </w:p>
    <w:p w14:paraId="4D14C716" w14:textId="77777777" w:rsidR="002D1E9A" w:rsidRPr="0013512D" w:rsidRDefault="002D1E9A" w:rsidP="005C247F">
      <w:pPr>
        <w:pStyle w:val="ListParagraph"/>
        <w:spacing w:line="360" w:lineRule="auto"/>
        <w:ind w:left="0"/>
        <w:rPr>
          <w:rFonts w:ascii="Times New Roman" w:hAnsi="Times New Roman"/>
          <w:lang w:val="en-GB"/>
        </w:rPr>
      </w:pPr>
    </w:p>
    <w:p w14:paraId="22B37295" w14:textId="1F4CAE23" w:rsidR="00CC5E8C" w:rsidRPr="0013512D" w:rsidRDefault="002D1E9A" w:rsidP="005C247F">
      <w:pPr>
        <w:pStyle w:val="ListParagraph"/>
        <w:spacing w:line="360" w:lineRule="auto"/>
        <w:ind w:left="0"/>
        <w:rPr>
          <w:rFonts w:ascii="Times New Roman" w:hAnsi="Times New Roman"/>
          <w:lang w:val="en-GB"/>
        </w:rPr>
      </w:pPr>
      <w:r w:rsidRPr="0013512D">
        <w:rPr>
          <w:rFonts w:ascii="Times New Roman" w:hAnsi="Times New Roman"/>
          <w:lang w:val="en-GB"/>
        </w:rPr>
        <w:t>V</w:t>
      </w:r>
      <w:r w:rsidR="00E56EF3" w:rsidRPr="0013512D">
        <w:rPr>
          <w:rFonts w:ascii="Times New Roman" w:hAnsi="Times New Roman"/>
          <w:lang w:val="en-GB"/>
        </w:rPr>
        <w:t>ictims’ testimonies</w:t>
      </w:r>
      <w:r w:rsidR="0090194A" w:rsidRPr="0013512D">
        <w:rPr>
          <w:rFonts w:ascii="Times New Roman" w:hAnsi="Times New Roman"/>
          <w:lang w:val="en-GB"/>
        </w:rPr>
        <w:t xml:space="preserve"> in the TRC</w:t>
      </w:r>
      <w:r w:rsidR="00E56EF3" w:rsidRPr="0013512D">
        <w:rPr>
          <w:rFonts w:ascii="Times New Roman" w:hAnsi="Times New Roman"/>
          <w:lang w:val="en-GB"/>
        </w:rPr>
        <w:t xml:space="preserve"> were not always neatly fitting with the goal of reconciliation. The decision to grant amnesties to perpetrators of apartheid in exchange for truth was a way to avoid political impasse but did not fully address the grievances of those affected by crimes.</w:t>
      </w:r>
      <w:r w:rsidR="00E56EF3" w:rsidRPr="0013512D">
        <w:rPr>
          <w:rStyle w:val="FootnoteReference"/>
          <w:rFonts w:ascii="Times New Roman" w:hAnsi="Times New Roman"/>
          <w:lang w:val="en-GB"/>
        </w:rPr>
        <w:footnoteReference w:id="128"/>
      </w:r>
      <w:r w:rsidR="00E56EF3" w:rsidRPr="0013512D">
        <w:rPr>
          <w:rFonts w:ascii="Times New Roman" w:hAnsi="Times New Roman"/>
          <w:lang w:val="en-GB"/>
        </w:rPr>
        <w:t xml:space="preserve"> Art created around the work of the TRC allowed additional space for people to deal with the consequences of apartheid but also the remnants of the TRC.</w:t>
      </w:r>
      <w:r w:rsidR="00E56EF3" w:rsidRPr="0013512D">
        <w:rPr>
          <w:rStyle w:val="FootnoteReference"/>
          <w:rFonts w:ascii="Times New Roman" w:hAnsi="Times New Roman"/>
          <w:lang w:val="en-GB"/>
        </w:rPr>
        <w:footnoteReference w:id="129"/>
      </w:r>
      <w:r w:rsidR="00002749" w:rsidRPr="0013512D">
        <w:rPr>
          <w:rFonts w:ascii="Times New Roman" w:hAnsi="Times New Roman"/>
          <w:lang w:val="en-GB"/>
        </w:rPr>
        <w:t xml:space="preserve"> Catherine Cole notes the rich tradition of journalism and community based art in South Africa. She observes that as soon as the TRC began its work in 1996, many journalists, but also artists working in different genres, rose up to respond to its work in the form of images, stories, themes and insights. Artists and journalists became interlocutors between the TRC and the society, moderating the discussion.</w:t>
      </w:r>
      <w:r w:rsidR="00002749" w:rsidRPr="0013512D">
        <w:rPr>
          <w:rStyle w:val="FootnoteReference"/>
          <w:rFonts w:ascii="Times New Roman" w:hAnsi="Times New Roman"/>
          <w:lang w:val="en-GB"/>
        </w:rPr>
        <w:footnoteReference w:id="130"/>
      </w:r>
    </w:p>
    <w:p w14:paraId="0384BBC7" w14:textId="77777777" w:rsidR="00F729DB" w:rsidRPr="0013512D" w:rsidRDefault="00F729DB" w:rsidP="005C247F">
      <w:pPr>
        <w:pStyle w:val="ListParagraph"/>
        <w:spacing w:line="360" w:lineRule="auto"/>
        <w:ind w:left="0"/>
        <w:rPr>
          <w:rFonts w:ascii="Times New Roman" w:hAnsi="Times New Roman"/>
          <w:color w:val="FF0000"/>
          <w:lang w:val="en-GB"/>
        </w:rPr>
      </w:pPr>
    </w:p>
    <w:p w14:paraId="28A0FF72" w14:textId="2A9F694B" w:rsidR="00383E83" w:rsidRPr="0013512D" w:rsidRDefault="00383E83" w:rsidP="005C247F">
      <w:pPr>
        <w:pStyle w:val="ListParagraph"/>
        <w:spacing w:line="360" w:lineRule="auto"/>
        <w:ind w:left="0"/>
        <w:rPr>
          <w:rFonts w:ascii="Times New Roman" w:hAnsi="Times New Roman"/>
          <w:color w:val="FF0000"/>
          <w:lang w:val="en-GB"/>
        </w:rPr>
      </w:pPr>
      <w:r w:rsidRPr="0013512D">
        <w:rPr>
          <w:rFonts w:ascii="Times New Roman" w:hAnsi="Times New Roman"/>
          <w:lang w:val="en-GB"/>
        </w:rPr>
        <w:t xml:space="preserve">The benefits of </w:t>
      </w:r>
      <w:r w:rsidR="004512D6" w:rsidRPr="0013512D">
        <w:rPr>
          <w:rFonts w:ascii="Times New Roman" w:hAnsi="Times New Roman"/>
          <w:lang w:val="en-GB"/>
        </w:rPr>
        <w:t>involving victims in the dialog relating to accountability</w:t>
      </w:r>
      <w:r w:rsidRPr="0013512D">
        <w:rPr>
          <w:rFonts w:ascii="Times New Roman" w:hAnsi="Times New Roman"/>
          <w:lang w:val="en-GB"/>
        </w:rPr>
        <w:t xml:space="preserve"> are manifold</w:t>
      </w:r>
      <w:r w:rsidR="00AE561C" w:rsidRPr="0013512D">
        <w:rPr>
          <w:rFonts w:ascii="Times New Roman" w:hAnsi="Times New Roman"/>
          <w:lang w:val="en-GB"/>
        </w:rPr>
        <w:t>.</w:t>
      </w:r>
      <w:r w:rsidR="00AE561C" w:rsidRPr="0013512D">
        <w:rPr>
          <w:rFonts w:ascii="Times New Roman" w:hAnsi="Times New Roman"/>
          <w:color w:val="FF0000"/>
          <w:lang w:val="en-GB"/>
        </w:rPr>
        <w:t xml:space="preserve"> </w:t>
      </w:r>
      <w:r w:rsidR="00AE561C" w:rsidRPr="0013512D">
        <w:rPr>
          <w:rFonts w:ascii="Times New Roman" w:hAnsi="Times New Roman"/>
          <w:lang w:val="en-GB"/>
        </w:rPr>
        <w:t xml:space="preserve">Art, not limited to verbal structures, serves as a refuge from the intense emotions associated with the aftermath of atrocities and allows the makers of art to express how they experience </w:t>
      </w:r>
      <w:r w:rsidR="00E6291F" w:rsidRPr="0013512D">
        <w:rPr>
          <w:rFonts w:ascii="Times New Roman" w:hAnsi="Times New Roman"/>
          <w:lang w:val="en-GB"/>
        </w:rPr>
        <w:t>such</w:t>
      </w:r>
      <w:r w:rsidR="00AE561C" w:rsidRPr="0013512D">
        <w:rPr>
          <w:rFonts w:ascii="Times New Roman" w:hAnsi="Times New Roman"/>
          <w:lang w:val="en-GB"/>
        </w:rPr>
        <w:t xml:space="preserve"> emotions.</w:t>
      </w:r>
      <w:r w:rsidR="00442CE2" w:rsidRPr="0013512D">
        <w:rPr>
          <w:rStyle w:val="FootnoteReference"/>
          <w:rFonts w:ascii="Times New Roman" w:hAnsi="Times New Roman"/>
          <w:lang w:val="en-GB"/>
        </w:rPr>
        <w:footnoteReference w:id="131"/>
      </w:r>
      <w:r w:rsidR="00AE561C" w:rsidRPr="0013512D">
        <w:rPr>
          <w:rFonts w:ascii="Times New Roman" w:hAnsi="Times New Roman"/>
          <w:color w:val="FF0000"/>
          <w:lang w:val="en-GB"/>
        </w:rPr>
        <w:t xml:space="preserve"> </w:t>
      </w:r>
      <w:r w:rsidR="00AE561C" w:rsidRPr="0013512D">
        <w:rPr>
          <w:rFonts w:ascii="Times New Roman" w:hAnsi="Times New Roman"/>
          <w:lang w:val="en-GB"/>
        </w:rPr>
        <w:t>As one gives form to their experiences psychological and social repair is made possible.</w:t>
      </w:r>
      <w:r w:rsidR="006B23FB" w:rsidRPr="0013512D">
        <w:rPr>
          <w:rStyle w:val="FootnoteReference"/>
          <w:rFonts w:ascii="Times New Roman" w:hAnsi="Times New Roman"/>
          <w:lang w:val="en-GB"/>
        </w:rPr>
        <w:footnoteReference w:id="132"/>
      </w:r>
      <w:r w:rsidR="006B23FB" w:rsidRPr="0013512D">
        <w:rPr>
          <w:rFonts w:ascii="Times New Roman" w:hAnsi="Times New Roman"/>
          <w:lang w:val="en-GB"/>
        </w:rPr>
        <w:t xml:space="preserve"> </w:t>
      </w:r>
      <w:r w:rsidR="00AE561C" w:rsidRPr="0013512D">
        <w:rPr>
          <w:rFonts w:ascii="Times New Roman" w:hAnsi="Times New Roman"/>
          <w:lang w:val="en-GB"/>
        </w:rPr>
        <w:t>Through the means of art, individuals are able to represent an experience or e</w:t>
      </w:r>
      <w:r w:rsidR="00790BDD" w:rsidRPr="0013512D">
        <w:rPr>
          <w:rFonts w:ascii="Times New Roman" w:hAnsi="Times New Roman"/>
          <w:lang w:val="en-GB"/>
        </w:rPr>
        <w:t xml:space="preserve">motion that has been previously </w:t>
      </w:r>
      <w:r w:rsidR="00AE561C" w:rsidRPr="0013512D">
        <w:rPr>
          <w:rFonts w:ascii="Times New Roman" w:hAnsi="Times New Roman"/>
          <w:lang w:val="en-GB"/>
        </w:rPr>
        <w:t>unformulated</w:t>
      </w:r>
      <w:r w:rsidR="00577CB6" w:rsidRPr="0013512D">
        <w:rPr>
          <w:rFonts w:ascii="Times New Roman" w:hAnsi="Times New Roman"/>
          <w:lang w:val="en-GB"/>
        </w:rPr>
        <w:t>.</w:t>
      </w:r>
      <w:r w:rsidR="006B23FB" w:rsidRPr="0013512D">
        <w:rPr>
          <w:rStyle w:val="FootnoteReference"/>
          <w:rFonts w:ascii="Times New Roman" w:hAnsi="Times New Roman"/>
          <w:lang w:val="en-GB"/>
        </w:rPr>
        <w:footnoteReference w:id="133"/>
      </w:r>
      <w:r w:rsidR="00AE561C" w:rsidRPr="0013512D">
        <w:rPr>
          <w:rFonts w:ascii="Times New Roman" w:hAnsi="Times New Roman"/>
          <w:lang w:val="en-GB"/>
        </w:rPr>
        <w:t xml:space="preserve"> </w:t>
      </w:r>
      <w:r w:rsidR="00577CB6" w:rsidRPr="0013512D">
        <w:rPr>
          <w:rFonts w:ascii="Times New Roman" w:hAnsi="Times New Roman"/>
          <w:lang w:val="en-GB"/>
        </w:rPr>
        <w:t xml:space="preserve">One example of a multifaceted experience depicted through art is </w:t>
      </w:r>
      <w:r w:rsidR="00224881" w:rsidRPr="0013512D">
        <w:rPr>
          <w:rFonts w:ascii="Times New Roman" w:hAnsi="Times New Roman"/>
          <w:lang w:val="en-GB"/>
        </w:rPr>
        <w:t>through the series of paintings by</w:t>
      </w:r>
      <w:r w:rsidR="00577CB6" w:rsidRPr="0013512D">
        <w:rPr>
          <w:rFonts w:ascii="Times New Roman" w:hAnsi="Times New Roman"/>
          <w:lang w:val="en-GB"/>
        </w:rPr>
        <w:t xml:space="preserve"> Georgette</w:t>
      </w:r>
      <w:r w:rsidR="00224881" w:rsidRPr="0013512D">
        <w:rPr>
          <w:rFonts w:ascii="Times New Roman" w:hAnsi="Times New Roman"/>
          <w:lang w:val="en-GB"/>
        </w:rPr>
        <w:t xml:space="preserve">. Her work </w:t>
      </w:r>
      <w:r w:rsidR="007C7196" w:rsidRPr="0013512D">
        <w:rPr>
          <w:rFonts w:ascii="Times New Roman" w:hAnsi="Times New Roman"/>
          <w:lang w:val="en-GB"/>
        </w:rPr>
        <w:t>portrays</w:t>
      </w:r>
      <w:r w:rsidR="00224881" w:rsidRPr="0013512D">
        <w:rPr>
          <w:rFonts w:ascii="Times New Roman" w:hAnsi="Times New Roman"/>
          <w:lang w:val="en-GB"/>
        </w:rPr>
        <w:t xml:space="preserve"> scenes of the </w:t>
      </w:r>
      <w:r w:rsidR="00DF3DEF" w:rsidRPr="0013512D">
        <w:rPr>
          <w:rFonts w:ascii="Times New Roman" w:hAnsi="Times New Roman"/>
          <w:lang w:val="en-GB"/>
        </w:rPr>
        <w:t>TRC</w:t>
      </w:r>
      <w:r w:rsidR="00005F3F" w:rsidRPr="0013512D">
        <w:rPr>
          <w:rFonts w:ascii="Times New Roman" w:hAnsi="Times New Roman"/>
          <w:lang w:val="en-GB"/>
        </w:rPr>
        <w:t xml:space="preserve"> and the ending of the Apartheid</w:t>
      </w:r>
      <w:r w:rsidR="00577CB6" w:rsidRPr="0013512D">
        <w:rPr>
          <w:rFonts w:ascii="Times New Roman" w:hAnsi="Times New Roman"/>
          <w:lang w:val="en-GB"/>
        </w:rPr>
        <w:t xml:space="preserve">. </w:t>
      </w:r>
      <w:r w:rsidR="00224881" w:rsidRPr="0013512D">
        <w:rPr>
          <w:rFonts w:ascii="Times New Roman" w:hAnsi="Times New Roman"/>
          <w:lang w:val="en-GB"/>
        </w:rPr>
        <w:t>One piece</w:t>
      </w:r>
      <w:r w:rsidR="00C90578" w:rsidRPr="0013512D">
        <w:rPr>
          <w:rFonts w:ascii="Times New Roman" w:hAnsi="Times New Roman"/>
          <w:lang w:val="en-GB"/>
        </w:rPr>
        <w:t xml:space="preserve"> is an oil painting</w:t>
      </w:r>
      <w:r w:rsidR="00224881" w:rsidRPr="0013512D">
        <w:rPr>
          <w:rFonts w:ascii="Times New Roman" w:hAnsi="Times New Roman"/>
          <w:lang w:val="en-GB"/>
        </w:rPr>
        <w:t xml:space="preserve"> titled </w:t>
      </w:r>
      <w:r w:rsidR="00577CB6" w:rsidRPr="0013512D">
        <w:rPr>
          <w:rFonts w:ascii="Times New Roman" w:hAnsi="Times New Roman"/>
          <w:i/>
          <w:lang w:val="en-GB"/>
        </w:rPr>
        <w:t>Should I Testify,</w:t>
      </w:r>
      <w:r w:rsidR="00C90578" w:rsidRPr="0013512D">
        <w:rPr>
          <w:rFonts w:ascii="Times New Roman" w:hAnsi="Times New Roman"/>
          <w:i/>
          <w:lang w:val="en-GB"/>
        </w:rPr>
        <w:t xml:space="preserve"> </w:t>
      </w:r>
      <w:r w:rsidR="00C90578" w:rsidRPr="0013512D">
        <w:rPr>
          <w:rFonts w:ascii="Times New Roman" w:hAnsi="Times New Roman"/>
          <w:lang w:val="en-GB"/>
        </w:rPr>
        <w:t>which</w:t>
      </w:r>
      <w:r w:rsidR="00577CB6" w:rsidRPr="0013512D">
        <w:rPr>
          <w:rFonts w:ascii="Times New Roman" w:hAnsi="Times New Roman"/>
          <w:i/>
          <w:lang w:val="en-GB"/>
        </w:rPr>
        <w:t xml:space="preserve"> </w:t>
      </w:r>
      <w:r w:rsidR="00224881" w:rsidRPr="0013512D">
        <w:rPr>
          <w:rFonts w:ascii="Times New Roman" w:hAnsi="Times New Roman"/>
          <w:lang w:val="en-GB"/>
        </w:rPr>
        <w:t>showcases three women sitting side</w:t>
      </w:r>
      <w:r w:rsidR="00E6291F" w:rsidRPr="0013512D">
        <w:rPr>
          <w:rFonts w:ascii="Times New Roman" w:hAnsi="Times New Roman"/>
          <w:lang w:val="en-GB"/>
        </w:rPr>
        <w:t>-by-side</w:t>
      </w:r>
      <w:r w:rsidR="00224881" w:rsidRPr="0013512D">
        <w:rPr>
          <w:rFonts w:ascii="Times New Roman" w:hAnsi="Times New Roman"/>
          <w:lang w:val="en-GB"/>
        </w:rPr>
        <w:t xml:space="preserve">. Emotionally gripping, this piece is thought to represent the </w:t>
      </w:r>
      <w:r w:rsidR="00C90578" w:rsidRPr="0013512D">
        <w:rPr>
          <w:rFonts w:ascii="Times New Roman" w:hAnsi="Times New Roman"/>
          <w:lang w:val="en-GB"/>
        </w:rPr>
        <w:t>s</w:t>
      </w:r>
      <w:r w:rsidR="00224881" w:rsidRPr="0013512D">
        <w:rPr>
          <w:rFonts w:ascii="Times New Roman" w:hAnsi="Times New Roman"/>
          <w:lang w:val="en-GB"/>
        </w:rPr>
        <w:t xml:space="preserve">pecial </w:t>
      </w:r>
      <w:r w:rsidR="00C90578" w:rsidRPr="0013512D">
        <w:rPr>
          <w:rFonts w:ascii="Times New Roman" w:hAnsi="Times New Roman"/>
          <w:lang w:val="en-GB"/>
        </w:rPr>
        <w:t>w</w:t>
      </w:r>
      <w:r w:rsidR="00224881" w:rsidRPr="0013512D">
        <w:rPr>
          <w:rFonts w:ascii="Times New Roman" w:hAnsi="Times New Roman"/>
          <w:lang w:val="en-GB"/>
        </w:rPr>
        <w:t>o</w:t>
      </w:r>
      <w:r w:rsidR="00005F3F" w:rsidRPr="0013512D">
        <w:rPr>
          <w:rFonts w:ascii="Times New Roman" w:hAnsi="Times New Roman"/>
          <w:lang w:val="en-GB"/>
        </w:rPr>
        <w:t xml:space="preserve">men’s </w:t>
      </w:r>
      <w:r w:rsidR="00C90578" w:rsidRPr="0013512D">
        <w:rPr>
          <w:rFonts w:ascii="Times New Roman" w:hAnsi="Times New Roman"/>
          <w:lang w:val="en-GB"/>
        </w:rPr>
        <w:t>h</w:t>
      </w:r>
      <w:r w:rsidR="00005F3F" w:rsidRPr="0013512D">
        <w:rPr>
          <w:rFonts w:ascii="Times New Roman" w:hAnsi="Times New Roman"/>
          <w:lang w:val="en-GB"/>
        </w:rPr>
        <w:t>earings held</w:t>
      </w:r>
      <w:r w:rsidR="00C90578" w:rsidRPr="0013512D">
        <w:rPr>
          <w:rFonts w:ascii="Times New Roman" w:hAnsi="Times New Roman"/>
          <w:lang w:val="en-GB"/>
        </w:rPr>
        <w:t xml:space="preserve"> by the TRC</w:t>
      </w:r>
      <w:r w:rsidR="00005F3F" w:rsidRPr="0013512D">
        <w:rPr>
          <w:rFonts w:ascii="Times New Roman" w:hAnsi="Times New Roman"/>
          <w:lang w:val="en-GB"/>
        </w:rPr>
        <w:t>.</w:t>
      </w:r>
      <w:r w:rsidR="00005F3F" w:rsidRPr="0013512D">
        <w:rPr>
          <w:rStyle w:val="FootnoteReference"/>
          <w:rFonts w:ascii="Times New Roman" w:hAnsi="Times New Roman"/>
          <w:lang w:val="en-GB"/>
        </w:rPr>
        <w:footnoteReference w:id="134"/>
      </w:r>
      <w:r w:rsidR="00005F3F" w:rsidRPr="0013512D">
        <w:rPr>
          <w:rFonts w:ascii="Times New Roman" w:hAnsi="Times New Roman"/>
          <w:lang w:val="en-GB"/>
        </w:rPr>
        <w:t xml:space="preserve"> </w:t>
      </w:r>
      <w:r w:rsidR="00224881" w:rsidRPr="0013512D">
        <w:rPr>
          <w:rFonts w:ascii="Times New Roman" w:hAnsi="Times New Roman"/>
          <w:lang w:val="en-GB"/>
        </w:rPr>
        <w:t xml:space="preserve">Troubled and discontented faces of the </w:t>
      </w:r>
      <w:r w:rsidR="00224881" w:rsidRPr="0013512D">
        <w:rPr>
          <w:rFonts w:ascii="Times New Roman" w:hAnsi="Times New Roman"/>
          <w:lang w:val="en-GB"/>
        </w:rPr>
        <w:lastRenderedPageBreak/>
        <w:t xml:space="preserve">women convey the difficult position of </w:t>
      </w:r>
      <w:r w:rsidR="00005F3F" w:rsidRPr="0013512D">
        <w:rPr>
          <w:rFonts w:ascii="Times New Roman" w:hAnsi="Times New Roman"/>
          <w:lang w:val="en-GB"/>
        </w:rPr>
        <w:t>deciding whether or not to testify</w:t>
      </w:r>
      <w:r w:rsidR="00337542" w:rsidRPr="0013512D">
        <w:rPr>
          <w:rFonts w:ascii="Times New Roman" w:hAnsi="Times New Roman"/>
          <w:lang w:val="en-GB"/>
        </w:rPr>
        <w:t xml:space="preserve"> in the hearings held in </w:t>
      </w:r>
      <w:proofErr w:type="spellStart"/>
      <w:r w:rsidR="00337542" w:rsidRPr="0013512D">
        <w:rPr>
          <w:rFonts w:ascii="Times New Roman" w:hAnsi="Times New Roman"/>
          <w:lang w:val="en-GB"/>
        </w:rPr>
        <w:t>Capetown</w:t>
      </w:r>
      <w:proofErr w:type="spellEnd"/>
      <w:r w:rsidR="00005F3F" w:rsidRPr="0013512D">
        <w:rPr>
          <w:rFonts w:ascii="Times New Roman" w:hAnsi="Times New Roman"/>
          <w:lang w:val="en-GB"/>
        </w:rPr>
        <w:t>.</w:t>
      </w:r>
      <w:r w:rsidR="00005F3F" w:rsidRPr="0013512D">
        <w:rPr>
          <w:rStyle w:val="FootnoteReference"/>
          <w:rFonts w:ascii="Times New Roman" w:hAnsi="Times New Roman"/>
          <w:lang w:val="en-GB"/>
        </w:rPr>
        <w:footnoteReference w:id="135"/>
      </w:r>
    </w:p>
    <w:p w14:paraId="3243D538" w14:textId="77777777" w:rsidR="00005F3F" w:rsidRPr="0013512D" w:rsidRDefault="00005F3F" w:rsidP="005C247F">
      <w:pPr>
        <w:pStyle w:val="ListParagraph"/>
        <w:spacing w:line="360" w:lineRule="auto"/>
        <w:ind w:left="0"/>
        <w:rPr>
          <w:rFonts w:ascii="Times New Roman" w:hAnsi="Times New Roman"/>
          <w:color w:val="FF0000"/>
          <w:lang w:val="en-GB"/>
        </w:rPr>
      </w:pPr>
    </w:p>
    <w:p w14:paraId="6FC6F755" w14:textId="0C242BD4" w:rsidR="00383E83" w:rsidRPr="0013512D" w:rsidRDefault="00005F3F" w:rsidP="005C247F">
      <w:pPr>
        <w:pStyle w:val="ListParagraph"/>
        <w:spacing w:line="360" w:lineRule="auto"/>
        <w:ind w:left="0"/>
        <w:jc w:val="center"/>
        <w:rPr>
          <w:rFonts w:ascii="Times New Roman" w:hAnsi="Times New Roman"/>
          <w:color w:val="FF0000"/>
          <w:lang w:val="en-GB"/>
        </w:rPr>
      </w:pPr>
      <w:r w:rsidRPr="0013512D">
        <w:rPr>
          <w:rFonts w:ascii="Times New Roman" w:hAnsi="Times New Roman"/>
          <w:noProof/>
          <w:color w:val="FF0000"/>
          <w:lang w:val="en-GB"/>
        </w:rPr>
        <w:drawing>
          <wp:inline distT="0" distB="0" distL="0" distR="0" wp14:anchorId="390BCBAB" wp14:editId="04563BE1">
            <wp:extent cx="3116062" cy="3096994"/>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oulditestify.JPG"/>
                    <pic:cNvPicPr/>
                  </pic:nvPicPr>
                  <pic:blipFill>
                    <a:blip r:embed="rId8">
                      <a:extLst>
                        <a:ext uri="{28A0092B-C50C-407E-A947-70E740481C1C}">
                          <a14:useLocalDpi xmlns:a14="http://schemas.microsoft.com/office/drawing/2010/main" val="0"/>
                        </a:ext>
                      </a:extLst>
                    </a:blip>
                    <a:stretch>
                      <a:fillRect/>
                    </a:stretch>
                  </pic:blipFill>
                  <pic:spPr>
                    <a:xfrm>
                      <a:off x="0" y="0"/>
                      <a:ext cx="3135486" cy="3116299"/>
                    </a:xfrm>
                    <a:prstGeom prst="rect">
                      <a:avLst/>
                    </a:prstGeom>
                  </pic:spPr>
                </pic:pic>
              </a:graphicData>
            </a:graphic>
          </wp:inline>
        </w:drawing>
      </w:r>
    </w:p>
    <w:p w14:paraId="2B0E1B07" w14:textId="77777777" w:rsidR="0065267D" w:rsidRPr="0013512D" w:rsidRDefault="0065267D" w:rsidP="005C247F">
      <w:pPr>
        <w:pStyle w:val="ListParagraph"/>
        <w:spacing w:line="360" w:lineRule="auto"/>
        <w:ind w:left="0"/>
        <w:rPr>
          <w:rFonts w:ascii="Times New Roman" w:hAnsi="Times New Roman"/>
          <w:color w:val="FF0000"/>
          <w:lang w:val="en-GB"/>
        </w:rPr>
      </w:pPr>
    </w:p>
    <w:p w14:paraId="69B822B3" w14:textId="4131EA7D" w:rsidR="00706BA7" w:rsidRPr="0013512D" w:rsidRDefault="00706BA7" w:rsidP="005C247F">
      <w:pPr>
        <w:pStyle w:val="ListParagraph"/>
        <w:numPr>
          <w:ilvl w:val="1"/>
          <w:numId w:val="1"/>
        </w:numPr>
        <w:spacing w:line="360" w:lineRule="auto"/>
        <w:rPr>
          <w:rFonts w:ascii="Times New Roman" w:hAnsi="Times New Roman"/>
          <w:i/>
          <w:lang w:val="en-GB"/>
        </w:rPr>
      </w:pPr>
      <w:r w:rsidRPr="0013512D">
        <w:rPr>
          <w:rFonts w:ascii="Times New Roman" w:hAnsi="Times New Roman"/>
          <w:i/>
          <w:lang w:val="en-GB"/>
        </w:rPr>
        <w:t>Perpetrators and wider community</w:t>
      </w:r>
    </w:p>
    <w:p w14:paraId="55EA1D16" w14:textId="77777777" w:rsidR="00DC77BA" w:rsidRPr="0013512D" w:rsidRDefault="00DC77BA" w:rsidP="005C247F">
      <w:pPr>
        <w:pStyle w:val="ListParagraph"/>
        <w:spacing w:line="360" w:lineRule="auto"/>
        <w:ind w:left="142"/>
        <w:rPr>
          <w:rFonts w:ascii="Times New Roman" w:hAnsi="Times New Roman"/>
          <w:lang w:val="en-GB"/>
        </w:rPr>
      </w:pPr>
    </w:p>
    <w:p w14:paraId="10547208" w14:textId="49AFE9E6" w:rsidR="00256A0F" w:rsidRPr="0013512D" w:rsidRDefault="002A55F2" w:rsidP="005C247F">
      <w:pPr>
        <w:pStyle w:val="ListParagraph"/>
        <w:spacing w:line="360" w:lineRule="auto"/>
        <w:ind w:left="0"/>
        <w:rPr>
          <w:rFonts w:ascii="Times New Roman" w:hAnsi="Times New Roman"/>
          <w:lang w:val="en-GB"/>
        </w:rPr>
      </w:pPr>
      <w:r w:rsidRPr="0013512D">
        <w:rPr>
          <w:rFonts w:ascii="Times New Roman" w:hAnsi="Times New Roman"/>
          <w:lang w:val="en-GB"/>
        </w:rPr>
        <w:t>The study of perpetrators of international crimes is gaining momentum.</w:t>
      </w:r>
      <w:r w:rsidRPr="0013512D">
        <w:rPr>
          <w:rStyle w:val="FootnoteReference"/>
          <w:rFonts w:ascii="Times New Roman" w:hAnsi="Times New Roman"/>
          <w:lang w:val="en-GB"/>
        </w:rPr>
        <w:footnoteReference w:id="136"/>
      </w:r>
      <w:r w:rsidRPr="0013512D">
        <w:rPr>
          <w:rFonts w:ascii="Times New Roman" w:hAnsi="Times New Roman"/>
          <w:lang w:val="en-GB"/>
        </w:rPr>
        <w:t xml:space="preserve"> It is no longer satisfactory to push aside uncomfortable questions as to their motivation in the commission of crimes, possible trauma caused by the extreme violence as well as other environmental and psychological factors that may have led individuals to </w:t>
      </w:r>
      <w:r w:rsidR="00EA1EA6" w:rsidRPr="0013512D">
        <w:rPr>
          <w:rFonts w:ascii="Times New Roman" w:hAnsi="Times New Roman"/>
          <w:lang w:val="en-GB"/>
        </w:rPr>
        <w:t>commit war crimes, crimes against humanity and genocide.</w:t>
      </w:r>
      <w:r w:rsidR="001E6680" w:rsidRPr="0013512D">
        <w:rPr>
          <w:rStyle w:val="FootnoteReference"/>
          <w:rFonts w:ascii="Times New Roman" w:hAnsi="Times New Roman"/>
          <w:lang w:val="en-GB"/>
        </w:rPr>
        <w:footnoteReference w:id="137"/>
      </w:r>
      <w:r w:rsidR="006F4601" w:rsidRPr="0013512D">
        <w:rPr>
          <w:rFonts w:ascii="Times New Roman" w:hAnsi="Times New Roman"/>
          <w:lang w:val="en-GB"/>
        </w:rPr>
        <w:t xml:space="preserve"> </w:t>
      </w:r>
    </w:p>
    <w:p w14:paraId="3AC02EE0" w14:textId="77777777" w:rsidR="00256A0F" w:rsidRPr="0013512D" w:rsidRDefault="00256A0F" w:rsidP="005C247F">
      <w:pPr>
        <w:pStyle w:val="ListParagraph"/>
        <w:spacing w:line="360" w:lineRule="auto"/>
        <w:ind w:left="0"/>
        <w:rPr>
          <w:rFonts w:ascii="Times New Roman" w:hAnsi="Times New Roman"/>
          <w:lang w:val="en-GB"/>
        </w:rPr>
      </w:pPr>
    </w:p>
    <w:p w14:paraId="7005AA14" w14:textId="61ED602F" w:rsidR="00C62B1A" w:rsidRPr="0013512D" w:rsidRDefault="00256A0F" w:rsidP="005C247F">
      <w:pPr>
        <w:pStyle w:val="ListParagraph"/>
        <w:spacing w:line="360" w:lineRule="auto"/>
        <w:ind w:left="0"/>
        <w:rPr>
          <w:rFonts w:ascii="Times New Roman" w:hAnsi="Times New Roman"/>
          <w:lang w:val="en-GB"/>
        </w:rPr>
      </w:pPr>
      <w:r w:rsidRPr="0013512D">
        <w:rPr>
          <w:rFonts w:ascii="Times New Roman" w:hAnsi="Times New Roman"/>
          <w:lang w:val="en-GB"/>
        </w:rPr>
        <w:t>We argue that it is possible to use creative expression in the work with perpetrators of mass atrocities to process trauma and achieve greater accountability. By ‘perpetrators’ we mean persons convicted of international crimes in international and domestic courts and currently serving their sentence. We also include those who confess in the course of the TRC proceedings as well as those who stood trial in localized justice institutions</w:t>
      </w:r>
      <w:r w:rsidR="005D7EA4" w:rsidRPr="0013512D">
        <w:rPr>
          <w:rFonts w:ascii="Times New Roman" w:hAnsi="Times New Roman"/>
          <w:lang w:val="en-GB"/>
        </w:rPr>
        <w:t>.</w:t>
      </w:r>
    </w:p>
    <w:p w14:paraId="15A2E769" w14:textId="5AB76D3D" w:rsidR="00C62B1A" w:rsidRPr="0013512D" w:rsidRDefault="00256A0F" w:rsidP="005C247F">
      <w:pPr>
        <w:spacing w:line="360" w:lineRule="auto"/>
        <w:rPr>
          <w:lang w:val="en-GB"/>
        </w:rPr>
      </w:pPr>
      <w:r w:rsidRPr="0013512D">
        <w:rPr>
          <w:lang w:val="en-GB"/>
        </w:rPr>
        <w:lastRenderedPageBreak/>
        <w:t>Art has potential in creating discursive space within which both accountability and conflicting social narratives can co-exist.</w:t>
      </w:r>
      <w:r w:rsidRPr="0013512D">
        <w:rPr>
          <w:rStyle w:val="FootnoteReference"/>
          <w:lang w:val="en-GB"/>
        </w:rPr>
        <w:footnoteReference w:id="138"/>
      </w:r>
      <w:r w:rsidRPr="0013512D">
        <w:rPr>
          <w:lang w:val="en-GB"/>
        </w:rPr>
        <w:t xml:space="preserve"> One prominent example of a national transitional justice mechanism holding space for emotions and expression, while at the same time facilitating accountability is the </w:t>
      </w:r>
      <w:r w:rsidRPr="0013512D">
        <w:rPr>
          <w:i/>
          <w:lang w:val="en-GB"/>
        </w:rPr>
        <w:t xml:space="preserve">gacaca </w:t>
      </w:r>
      <w:r w:rsidRPr="0013512D">
        <w:rPr>
          <w:lang w:val="en-GB"/>
        </w:rPr>
        <w:t>grassroots courts system in Rwanda.</w:t>
      </w:r>
      <w:r w:rsidR="001D19ED" w:rsidRPr="0013512D">
        <w:rPr>
          <w:lang w:val="en-GB"/>
        </w:rPr>
        <w:t xml:space="preserve"> </w:t>
      </w:r>
      <w:r w:rsidRPr="0013512D">
        <w:rPr>
          <w:lang w:val="en-GB"/>
        </w:rPr>
        <w:t xml:space="preserve">In Phil Clark’s study, truth, peace, justice, healing, forgiveness and reconciliation are the ‘profound objectives’ of </w:t>
      </w:r>
      <w:r w:rsidRPr="0013512D">
        <w:rPr>
          <w:i/>
          <w:lang w:val="en-GB"/>
        </w:rPr>
        <w:t>gacaca.</w:t>
      </w:r>
      <w:r w:rsidRPr="0013512D">
        <w:rPr>
          <w:lang w:val="en-GB"/>
        </w:rPr>
        <w:t xml:space="preserve"> To this extent, it is a prime example of restorative justice intended to initiate the process of the reconstruction of the social fabric.</w:t>
      </w:r>
      <w:r w:rsidRPr="0013512D">
        <w:rPr>
          <w:rStyle w:val="FootnoteReference"/>
          <w:rFonts w:eastAsiaTheme="minorEastAsia"/>
          <w:lang w:val="en-GB"/>
        </w:rPr>
        <w:footnoteReference w:id="139"/>
      </w:r>
    </w:p>
    <w:p w14:paraId="49E69700" w14:textId="77777777" w:rsidR="001D19ED" w:rsidRPr="0013512D" w:rsidRDefault="001D19ED" w:rsidP="005C247F">
      <w:pPr>
        <w:spacing w:line="360" w:lineRule="auto"/>
        <w:rPr>
          <w:lang w:val="en-GB"/>
        </w:rPr>
      </w:pPr>
    </w:p>
    <w:p w14:paraId="5FE1793B" w14:textId="51BCD46B" w:rsidR="0005738D" w:rsidRPr="0013512D" w:rsidRDefault="00D740FF" w:rsidP="005C247F">
      <w:pPr>
        <w:pStyle w:val="ListParagraph"/>
        <w:spacing w:line="360" w:lineRule="auto"/>
        <w:ind w:left="0"/>
        <w:rPr>
          <w:rFonts w:ascii="Times New Roman" w:hAnsi="Times New Roman"/>
          <w:lang w:val="en-GB"/>
        </w:rPr>
      </w:pPr>
      <w:r w:rsidRPr="0013512D">
        <w:rPr>
          <w:rFonts w:ascii="Times New Roman" w:hAnsi="Times New Roman"/>
          <w:lang w:val="en-GB"/>
        </w:rPr>
        <w:t>In the shift away from viewing victims and perpetrators as extreme binaries,</w:t>
      </w:r>
      <w:r w:rsidR="0095177B" w:rsidRPr="0013512D">
        <w:rPr>
          <w:rFonts w:ascii="Times New Roman" w:hAnsi="Times New Roman"/>
          <w:lang w:val="en-GB"/>
        </w:rPr>
        <w:t xml:space="preserve"> Erin </w:t>
      </w:r>
      <w:r w:rsidR="00F37D44" w:rsidRPr="0013512D">
        <w:rPr>
          <w:rFonts w:ascii="Times New Roman" w:hAnsi="Times New Roman"/>
          <w:lang w:val="en-GB"/>
        </w:rPr>
        <w:t>Baine</w:t>
      </w:r>
      <w:r w:rsidR="0095177B" w:rsidRPr="0013512D">
        <w:rPr>
          <w:rFonts w:ascii="Times New Roman" w:hAnsi="Times New Roman"/>
          <w:lang w:val="en-GB"/>
        </w:rPr>
        <w:t xml:space="preserve">s </w:t>
      </w:r>
      <w:r w:rsidRPr="0013512D">
        <w:rPr>
          <w:rFonts w:ascii="Times New Roman" w:hAnsi="Times New Roman"/>
          <w:lang w:val="en-GB"/>
        </w:rPr>
        <w:t>addresses</w:t>
      </w:r>
      <w:r w:rsidR="0095177B" w:rsidRPr="0013512D">
        <w:rPr>
          <w:rFonts w:ascii="Times New Roman" w:hAnsi="Times New Roman"/>
          <w:lang w:val="en-GB"/>
        </w:rPr>
        <w:t xml:space="preserve"> complex victimhood by exploring the political agency of women abducted as children by the Lord’s Resistance Army in northern Uganda.</w:t>
      </w:r>
      <w:r w:rsidR="00D07F68" w:rsidRPr="0013512D">
        <w:rPr>
          <w:rStyle w:val="FootnoteReference"/>
          <w:rFonts w:ascii="Times New Roman" w:hAnsi="Times New Roman"/>
          <w:lang w:val="en-GB"/>
        </w:rPr>
        <w:footnoteReference w:id="140"/>
      </w:r>
      <w:r w:rsidR="0095177B" w:rsidRPr="0013512D">
        <w:rPr>
          <w:rFonts w:ascii="Times New Roman" w:hAnsi="Times New Roman"/>
          <w:lang w:val="en-GB"/>
        </w:rPr>
        <w:t xml:space="preserve"> </w:t>
      </w:r>
      <w:r w:rsidR="006F6DC1" w:rsidRPr="0013512D">
        <w:rPr>
          <w:rFonts w:ascii="Times New Roman" w:hAnsi="Times New Roman"/>
          <w:lang w:val="en-GB"/>
        </w:rPr>
        <w:t xml:space="preserve">By </w:t>
      </w:r>
      <w:r w:rsidRPr="0013512D">
        <w:rPr>
          <w:rFonts w:ascii="Times New Roman" w:hAnsi="Times New Roman"/>
          <w:lang w:val="en-GB"/>
        </w:rPr>
        <w:t xml:space="preserve">exposing their narratives, </w:t>
      </w:r>
      <w:r w:rsidR="00177970" w:rsidRPr="0013512D">
        <w:rPr>
          <w:rFonts w:ascii="Times New Roman" w:hAnsi="Times New Roman"/>
          <w:lang w:val="en-GB"/>
        </w:rPr>
        <w:t>she points out that a</w:t>
      </w:r>
      <w:r w:rsidR="0095177B" w:rsidRPr="0013512D">
        <w:rPr>
          <w:rFonts w:ascii="Times New Roman" w:hAnsi="Times New Roman"/>
          <w:lang w:val="en-GB"/>
        </w:rPr>
        <w:t xml:space="preserve">lthough these women were often forced to marry </w:t>
      </w:r>
      <w:r w:rsidR="0082081A" w:rsidRPr="0013512D">
        <w:rPr>
          <w:rFonts w:ascii="Times New Roman" w:hAnsi="Times New Roman"/>
          <w:lang w:val="en-GB"/>
        </w:rPr>
        <w:t>their</w:t>
      </w:r>
      <w:r w:rsidR="0095177B" w:rsidRPr="0013512D">
        <w:rPr>
          <w:rFonts w:ascii="Times New Roman" w:hAnsi="Times New Roman"/>
          <w:lang w:val="en-GB"/>
        </w:rPr>
        <w:t xml:space="preserve"> commanders and bear their children, they were not passive victims</w:t>
      </w:r>
      <w:r w:rsidR="003B1D85" w:rsidRPr="0013512D">
        <w:rPr>
          <w:rFonts w:ascii="Times New Roman" w:hAnsi="Times New Roman"/>
          <w:lang w:val="en-GB"/>
        </w:rPr>
        <w:t>.</w:t>
      </w:r>
      <w:r w:rsidR="0095177B" w:rsidRPr="0013512D">
        <w:rPr>
          <w:rFonts w:ascii="Times New Roman" w:hAnsi="Times New Roman"/>
          <w:lang w:val="en-GB"/>
        </w:rPr>
        <w:t xml:space="preserve"> </w:t>
      </w:r>
      <w:r w:rsidR="003B1D85" w:rsidRPr="0013512D">
        <w:rPr>
          <w:rFonts w:ascii="Times New Roman" w:hAnsi="Times New Roman"/>
          <w:lang w:val="en-GB"/>
        </w:rPr>
        <w:t>Instead,</w:t>
      </w:r>
      <w:r w:rsidR="000733CB" w:rsidRPr="0013512D">
        <w:rPr>
          <w:rFonts w:ascii="Times New Roman" w:hAnsi="Times New Roman"/>
          <w:lang w:val="en-GB"/>
        </w:rPr>
        <w:t xml:space="preserve"> they</w:t>
      </w:r>
      <w:r w:rsidR="008F6B66" w:rsidRPr="0013512D">
        <w:rPr>
          <w:rFonts w:ascii="Times New Roman" w:hAnsi="Times New Roman"/>
          <w:lang w:val="en-GB"/>
        </w:rPr>
        <w:t xml:space="preserve"> </w:t>
      </w:r>
      <w:r w:rsidR="0095177B" w:rsidRPr="0013512D">
        <w:rPr>
          <w:rFonts w:ascii="Times New Roman" w:hAnsi="Times New Roman"/>
          <w:lang w:val="en-GB"/>
        </w:rPr>
        <w:t xml:space="preserve">navigated complex social and political domains. </w:t>
      </w:r>
      <w:r w:rsidR="00A82EAF" w:rsidRPr="0013512D">
        <w:rPr>
          <w:rFonts w:ascii="Times New Roman" w:hAnsi="Times New Roman"/>
          <w:lang w:val="en-GB"/>
        </w:rPr>
        <w:t xml:space="preserve">In the quest to survive, </w:t>
      </w:r>
      <w:r w:rsidR="003B1D85" w:rsidRPr="0013512D">
        <w:rPr>
          <w:rFonts w:ascii="Times New Roman" w:hAnsi="Times New Roman"/>
          <w:lang w:val="en-GB"/>
        </w:rPr>
        <w:t>t</w:t>
      </w:r>
      <w:r w:rsidR="000733CB" w:rsidRPr="0013512D">
        <w:rPr>
          <w:rFonts w:ascii="Times New Roman" w:hAnsi="Times New Roman"/>
          <w:lang w:val="en-GB"/>
        </w:rPr>
        <w:t xml:space="preserve">hese </w:t>
      </w:r>
      <w:r w:rsidR="00753363" w:rsidRPr="0013512D">
        <w:rPr>
          <w:rFonts w:ascii="Times New Roman" w:hAnsi="Times New Roman"/>
          <w:lang w:val="en-GB"/>
        </w:rPr>
        <w:t>women</w:t>
      </w:r>
      <w:r w:rsidRPr="0013512D">
        <w:rPr>
          <w:rFonts w:ascii="Times New Roman" w:hAnsi="Times New Roman"/>
          <w:lang w:val="en-GB"/>
        </w:rPr>
        <w:t xml:space="preserve"> were</w:t>
      </w:r>
      <w:r w:rsidR="00A82EAF" w:rsidRPr="0013512D">
        <w:rPr>
          <w:rFonts w:ascii="Times New Roman" w:hAnsi="Times New Roman"/>
          <w:lang w:val="en-GB"/>
        </w:rPr>
        <w:t xml:space="preserve"> forced to make troubling decisions: to kill or to be killed. Baines argues that through sharing one’s narrative, </w:t>
      </w:r>
      <w:r w:rsidR="000733CB" w:rsidRPr="0013512D">
        <w:rPr>
          <w:rFonts w:ascii="Times New Roman" w:hAnsi="Times New Roman"/>
          <w:lang w:val="en-GB"/>
        </w:rPr>
        <w:t>it is possible</w:t>
      </w:r>
      <w:r w:rsidR="00A82EAF" w:rsidRPr="0013512D">
        <w:rPr>
          <w:rFonts w:ascii="Times New Roman" w:hAnsi="Times New Roman"/>
          <w:lang w:val="en-GB"/>
        </w:rPr>
        <w:t xml:space="preserve"> to reclaim </w:t>
      </w:r>
      <w:r w:rsidR="000733CB" w:rsidRPr="0013512D">
        <w:rPr>
          <w:rFonts w:ascii="Times New Roman" w:hAnsi="Times New Roman"/>
          <w:lang w:val="en-GB"/>
        </w:rPr>
        <w:t xml:space="preserve">the </w:t>
      </w:r>
      <w:r w:rsidR="00A82EAF" w:rsidRPr="0013512D">
        <w:rPr>
          <w:rFonts w:ascii="Times New Roman" w:hAnsi="Times New Roman"/>
          <w:lang w:val="en-GB"/>
        </w:rPr>
        <w:t xml:space="preserve">sense of self and learn to live with the </w:t>
      </w:r>
      <w:r w:rsidR="000733CB" w:rsidRPr="0013512D">
        <w:rPr>
          <w:rFonts w:ascii="Times New Roman" w:hAnsi="Times New Roman"/>
          <w:lang w:val="en-GB"/>
        </w:rPr>
        <w:t xml:space="preserve">past </w:t>
      </w:r>
      <w:r w:rsidR="00A82EAF" w:rsidRPr="0013512D">
        <w:rPr>
          <w:rFonts w:ascii="Times New Roman" w:hAnsi="Times New Roman"/>
          <w:lang w:val="en-GB"/>
        </w:rPr>
        <w:t xml:space="preserve">choices </w:t>
      </w:r>
      <w:r w:rsidR="000733CB" w:rsidRPr="0013512D">
        <w:rPr>
          <w:rFonts w:ascii="Times New Roman" w:hAnsi="Times New Roman"/>
          <w:lang w:val="en-GB"/>
        </w:rPr>
        <w:t>instrumental to</w:t>
      </w:r>
      <w:r w:rsidR="00A82EAF" w:rsidRPr="0013512D">
        <w:rPr>
          <w:rFonts w:ascii="Times New Roman" w:hAnsi="Times New Roman"/>
          <w:lang w:val="en-GB"/>
        </w:rPr>
        <w:t xml:space="preserve"> surviv</w:t>
      </w:r>
      <w:r w:rsidR="000733CB" w:rsidRPr="0013512D">
        <w:rPr>
          <w:rFonts w:ascii="Times New Roman" w:hAnsi="Times New Roman"/>
          <w:lang w:val="en-GB"/>
        </w:rPr>
        <w:t>al</w:t>
      </w:r>
      <w:r w:rsidR="00A82EAF" w:rsidRPr="0013512D">
        <w:rPr>
          <w:rFonts w:ascii="Times New Roman" w:hAnsi="Times New Roman"/>
          <w:lang w:val="en-GB"/>
        </w:rPr>
        <w:t>.</w:t>
      </w:r>
      <w:r w:rsidR="0017689A" w:rsidRPr="0013512D">
        <w:rPr>
          <w:rStyle w:val="FootnoteReference"/>
          <w:rFonts w:ascii="Times New Roman" w:hAnsi="Times New Roman"/>
          <w:lang w:val="en-GB"/>
        </w:rPr>
        <w:footnoteReference w:id="141"/>
      </w:r>
      <w:r w:rsidR="0017689A" w:rsidRPr="0013512D">
        <w:rPr>
          <w:rFonts w:ascii="Times New Roman" w:hAnsi="Times New Roman"/>
          <w:lang w:val="en-GB"/>
        </w:rPr>
        <w:t xml:space="preserve"> </w:t>
      </w:r>
      <w:r w:rsidR="00A82EAF" w:rsidRPr="0013512D">
        <w:rPr>
          <w:rFonts w:ascii="Times New Roman" w:hAnsi="Times New Roman"/>
          <w:lang w:val="en-GB"/>
        </w:rPr>
        <w:t xml:space="preserve"> In moving beyond static categories of ‘victim’ and ‘perpetrator’, </w:t>
      </w:r>
      <w:r w:rsidR="000733CB" w:rsidRPr="0013512D">
        <w:rPr>
          <w:rFonts w:ascii="Times New Roman" w:hAnsi="Times New Roman"/>
          <w:lang w:val="en-GB"/>
        </w:rPr>
        <w:t xml:space="preserve">one sees </w:t>
      </w:r>
      <w:r w:rsidR="00A82EAF" w:rsidRPr="0013512D">
        <w:rPr>
          <w:rFonts w:ascii="Times New Roman" w:hAnsi="Times New Roman"/>
          <w:lang w:val="en-GB"/>
        </w:rPr>
        <w:t xml:space="preserve">the complexity of </w:t>
      </w:r>
      <w:r w:rsidR="000733CB" w:rsidRPr="0013512D">
        <w:rPr>
          <w:rFonts w:ascii="Times New Roman" w:hAnsi="Times New Roman"/>
          <w:lang w:val="en-GB"/>
        </w:rPr>
        <w:t>individual agency</w:t>
      </w:r>
      <w:r w:rsidR="00A82EAF" w:rsidRPr="0013512D">
        <w:rPr>
          <w:rFonts w:ascii="Times New Roman" w:hAnsi="Times New Roman"/>
          <w:lang w:val="en-GB"/>
        </w:rPr>
        <w:t xml:space="preserve"> during and after mass atrocities</w:t>
      </w:r>
      <w:r w:rsidR="000733CB" w:rsidRPr="0013512D">
        <w:rPr>
          <w:rFonts w:ascii="Times New Roman" w:hAnsi="Times New Roman"/>
          <w:lang w:val="en-GB"/>
        </w:rPr>
        <w:t>.</w:t>
      </w:r>
      <w:r w:rsidR="004512D6" w:rsidRPr="0013512D">
        <w:rPr>
          <w:rFonts w:ascii="Times New Roman" w:hAnsi="Times New Roman"/>
          <w:lang w:val="en-GB"/>
        </w:rPr>
        <w:t xml:space="preserve"> </w:t>
      </w:r>
    </w:p>
    <w:p w14:paraId="40C2ECC8" w14:textId="77777777" w:rsidR="00DC77BA" w:rsidRPr="0013512D" w:rsidRDefault="00DC77BA" w:rsidP="005C247F">
      <w:pPr>
        <w:spacing w:line="360" w:lineRule="auto"/>
        <w:rPr>
          <w:color w:val="000000" w:themeColor="text1"/>
          <w:lang w:val="en-GB"/>
        </w:rPr>
      </w:pPr>
    </w:p>
    <w:p w14:paraId="32FD8E8F" w14:textId="2A89076C" w:rsidR="00706BA7" w:rsidRPr="0013512D" w:rsidRDefault="00706BA7" w:rsidP="005C247F">
      <w:pPr>
        <w:pStyle w:val="ListParagraph"/>
        <w:numPr>
          <w:ilvl w:val="1"/>
          <w:numId w:val="1"/>
        </w:numPr>
        <w:spacing w:line="360" w:lineRule="auto"/>
        <w:rPr>
          <w:rFonts w:ascii="Times New Roman" w:hAnsi="Times New Roman"/>
          <w:i/>
          <w:lang w:val="en-GB"/>
        </w:rPr>
      </w:pPr>
      <w:r w:rsidRPr="0013512D">
        <w:rPr>
          <w:rFonts w:ascii="Times New Roman" w:hAnsi="Times New Roman"/>
          <w:i/>
          <w:lang w:val="en-GB"/>
        </w:rPr>
        <w:t xml:space="preserve">Academics </w:t>
      </w:r>
    </w:p>
    <w:p w14:paraId="3DDD46D2" w14:textId="77777777" w:rsidR="00706BA7" w:rsidRPr="0013512D" w:rsidRDefault="00706BA7" w:rsidP="005C247F">
      <w:pPr>
        <w:pStyle w:val="ListParagraph"/>
        <w:spacing w:line="360" w:lineRule="auto"/>
        <w:rPr>
          <w:rFonts w:ascii="Times New Roman" w:hAnsi="Times New Roman"/>
          <w:i/>
          <w:lang w:val="en-GB"/>
        </w:rPr>
      </w:pPr>
    </w:p>
    <w:p w14:paraId="6C9B6F4B" w14:textId="655AB625" w:rsidR="00A359EA" w:rsidRPr="0013512D" w:rsidRDefault="00621BA9" w:rsidP="005C247F">
      <w:pPr>
        <w:pStyle w:val="ListParagraph"/>
        <w:spacing w:line="360" w:lineRule="auto"/>
        <w:ind w:left="0"/>
        <w:rPr>
          <w:rFonts w:ascii="Times New Roman" w:hAnsi="Times New Roman"/>
          <w:lang w:val="en-GB"/>
        </w:rPr>
      </w:pPr>
      <w:r w:rsidRPr="0013512D">
        <w:rPr>
          <w:rFonts w:ascii="Times New Roman" w:hAnsi="Times New Roman"/>
          <w:lang w:val="en-GB"/>
        </w:rPr>
        <w:t>Another important route via which art is processed in the field of international criminal law is through engagement by academics with artistic pieces</w:t>
      </w:r>
      <w:r w:rsidR="00BE6395" w:rsidRPr="0013512D">
        <w:rPr>
          <w:rFonts w:ascii="Times New Roman" w:hAnsi="Times New Roman"/>
          <w:lang w:val="en-GB"/>
        </w:rPr>
        <w:t xml:space="preserve">. This exercise can lead to rethinking of the dominant assumptions in the field. One example of such work is </w:t>
      </w:r>
      <w:proofErr w:type="spellStart"/>
      <w:r w:rsidRPr="0013512D">
        <w:rPr>
          <w:rFonts w:ascii="Times New Roman" w:hAnsi="Times New Roman"/>
          <w:lang w:val="en-GB"/>
        </w:rPr>
        <w:t>Wouter</w:t>
      </w:r>
      <w:proofErr w:type="spellEnd"/>
      <w:r w:rsidRPr="0013512D">
        <w:rPr>
          <w:rFonts w:ascii="Times New Roman" w:hAnsi="Times New Roman"/>
          <w:lang w:val="en-GB"/>
        </w:rPr>
        <w:t xml:space="preserve"> Werner’s exploration of documentaries on international criminal justice produced in the last ten years.</w:t>
      </w:r>
      <w:r w:rsidRPr="0013512D">
        <w:rPr>
          <w:rStyle w:val="FootnoteReference"/>
          <w:rFonts w:ascii="Times New Roman" w:hAnsi="Times New Roman"/>
          <w:lang w:val="en-GB"/>
        </w:rPr>
        <w:footnoteReference w:id="142"/>
      </w:r>
      <w:r w:rsidRPr="0013512D">
        <w:rPr>
          <w:rFonts w:ascii="Times New Roman" w:hAnsi="Times New Roman"/>
          <w:lang w:val="en-GB"/>
        </w:rPr>
        <w:t xml:space="preserve"> </w:t>
      </w:r>
      <w:proofErr w:type="spellStart"/>
      <w:r w:rsidR="007C7196" w:rsidRPr="0013512D">
        <w:rPr>
          <w:rFonts w:ascii="Times New Roman" w:hAnsi="Times New Roman"/>
          <w:lang w:val="en-GB"/>
        </w:rPr>
        <w:t>Wouter</w:t>
      </w:r>
      <w:proofErr w:type="spellEnd"/>
      <w:r w:rsidR="007C7196" w:rsidRPr="0013512D">
        <w:rPr>
          <w:rFonts w:ascii="Times New Roman" w:hAnsi="Times New Roman"/>
          <w:lang w:val="en-GB"/>
        </w:rPr>
        <w:t xml:space="preserve"> </w:t>
      </w:r>
      <w:r w:rsidR="00A42E7C" w:rsidRPr="0013512D">
        <w:rPr>
          <w:rFonts w:ascii="Times New Roman" w:hAnsi="Times New Roman"/>
          <w:lang w:val="en-GB"/>
        </w:rPr>
        <w:t>Werner argues t</w:t>
      </w:r>
      <w:r w:rsidR="00875D2B" w:rsidRPr="0013512D">
        <w:rPr>
          <w:rFonts w:ascii="Times New Roman" w:hAnsi="Times New Roman"/>
          <w:lang w:val="en-GB"/>
        </w:rPr>
        <w:t>hat</w:t>
      </w:r>
      <w:r w:rsidR="007C7196" w:rsidRPr="0013512D">
        <w:rPr>
          <w:rFonts w:ascii="Times New Roman" w:hAnsi="Times New Roman"/>
          <w:lang w:val="en-GB"/>
        </w:rPr>
        <w:t xml:space="preserve"> there</w:t>
      </w:r>
      <w:r w:rsidR="00875D2B" w:rsidRPr="0013512D">
        <w:rPr>
          <w:rFonts w:ascii="Times New Roman" w:hAnsi="Times New Roman"/>
          <w:lang w:val="en-GB"/>
        </w:rPr>
        <w:t xml:space="preserve"> are ample reasons for legal scholars to engage more intensely with documentary films. The latter hold </w:t>
      </w:r>
      <w:r w:rsidR="00875D2B" w:rsidRPr="0013512D">
        <w:rPr>
          <w:rFonts w:ascii="Times New Roman" w:hAnsi="Times New Roman"/>
          <w:lang w:val="en-GB"/>
        </w:rPr>
        <w:lastRenderedPageBreak/>
        <w:t>immense didactic potential and combine storytelling with emotion.</w:t>
      </w:r>
      <w:r w:rsidR="00875D2B" w:rsidRPr="0013512D">
        <w:rPr>
          <w:rStyle w:val="FootnoteReference"/>
          <w:rFonts w:ascii="Times New Roman" w:hAnsi="Times New Roman"/>
          <w:lang w:val="en-GB"/>
        </w:rPr>
        <w:footnoteReference w:id="143"/>
      </w:r>
      <w:r w:rsidR="0017696F" w:rsidRPr="0013512D">
        <w:rPr>
          <w:rFonts w:ascii="Times New Roman" w:hAnsi="Times New Roman"/>
          <w:lang w:val="en-GB"/>
        </w:rPr>
        <w:t xml:space="preserve"> </w:t>
      </w:r>
      <w:r w:rsidR="00BE6395" w:rsidRPr="0013512D">
        <w:rPr>
          <w:rFonts w:ascii="Times New Roman" w:hAnsi="Times New Roman"/>
          <w:lang w:val="en-GB"/>
        </w:rPr>
        <w:t>Another example is</w:t>
      </w:r>
      <w:r w:rsidRPr="0013512D">
        <w:rPr>
          <w:rFonts w:ascii="Times New Roman" w:hAnsi="Times New Roman"/>
          <w:lang w:val="en-GB"/>
        </w:rPr>
        <w:t xml:space="preserve"> Immi </w:t>
      </w:r>
      <w:proofErr w:type="spellStart"/>
      <w:r w:rsidRPr="0013512D">
        <w:rPr>
          <w:rFonts w:ascii="Times New Roman" w:hAnsi="Times New Roman"/>
          <w:lang w:val="en-GB"/>
        </w:rPr>
        <w:t>Tallgren</w:t>
      </w:r>
      <w:r w:rsidR="00BE6395" w:rsidRPr="0013512D">
        <w:rPr>
          <w:rFonts w:ascii="Times New Roman" w:hAnsi="Times New Roman"/>
          <w:lang w:val="en-GB"/>
        </w:rPr>
        <w:t>’s</w:t>
      </w:r>
      <w:proofErr w:type="spellEnd"/>
      <w:r w:rsidR="00BE6395" w:rsidRPr="0013512D">
        <w:rPr>
          <w:rFonts w:ascii="Times New Roman" w:hAnsi="Times New Roman"/>
          <w:lang w:val="en-GB"/>
        </w:rPr>
        <w:t xml:space="preserve"> </w:t>
      </w:r>
      <w:r w:rsidR="00A359EA" w:rsidRPr="0013512D">
        <w:rPr>
          <w:rFonts w:ascii="Times New Roman" w:hAnsi="Times New Roman"/>
          <w:lang w:val="en-GB"/>
        </w:rPr>
        <w:t>critical assessment of</w:t>
      </w:r>
      <w:r w:rsidRPr="0013512D">
        <w:rPr>
          <w:rFonts w:ascii="Times New Roman" w:hAnsi="Times New Roman"/>
          <w:lang w:val="en-GB"/>
        </w:rPr>
        <w:t xml:space="preserve"> the </w:t>
      </w:r>
      <w:r w:rsidR="0071433C" w:rsidRPr="0013512D">
        <w:rPr>
          <w:rFonts w:ascii="Times New Roman" w:hAnsi="Times New Roman"/>
          <w:lang w:val="en-GB"/>
        </w:rPr>
        <w:t>central</w:t>
      </w:r>
      <w:r w:rsidRPr="0013512D">
        <w:rPr>
          <w:rFonts w:ascii="Times New Roman" w:hAnsi="Times New Roman"/>
          <w:lang w:val="en-GB"/>
        </w:rPr>
        <w:t xml:space="preserve"> narratives perpetuated by international criminal lawyers and compared them to those highlighted by the historical series </w:t>
      </w:r>
      <w:r w:rsidRPr="0013512D">
        <w:rPr>
          <w:rFonts w:ascii="Times New Roman" w:hAnsi="Times New Roman"/>
          <w:i/>
          <w:lang w:val="en-GB"/>
        </w:rPr>
        <w:t>Tokyo Trial</w:t>
      </w:r>
      <w:r w:rsidRPr="0013512D">
        <w:rPr>
          <w:rFonts w:ascii="Times New Roman" w:hAnsi="Times New Roman"/>
          <w:lang w:val="en-GB"/>
        </w:rPr>
        <w:t>.</w:t>
      </w:r>
      <w:r w:rsidRPr="0013512D">
        <w:rPr>
          <w:rStyle w:val="FootnoteReference"/>
          <w:rFonts w:ascii="Times New Roman" w:hAnsi="Times New Roman"/>
          <w:lang w:val="en-GB"/>
        </w:rPr>
        <w:footnoteReference w:id="144"/>
      </w:r>
      <w:r w:rsidRPr="0013512D">
        <w:rPr>
          <w:rFonts w:ascii="Times New Roman" w:hAnsi="Times New Roman"/>
          <w:lang w:val="en-GB"/>
        </w:rPr>
        <w:t xml:space="preserve"> </w:t>
      </w:r>
      <w:r w:rsidR="00CB232D" w:rsidRPr="0013512D">
        <w:rPr>
          <w:rFonts w:ascii="Times New Roman" w:hAnsi="Times New Roman"/>
          <w:lang w:val="en-GB"/>
        </w:rPr>
        <w:t xml:space="preserve">For instance, she points out how much scholarly attention is dedicated to the ‘fight against impunity’ as a rather all-encompassing project, whereas </w:t>
      </w:r>
      <w:r w:rsidR="00CB232D" w:rsidRPr="0013512D">
        <w:rPr>
          <w:rFonts w:ascii="Times New Roman" w:hAnsi="Times New Roman"/>
          <w:i/>
          <w:lang w:val="en-GB"/>
        </w:rPr>
        <w:t>Tokyo Trial</w:t>
      </w:r>
      <w:r w:rsidR="00CB232D" w:rsidRPr="0013512D">
        <w:rPr>
          <w:rFonts w:ascii="Times New Roman" w:hAnsi="Times New Roman"/>
          <w:lang w:val="en-GB"/>
        </w:rPr>
        <w:t xml:space="preserve"> does not shun away from complexity and highlights the doubts of individual judges.</w:t>
      </w:r>
      <w:r w:rsidR="00CB232D" w:rsidRPr="0013512D">
        <w:rPr>
          <w:rStyle w:val="FootnoteReference"/>
          <w:rFonts w:ascii="Times New Roman" w:hAnsi="Times New Roman"/>
          <w:lang w:val="en-GB"/>
        </w:rPr>
        <w:footnoteReference w:id="145"/>
      </w:r>
    </w:p>
    <w:p w14:paraId="39EA0038" w14:textId="77777777" w:rsidR="00186983" w:rsidRPr="0013512D" w:rsidRDefault="00186983" w:rsidP="005C247F">
      <w:pPr>
        <w:pStyle w:val="ListParagraph"/>
        <w:spacing w:line="360" w:lineRule="auto"/>
        <w:ind w:left="0"/>
        <w:rPr>
          <w:rFonts w:ascii="Times New Roman" w:hAnsi="Times New Roman"/>
          <w:i/>
          <w:lang w:val="en-GB"/>
        </w:rPr>
      </w:pPr>
    </w:p>
    <w:p w14:paraId="77133C5C" w14:textId="77777777" w:rsidR="00091A88" w:rsidRPr="0013512D" w:rsidRDefault="0017696F" w:rsidP="005C247F">
      <w:pPr>
        <w:widowControl w:val="0"/>
        <w:autoSpaceDE w:val="0"/>
        <w:autoSpaceDN w:val="0"/>
        <w:adjustRightInd w:val="0"/>
        <w:spacing w:line="360" w:lineRule="auto"/>
        <w:rPr>
          <w:lang w:val="en-GB"/>
        </w:rPr>
      </w:pPr>
      <w:r w:rsidRPr="0013512D">
        <w:rPr>
          <w:lang w:val="en-GB"/>
        </w:rPr>
        <w:t xml:space="preserve">From a methodological perspective, art therefore may serve as a method of scientific inquiry. </w:t>
      </w:r>
      <w:r w:rsidRPr="0013512D">
        <w:rPr>
          <w:color w:val="000000"/>
          <w:lang w:val="en-GB"/>
        </w:rPr>
        <w:t xml:space="preserve">The use of art in scientific exploration is nothing new. </w:t>
      </w:r>
      <w:r w:rsidRPr="0013512D">
        <w:rPr>
          <w:lang w:val="en-GB"/>
        </w:rPr>
        <w:t>For instance, visual methods are used in discourse analysis, which can be studied through documentary or historical images with other forms of data.</w:t>
      </w:r>
      <w:r w:rsidRPr="0013512D">
        <w:rPr>
          <w:rStyle w:val="FootnoteReference"/>
          <w:lang w:val="en-GB"/>
        </w:rPr>
        <w:footnoteReference w:id="146"/>
      </w:r>
      <w:r w:rsidRPr="0013512D">
        <w:rPr>
          <w:lang w:val="en-GB"/>
        </w:rPr>
        <w:t xml:space="preserve"> More generally, sociology has started taking the ‘visual’ more seriously with ongoing research on the promise of visual methodology as alternative ways of scientific inquiry.</w:t>
      </w:r>
      <w:r w:rsidRPr="0013512D">
        <w:rPr>
          <w:rStyle w:val="FootnoteReference"/>
          <w:lang w:val="en-GB"/>
        </w:rPr>
        <w:footnoteReference w:id="147"/>
      </w:r>
      <w:r w:rsidRPr="0013512D">
        <w:rPr>
          <w:lang w:val="en-GB"/>
        </w:rPr>
        <w:t xml:space="preserve"> </w:t>
      </w:r>
    </w:p>
    <w:p w14:paraId="63276C5A" w14:textId="77777777" w:rsidR="00091A88" w:rsidRPr="0013512D" w:rsidRDefault="00091A88" w:rsidP="005C247F">
      <w:pPr>
        <w:widowControl w:val="0"/>
        <w:autoSpaceDE w:val="0"/>
        <w:autoSpaceDN w:val="0"/>
        <w:adjustRightInd w:val="0"/>
        <w:spacing w:line="360" w:lineRule="auto"/>
        <w:rPr>
          <w:lang w:val="en-GB"/>
        </w:rPr>
      </w:pPr>
    </w:p>
    <w:p w14:paraId="2563B94D" w14:textId="37FF95ED" w:rsidR="00091A88" w:rsidRPr="0013512D" w:rsidRDefault="008E3C62" w:rsidP="005C247F">
      <w:pPr>
        <w:widowControl w:val="0"/>
        <w:autoSpaceDE w:val="0"/>
        <w:autoSpaceDN w:val="0"/>
        <w:adjustRightInd w:val="0"/>
        <w:spacing w:line="360" w:lineRule="auto"/>
        <w:rPr>
          <w:lang w:val="en-GB"/>
        </w:rPr>
      </w:pPr>
      <w:r w:rsidRPr="0013512D">
        <w:rPr>
          <w:lang w:val="en-GB"/>
        </w:rPr>
        <w:t>There is</w:t>
      </w:r>
      <w:r w:rsidR="00091A88" w:rsidRPr="0013512D">
        <w:rPr>
          <w:lang w:val="en-GB"/>
        </w:rPr>
        <w:t xml:space="preserve"> also</w:t>
      </w:r>
      <w:r w:rsidRPr="0013512D">
        <w:rPr>
          <w:lang w:val="en-GB"/>
        </w:rPr>
        <w:t xml:space="preserve"> an urgent demand for exploring visual methodology in legal science. The overproduction of imagery in our modern life is what Richard Sherwin refers to as the age of ‘digital baroque’.</w:t>
      </w:r>
      <w:r w:rsidRPr="0013512D">
        <w:rPr>
          <w:rStyle w:val="FootnoteReference"/>
          <w:lang w:val="en-GB"/>
        </w:rPr>
        <w:footnoteReference w:id="148"/>
      </w:r>
      <w:r w:rsidRPr="0013512D">
        <w:rPr>
          <w:lang w:val="en-GB"/>
        </w:rPr>
        <w:t xml:space="preserve"> The term ‘baroque’ emphasises the shifts in the dominant forms of communication, whereby images collected, for instance, through social media, create mediated reality.</w:t>
      </w:r>
      <w:r w:rsidRPr="0013512D">
        <w:rPr>
          <w:rStyle w:val="FootnoteReference"/>
          <w:lang w:val="en-GB"/>
        </w:rPr>
        <w:footnoteReference w:id="149"/>
      </w:r>
      <w:r w:rsidRPr="0013512D">
        <w:rPr>
          <w:lang w:val="en-GB"/>
        </w:rPr>
        <w:t xml:space="preserve"> The original concept depicted by an image fades away with the unfolding of the infinite representational forms amply supplied by the internet. The digital baroque calls for new mindfulness, one that integrates the </w:t>
      </w:r>
      <w:proofErr w:type="spellStart"/>
      <w:r w:rsidRPr="0013512D">
        <w:rPr>
          <w:lang w:val="en-GB"/>
        </w:rPr>
        <w:t>affects</w:t>
      </w:r>
      <w:proofErr w:type="spellEnd"/>
      <w:r w:rsidRPr="0013512D">
        <w:rPr>
          <w:lang w:val="en-GB"/>
        </w:rPr>
        <w:t xml:space="preserve"> of the body’s senses with the mind’s natural capacity to analyse and categorise.</w:t>
      </w:r>
      <w:r w:rsidRPr="0013512D">
        <w:rPr>
          <w:rStyle w:val="FootnoteReference"/>
          <w:lang w:val="en-GB"/>
        </w:rPr>
        <w:footnoteReference w:id="150"/>
      </w:r>
      <w:r w:rsidRPr="0013512D">
        <w:rPr>
          <w:lang w:val="en-GB"/>
        </w:rPr>
        <w:t xml:space="preserve">  </w:t>
      </w:r>
      <w:r w:rsidR="00091A88" w:rsidRPr="0013512D">
        <w:rPr>
          <w:lang w:val="en-GB"/>
        </w:rPr>
        <w:t>Sherwin eloquently argues for the exploration of the path of visual jurisprudence as a way to navigate the new forms of mediated reality. In this new state of affairs, where the visual shapes our perception of reality, law in its purely analytical form retains its validity, but loses the significance.</w:t>
      </w:r>
      <w:r w:rsidR="00091A88" w:rsidRPr="0013512D">
        <w:rPr>
          <w:rStyle w:val="FootnoteReference"/>
          <w:lang w:val="en-GB"/>
        </w:rPr>
        <w:footnoteReference w:id="151"/>
      </w:r>
    </w:p>
    <w:p w14:paraId="1128916E" w14:textId="77777777" w:rsidR="00091A88" w:rsidRPr="0013512D" w:rsidRDefault="00091A88" w:rsidP="005C247F">
      <w:pPr>
        <w:widowControl w:val="0"/>
        <w:autoSpaceDE w:val="0"/>
        <w:autoSpaceDN w:val="0"/>
        <w:adjustRightInd w:val="0"/>
        <w:spacing w:line="360" w:lineRule="auto"/>
        <w:rPr>
          <w:lang w:val="en-GB"/>
        </w:rPr>
      </w:pPr>
    </w:p>
    <w:p w14:paraId="20A4391C" w14:textId="668A5AB7" w:rsidR="00A92873" w:rsidRPr="0013512D" w:rsidRDefault="0017696F" w:rsidP="005C247F">
      <w:pPr>
        <w:widowControl w:val="0"/>
        <w:autoSpaceDE w:val="0"/>
        <w:autoSpaceDN w:val="0"/>
        <w:adjustRightInd w:val="0"/>
        <w:spacing w:line="360" w:lineRule="auto"/>
        <w:rPr>
          <w:lang w:val="en-GB"/>
        </w:rPr>
      </w:pPr>
      <w:r w:rsidRPr="0013512D">
        <w:rPr>
          <w:lang w:val="en-GB"/>
        </w:rPr>
        <w:t xml:space="preserve">Such a turn </w:t>
      </w:r>
      <w:r w:rsidR="008E3C62" w:rsidRPr="0013512D">
        <w:rPr>
          <w:lang w:val="en-GB"/>
        </w:rPr>
        <w:t xml:space="preserve">to visuality </w:t>
      </w:r>
      <w:r w:rsidRPr="0013512D">
        <w:rPr>
          <w:lang w:val="en-GB"/>
        </w:rPr>
        <w:t>has not yet occurred in the study and practice of</w:t>
      </w:r>
      <w:r w:rsidR="008E3C62" w:rsidRPr="0013512D">
        <w:rPr>
          <w:lang w:val="en-GB"/>
        </w:rPr>
        <w:t xml:space="preserve"> international (criminal)</w:t>
      </w:r>
      <w:r w:rsidRPr="0013512D">
        <w:rPr>
          <w:lang w:val="en-GB"/>
        </w:rPr>
        <w:t xml:space="preserve"> law, a discipline which remains focused entirely on texts and the written word. One can imagine, however, how undertaking art projects aimed at promoting international criminal law values can contribute to the study of the discipline as such. Creative expression can illuminate the aspects of this field long ignored by traditional approaches. For instance, an exhibition dedicated to the work of the ICC</w:t>
      </w:r>
      <w:r w:rsidR="00EF076C" w:rsidRPr="0013512D">
        <w:rPr>
          <w:lang w:val="en-GB"/>
        </w:rPr>
        <w:t>, such as “Healing, Trauma and Hope” hosted by the ICC Outreach Section,</w:t>
      </w:r>
      <w:r w:rsidR="00EF076C" w:rsidRPr="0013512D">
        <w:rPr>
          <w:rStyle w:val="FootnoteReference"/>
          <w:lang w:val="en-GB"/>
        </w:rPr>
        <w:footnoteReference w:id="152"/>
      </w:r>
      <w:r w:rsidR="00D978CB" w:rsidRPr="0013512D">
        <w:rPr>
          <w:lang w:val="en-GB"/>
        </w:rPr>
        <w:t xml:space="preserve"> </w:t>
      </w:r>
      <w:r w:rsidRPr="0013512D">
        <w:rPr>
          <w:lang w:val="en-GB"/>
        </w:rPr>
        <w:t xml:space="preserve">may evoke responses in the general public indicative of the new solutions to practical problems faced by the Court. </w:t>
      </w:r>
    </w:p>
    <w:p w14:paraId="5254F2C8" w14:textId="77777777" w:rsidR="00186983" w:rsidRPr="0013512D" w:rsidRDefault="00186983" w:rsidP="005C247F">
      <w:pPr>
        <w:widowControl w:val="0"/>
        <w:autoSpaceDE w:val="0"/>
        <w:autoSpaceDN w:val="0"/>
        <w:adjustRightInd w:val="0"/>
        <w:spacing w:line="360" w:lineRule="auto"/>
        <w:rPr>
          <w:color w:val="000000"/>
          <w:lang w:val="en-GB"/>
        </w:rPr>
      </w:pPr>
    </w:p>
    <w:p w14:paraId="225F57E4" w14:textId="59C7F665" w:rsidR="0017696F" w:rsidRPr="0013512D" w:rsidRDefault="00497358" w:rsidP="005C247F">
      <w:pPr>
        <w:pStyle w:val="ListParagraph"/>
        <w:numPr>
          <w:ilvl w:val="0"/>
          <w:numId w:val="1"/>
        </w:numPr>
        <w:spacing w:line="360" w:lineRule="auto"/>
        <w:rPr>
          <w:rFonts w:ascii="Times New Roman" w:hAnsi="Times New Roman"/>
          <w:u w:val="single"/>
          <w:lang w:val="en-GB"/>
        </w:rPr>
      </w:pPr>
      <w:r w:rsidRPr="0013512D">
        <w:rPr>
          <w:rFonts w:ascii="Times New Roman" w:hAnsi="Times New Roman"/>
          <w:u w:val="single"/>
          <w:lang w:val="en-GB"/>
        </w:rPr>
        <w:t>Critique</w:t>
      </w:r>
      <w:r w:rsidR="00482761" w:rsidRPr="0013512D">
        <w:rPr>
          <w:rFonts w:ascii="Times New Roman" w:hAnsi="Times New Roman"/>
          <w:u w:val="single"/>
          <w:lang w:val="en-GB"/>
        </w:rPr>
        <w:t xml:space="preserve"> of Utilizing Art in International Criminal </w:t>
      </w:r>
      <w:r w:rsidR="001C49B9" w:rsidRPr="0013512D">
        <w:rPr>
          <w:rFonts w:ascii="Times New Roman" w:hAnsi="Times New Roman"/>
          <w:u w:val="single"/>
          <w:lang w:val="en-GB"/>
        </w:rPr>
        <w:t>Justice</w:t>
      </w:r>
    </w:p>
    <w:p w14:paraId="61623B44" w14:textId="77777777" w:rsidR="00A359EA" w:rsidRPr="0013512D" w:rsidRDefault="00A359EA" w:rsidP="005C247F">
      <w:pPr>
        <w:pStyle w:val="ListParagraph"/>
        <w:spacing w:line="360" w:lineRule="auto"/>
        <w:ind w:left="0"/>
        <w:rPr>
          <w:rFonts w:ascii="Times New Roman" w:hAnsi="Times New Roman"/>
          <w:lang w:val="en-GB"/>
        </w:rPr>
      </w:pPr>
    </w:p>
    <w:p w14:paraId="6D03A5BC" w14:textId="58FDEEA0" w:rsidR="005007E9" w:rsidRPr="0013512D" w:rsidRDefault="005007E9" w:rsidP="005C247F">
      <w:pPr>
        <w:spacing w:line="360" w:lineRule="auto"/>
        <w:rPr>
          <w:lang w:val="en-GB"/>
        </w:rPr>
      </w:pPr>
      <w:r w:rsidRPr="0013512D">
        <w:rPr>
          <w:lang w:val="en-GB"/>
        </w:rPr>
        <w:t xml:space="preserve">So far, we painted </w:t>
      </w:r>
      <w:r w:rsidR="00831B99" w:rsidRPr="0013512D">
        <w:rPr>
          <w:lang w:val="en-GB"/>
        </w:rPr>
        <w:t>the</w:t>
      </w:r>
      <w:r w:rsidRPr="0013512D">
        <w:rPr>
          <w:lang w:val="en-GB"/>
        </w:rPr>
        <w:t xml:space="preserve"> picture of the benefits of using art in promoting the goal of reconciliation in international criminal </w:t>
      </w:r>
      <w:r w:rsidR="008C2513" w:rsidRPr="0013512D">
        <w:rPr>
          <w:lang w:val="en-GB"/>
        </w:rPr>
        <w:t>justice</w:t>
      </w:r>
      <w:r w:rsidRPr="0013512D">
        <w:rPr>
          <w:lang w:val="en-GB"/>
        </w:rPr>
        <w:t xml:space="preserve">. </w:t>
      </w:r>
      <w:r w:rsidR="00482761" w:rsidRPr="0013512D">
        <w:rPr>
          <w:lang w:val="en-GB"/>
        </w:rPr>
        <w:t>We</w:t>
      </w:r>
      <w:r w:rsidRPr="0013512D">
        <w:rPr>
          <w:lang w:val="en-GB"/>
        </w:rPr>
        <w:t xml:space="preserve"> would like to offer our reflections on a number of </w:t>
      </w:r>
      <w:r w:rsidR="00497358" w:rsidRPr="0013512D">
        <w:rPr>
          <w:lang w:val="en-GB"/>
        </w:rPr>
        <w:t>critiques</w:t>
      </w:r>
      <w:r w:rsidR="0017696F" w:rsidRPr="0013512D">
        <w:rPr>
          <w:lang w:val="en-GB"/>
        </w:rPr>
        <w:t xml:space="preserve"> </w:t>
      </w:r>
      <w:r w:rsidR="00497358" w:rsidRPr="0013512D">
        <w:rPr>
          <w:lang w:val="en-GB"/>
        </w:rPr>
        <w:t xml:space="preserve">of this position. </w:t>
      </w:r>
      <w:r w:rsidR="00066DB6" w:rsidRPr="0013512D">
        <w:rPr>
          <w:lang w:val="en-GB"/>
        </w:rPr>
        <w:t xml:space="preserve">It is important to make a disclaimer at this point that given the already broad scope of this paper, we are only able to provide cursory treatment of the ethical and legal challenges stemming from the deployment of art in international criminal </w:t>
      </w:r>
      <w:r w:rsidR="0013512D" w:rsidRPr="0013512D">
        <w:rPr>
          <w:lang w:val="en-GB"/>
        </w:rPr>
        <w:t>justice</w:t>
      </w:r>
      <w:r w:rsidR="00066DB6" w:rsidRPr="0013512D">
        <w:rPr>
          <w:lang w:val="en-GB"/>
        </w:rPr>
        <w:t>. This is one of the key areas for further specialised research.</w:t>
      </w:r>
    </w:p>
    <w:p w14:paraId="3B6B68E1" w14:textId="77777777" w:rsidR="00C90578" w:rsidRPr="0013512D" w:rsidRDefault="00C90578" w:rsidP="005C247F">
      <w:pPr>
        <w:spacing w:line="360" w:lineRule="auto"/>
        <w:rPr>
          <w:i/>
          <w:lang w:val="en-GB"/>
        </w:rPr>
      </w:pPr>
    </w:p>
    <w:p w14:paraId="7E07300A" w14:textId="3478CF53" w:rsidR="00D97F0F" w:rsidRPr="0013512D" w:rsidRDefault="006E0452" w:rsidP="005C247F">
      <w:pPr>
        <w:pStyle w:val="ListParagraph"/>
        <w:numPr>
          <w:ilvl w:val="0"/>
          <w:numId w:val="19"/>
        </w:numPr>
        <w:spacing w:line="360" w:lineRule="auto"/>
        <w:rPr>
          <w:rFonts w:ascii="Times New Roman" w:hAnsi="Times New Roman"/>
          <w:i/>
          <w:lang w:val="en-GB"/>
        </w:rPr>
      </w:pPr>
      <w:r w:rsidRPr="0013512D">
        <w:rPr>
          <w:rFonts w:ascii="Times New Roman" w:hAnsi="Times New Roman"/>
          <w:i/>
          <w:lang w:val="en-GB"/>
        </w:rPr>
        <w:t>Ethical issues of consumerism</w:t>
      </w:r>
    </w:p>
    <w:p w14:paraId="19B66E4F" w14:textId="77777777" w:rsidR="00BD27CB" w:rsidRPr="0013512D" w:rsidRDefault="00BD27CB" w:rsidP="005C247F">
      <w:pPr>
        <w:pStyle w:val="ListParagraph"/>
        <w:spacing w:line="360" w:lineRule="auto"/>
        <w:ind w:left="2160"/>
        <w:rPr>
          <w:rFonts w:ascii="Times New Roman" w:hAnsi="Times New Roman"/>
          <w:i/>
          <w:lang w:val="en-GB"/>
        </w:rPr>
      </w:pPr>
    </w:p>
    <w:p w14:paraId="0B7C55E7" w14:textId="5ACBF174" w:rsidR="00844C48" w:rsidRPr="0013512D" w:rsidRDefault="007A0744" w:rsidP="005C247F">
      <w:pPr>
        <w:spacing w:line="360" w:lineRule="auto"/>
        <w:rPr>
          <w:lang w:val="en-GB"/>
        </w:rPr>
      </w:pPr>
      <w:r w:rsidRPr="0013512D">
        <w:rPr>
          <w:lang w:val="en-GB"/>
        </w:rPr>
        <w:t xml:space="preserve">There are clear issues involved in </w:t>
      </w:r>
      <w:r w:rsidR="00774E74" w:rsidRPr="0013512D">
        <w:rPr>
          <w:lang w:val="en-GB"/>
        </w:rPr>
        <w:t xml:space="preserve">aestheticizing </w:t>
      </w:r>
      <w:r w:rsidRPr="0013512D">
        <w:rPr>
          <w:lang w:val="en-GB"/>
        </w:rPr>
        <w:t>suffering for consumerist purposes.</w:t>
      </w:r>
      <w:r w:rsidRPr="0013512D">
        <w:rPr>
          <w:rStyle w:val="FootnoteReference"/>
          <w:lang w:val="en-GB"/>
        </w:rPr>
        <w:footnoteReference w:id="153"/>
      </w:r>
      <w:r w:rsidR="009E7EC4" w:rsidRPr="0013512D">
        <w:rPr>
          <w:lang w:val="en-GB"/>
        </w:rPr>
        <w:t xml:space="preserve"> The challenge is that aesthetic representation removes some of the horrors the depiction or production represents.</w:t>
      </w:r>
      <w:r w:rsidR="009E7EC4" w:rsidRPr="0013512D">
        <w:rPr>
          <w:rStyle w:val="FootnoteReference"/>
          <w:lang w:val="en-GB"/>
        </w:rPr>
        <w:footnoteReference w:id="154"/>
      </w:r>
      <w:r w:rsidR="007F361B" w:rsidRPr="0013512D">
        <w:rPr>
          <w:lang w:val="en-GB"/>
        </w:rPr>
        <w:t xml:space="preserve"> A good example of this</w:t>
      </w:r>
      <w:r w:rsidR="00DF1CFA" w:rsidRPr="0013512D">
        <w:rPr>
          <w:lang w:val="en-GB"/>
        </w:rPr>
        <w:t xml:space="preserve"> challenge</w:t>
      </w:r>
      <w:r w:rsidR="007F361B" w:rsidRPr="0013512D">
        <w:rPr>
          <w:lang w:val="en-GB"/>
        </w:rPr>
        <w:t xml:space="preserve"> </w:t>
      </w:r>
      <w:r w:rsidR="00794609" w:rsidRPr="0013512D">
        <w:rPr>
          <w:lang w:val="en-GB"/>
        </w:rPr>
        <w:t>are ethical concerns</w:t>
      </w:r>
      <w:r w:rsidR="007F361B" w:rsidRPr="0013512D">
        <w:rPr>
          <w:lang w:val="en-GB"/>
        </w:rPr>
        <w:t xml:space="preserve"> surrounding</w:t>
      </w:r>
      <w:r w:rsidR="005545B6" w:rsidRPr="0013512D">
        <w:rPr>
          <w:lang w:val="en-GB"/>
        </w:rPr>
        <w:t xml:space="preserve"> turning </w:t>
      </w:r>
      <w:r w:rsidR="00235D53" w:rsidRPr="0013512D">
        <w:rPr>
          <w:lang w:val="en-GB"/>
        </w:rPr>
        <w:t>photographs</w:t>
      </w:r>
      <w:r w:rsidR="00794609" w:rsidRPr="0013512D">
        <w:rPr>
          <w:lang w:val="en-GB"/>
        </w:rPr>
        <w:t xml:space="preserve"> of prisoners taken upon their entry into</w:t>
      </w:r>
      <w:r w:rsidR="005545B6" w:rsidRPr="0013512D">
        <w:rPr>
          <w:lang w:val="en-GB"/>
        </w:rPr>
        <w:t xml:space="preserve"> torture facility S-21</w:t>
      </w:r>
      <w:r w:rsidR="00794609" w:rsidRPr="0013512D">
        <w:rPr>
          <w:lang w:val="en-GB"/>
        </w:rPr>
        <w:t xml:space="preserve"> in </w:t>
      </w:r>
      <w:proofErr w:type="spellStart"/>
      <w:r w:rsidR="00794609" w:rsidRPr="0013512D">
        <w:rPr>
          <w:lang w:val="en-GB"/>
        </w:rPr>
        <w:t>Phom</w:t>
      </w:r>
      <w:proofErr w:type="spellEnd"/>
      <w:r w:rsidR="00794609" w:rsidRPr="0013512D">
        <w:rPr>
          <w:lang w:val="en-GB"/>
        </w:rPr>
        <w:t xml:space="preserve"> </w:t>
      </w:r>
      <w:proofErr w:type="spellStart"/>
      <w:r w:rsidR="00794609" w:rsidRPr="0013512D">
        <w:rPr>
          <w:lang w:val="en-GB"/>
        </w:rPr>
        <w:t>Pehn</w:t>
      </w:r>
      <w:proofErr w:type="spellEnd"/>
      <w:r w:rsidR="00794609" w:rsidRPr="0013512D">
        <w:rPr>
          <w:lang w:val="en-GB"/>
        </w:rPr>
        <w:t xml:space="preserve"> into exhibits currently on display in </w:t>
      </w:r>
      <w:proofErr w:type="spellStart"/>
      <w:r w:rsidR="005545B6" w:rsidRPr="0013512D">
        <w:rPr>
          <w:lang w:val="en-GB"/>
        </w:rPr>
        <w:t>Tuol</w:t>
      </w:r>
      <w:proofErr w:type="spellEnd"/>
      <w:r w:rsidR="005545B6" w:rsidRPr="0013512D">
        <w:rPr>
          <w:lang w:val="en-GB"/>
        </w:rPr>
        <w:t xml:space="preserve"> </w:t>
      </w:r>
      <w:proofErr w:type="spellStart"/>
      <w:r w:rsidR="005545B6" w:rsidRPr="0013512D">
        <w:rPr>
          <w:lang w:val="en-GB"/>
        </w:rPr>
        <w:t>Sleng</w:t>
      </w:r>
      <w:proofErr w:type="spellEnd"/>
      <w:r w:rsidR="005545B6" w:rsidRPr="0013512D">
        <w:rPr>
          <w:lang w:val="en-GB"/>
        </w:rPr>
        <w:t xml:space="preserve"> Genocide museum</w:t>
      </w:r>
      <w:r w:rsidR="007F361B" w:rsidRPr="0013512D">
        <w:rPr>
          <w:lang w:val="en-GB"/>
        </w:rPr>
        <w:t>.</w:t>
      </w:r>
      <w:r w:rsidR="005545B6" w:rsidRPr="0013512D">
        <w:rPr>
          <w:rStyle w:val="FootnoteReference"/>
          <w:lang w:val="en-GB"/>
        </w:rPr>
        <w:footnoteReference w:id="155"/>
      </w:r>
      <w:r w:rsidR="005545B6" w:rsidRPr="0013512D">
        <w:rPr>
          <w:lang w:val="en-GB"/>
        </w:rPr>
        <w:t xml:space="preserve"> For Thierry de Duve, encounter with these photographs placed him in an </w:t>
      </w:r>
      <w:r w:rsidR="005545B6" w:rsidRPr="0013512D">
        <w:rPr>
          <w:lang w:val="en-GB"/>
        </w:rPr>
        <w:lastRenderedPageBreak/>
        <w:t>impossible position where ‘aesthetic feelings became involuntary’.</w:t>
      </w:r>
      <w:r w:rsidR="005545B6" w:rsidRPr="0013512D">
        <w:rPr>
          <w:rStyle w:val="FootnoteReference"/>
          <w:lang w:val="en-GB"/>
        </w:rPr>
        <w:footnoteReference w:id="156"/>
      </w:r>
      <w:r w:rsidR="005545B6" w:rsidRPr="0013512D">
        <w:rPr>
          <w:lang w:val="en-GB"/>
        </w:rPr>
        <w:t xml:space="preserve"> He attended the S-21 exhibition of photographs in MoMA in New York at the time when some of the images from </w:t>
      </w:r>
      <w:proofErr w:type="spellStart"/>
      <w:r w:rsidR="005545B6" w:rsidRPr="0013512D">
        <w:rPr>
          <w:lang w:val="en-GB"/>
        </w:rPr>
        <w:t>Tuol</w:t>
      </w:r>
      <w:proofErr w:type="spellEnd"/>
      <w:r w:rsidR="005545B6" w:rsidRPr="0013512D">
        <w:rPr>
          <w:lang w:val="en-GB"/>
        </w:rPr>
        <w:t xml:space="preserve"> </w:t>
      </w:r>
      <w:proofErr w:type="spellStart"/>
      <w:r w:rsidR="005545B6" w:rsidRPr="0013512D">
        <w:rPr>
          <w:lang w:val="en-GB"/>
        </w:rPr>
        <w:t>Sleng</w:t>
      </w:r>
      <w:proofErr w:type="spellEnd"/>
      <w:r w:rsidR="005545B6" w:rsidRPr="0013512D">
        <w:rPr>
          <w:lang w:val="en-GB"/>
        </w:rPr>
        <w:t xml:space="preserve"> were </w:t>
      </w:r>
      <w:r w:rsidR="00794609" w:rsidRPr="0013512D">
        <w:rPr>
          <w:lang w:val="en-GB"/>
        </w:rPr>
        <w:t>showcased</w:t>
      </w:r>
      <w:r w:rsidR="005545B6" w:rsidRPr="0013512D">
        <w:rPr>
          <w:lang w:val="en-GB"/>
        </w:rPr>
        <w:t xml:space="preserve"> there. De Duve fought with the initial reaction that he terms ‘cheap empathy’. </w:t>
      </w:r>
      <w:r w:rsidR="00844C48" w:rsidRPr="0013512D">
        <w:rPr>
          <w:lang w:val="en-GB"/>
        </w:rPr>
        <w:t xml:space="preserve">The </w:t>
      </w:r>
      <w:r w:rsidR="0013512D" w:rsidRPr="0013512D">
        <w:rPr>
          <w:lang w:val="en-GB"/>
        </w:rPr>
        <w:t>environment</w:t>
      </w:r>
      <w:r w:rsidR="00844C48" w:rsidRPr="0013512D">
        <w:rPr>
          <w:lang w:val="en-GB"/>
        </w:rPr>
        <w:t xml:space="preserve"> in which he viewed the photographs could have also played a role in such a strong reaction because context and prevalent cultural values are essential in interpreting and giving meaning to photographs, which are by no means neutral representations of reality.</w:t>
      </w:r>
      <w:r w:rsidR="00844C48" w:rsidRPr="0013512D">
        <w:rPr>
          <w:rStyle w:val="FootnoteReference"/>
          <w:lang w:val="en-GB"/>
        </w:rPr>
        <w:footnoteReference w:id="157"/>
      </w:r>
      <w:r w:rsidR="00844C48" w:rsidRPr="0013512D">
        <w:rPr>
          <w:lang w:val="en-GB"/>
        </w:rPr>
        <w:t xml:space="preserve"> De Duve </w:t>
      </w:r>
      <w:r w:rsidR="005545B6" w:rsidRPr="0013512D">
        <w:rPr>
          <w:lang w:val="en-GB"/>
        </w:rPr>
        <w:t>resolved the tension by coming back to the exhibition the following day and addressing the photos one by one, acknowledging individuality of each person depicted on them.</w:t>
      </w:r>
      <w:r w:rsidR="005545B6" w:rsidRPr="0013512D">
        <w:rPr>
          <w:rStyle w:val="FootnoteReference"/>
          <w:lang w:val="en-GB"/>
        </w:rPr>
        <w:footnoteReference w:id="158"/>
      </w:r>
      <w:r w:rsidR="005545B6" w:rsidRPr="0013512D">
        <w:rPr>
          <w:lang w:val="en-GB"/>
        </w:rPr>
        <w:t xml:space="preserve"> </w:t>
      </w:r>
    </w:p>
    <w:p w14:paraId="69CD0EF7" w14:textId="77777777" w:rsidR="00FD40F2" w:rsidRPr="0013512D" w:rsidRDefault="00FD40F2" w:rsidP="005C247F">
      <w:pPr>
        <w:spacing w:line="360" w:lineRule="auto"/>
        <w:rPr>
          <w:lang w:val="en-GB"/>
        </w:rPr>
      </w:pPr>
    </w:p>
    <w:p w14:paraId="6235B48D" w14:textId="4346911B" w:rsidR="00FD40F2" w:rsidRPr="0013512D" w:rsidRDefault="005E373C" w:rsidP="009D7898">
      <w:pPr>
        <w:spacing w:line="360" w:lineRule="auto"/>
        <w:rPr>
          <w:color w:val="FF0000"/>
          <w:lang w:val="en-GB"/>
        </w:rPr>
      </w:pPr>
      <w:r w:rsidRPr="0013512D">
        <w:rPr>
          <w:lang w:val="en-GB"/>
        </w:rPr>
        <w:t xml:space="preserve">Another aspect of the same problem is the </w:t>
      </w:r>
      <w:r w:rsidR="001215B5" w:rsidRPr="0013512D">
        <w:rPr>
          <w:lang w:val="en-GB"/>
        </w:rPr>
        <w:t>danger</w:t>
      </w:r>
      <w:r w:rsidRPr="0013512D">
        <w:rPr>
          <w:lang w:val="en-GB"/>
        </w:rPr>
        <w:t xml:space="preserve"> of replicating </w:t>
      </w:r>
      <w:r w:rsidR="001215B5" w:rsidRPr="0013512D">
        <w:rPr>
          <w:lang w:val="en-GB"/>
        </w:rPr>
        <w:t xml:space="preserve">unhelpful </w:t>
      </w:r>
      <w:r w:rsidRPr="0013512D">
        <w:rPr>
          <w:lang w:val="en-GB"/>
        </w:rPr>
        <w:t>biases through art.</w:t>
      </w:r>
      <w:r w:rsidR="00FD40F2" w:rsidRPr="0013512D">
        <w:rPr>
          <w:lang w:val="en-GB"/>
        </w:rPr>
        <w:t xml:space="preserve"> </w:t>
      </w:r>
      <w:r w:rsidRPr="0013512D">
        <w:rPr>
          <w:lang w:val="en-GB"/>
        </w:rPr>
        <w:t>Certain</w:t>
      </w:r>
      <w:r w:rsidR="00FD40F2" w:rsidRPr="0013512D">
        <w:rPr>
          <w:lang w:val="en-GB"/>
        </w:rPr>
        <w:t xml:space="preserve"> international criminal justice notions, such as ‘victim’</w:t>
      </w:r>
      <w:r w:rsidR="001215B5" w:rsidRPr="0013512D">
        <w:rPr>
          <w:lang w:val="en-GB"/>
        </w:rPr>
        <w:t>,</w:t>
      </w:r>
      <w:r w:rsidRPr="0013512D">
        <w:rPr>
          <w:lang w:val="en-GB"/>
        </w:rPr>
        <w:t xml:space="preserve"> are </w:t>
      </w:r>
      <w:r w:rsidR="00FD40F2" w:rsidRPr="0013512D">
        <w:rPr>
          <w:lang w:val="en-GB"/>
        </w:rPr>
        <w:t xml:space="preserve">powerful tools in the political and economic struggle for global justice resources. Christine </w:t>
      </w:r>
      <w:proofErr w:type="spellStart"/>
      <w:r w:rsidR="00FD40F2" w:rsidRPr="0013512D">
        <w:rPr>
          <w:color w:val="000000" w:themeColor="text1"/>
          <w:lang w:val="en-GB"/>
        </w:rPr>
        <w:t>Schw</w:t>
      </w:r>
      <w:r w:rsidR="00D512C1" w:rsidRPr="0013512D">
        <w:rPr>
          <w:color w:val="000000" w:themeColor="text1"/>
          <w:lang w:val="en-GB"/>
        </w:rPr>
        <w:t>ö</w:t>
      </w:r>
      <w:r w:rsidR="00FD40F2" w:rsidRPr="0013512D">
        <w:rPr>
          <w:color w:val="000000" w:themeColor="text1"/>
          <w:lang w:val="en-GB"/>
        </w:rPr>
        <w:t>bel</w:t>
      </w:r>
      <w:proofErr w:type="spellEnd"/>
      <w:r w:rsidR="00FD40F2" w:rsidRPr="0013512D">
        <w:rPr>
          <w:color w:val="000000" w:themeColor="text1"/>
          <w:lang w:val="en-GB"/>
        </w:rPr>
        <w:t xml:space="preserve">-Patel </w:t>
      </w:r>
      <w:r w:rsidR="00294F0B" w:rsidRPr="0013512D">
        <w:rPr>
          <w:color w:val="000000" w:themeColor="text1"/>
          <w:lang w:val="en-GB"/>
        </w:rPr>
        <w:t>emphasizes</w:t>
      </w:r>
      <w:r w:rsidR="00FD40F2" w:rsidRPr="0013512D">
        <w:rPr>
          <w:color w:val="000000" w:themeColor="text1"/>
          <w:lang w:val="en-GB"/>
        </w:rPr>
        <w:t xml:space="preserve"> </w:t>
      </w:r>
      <w:r w:rsidR="00FD40F2" w:rsidRPr="0013512D">
        <w:rPr>
          <w:lang w:val="en-GB"/>
        </w:rPr>
        <w:t xml:space="preserve">that although victims are complex and multi-faceted, they are </w:t>
      </w:r>
      <w:r w:rsidR="00294F0B" w:rsidRPr="0013512D">
        <w:rPr>
          <w:lang w:val="en-GB"/>
        </w:rPr>
        <w:t xml:space="preserve">often </w:t>
      </w:r>
      <w:r w:rsidR="00FD40F2" w:rsidRPr="0013512D">
        <w:rPr>
          <w:lang w:val="en-GB"/>
        </w:rPr>
        <w:t>depicted as feminized, infantilized and racialized in the hands of international criminal law for political and economic reasons. By marketing simple messages of good and evil, victimization is stereotyped so as to appear worthy of humanitarian support and resources.</w:t>
      </w:r>
      <w:r w:rsidR="00FD40F2" w:rsidRPr="0013512D">
        <w:rPr>
          <w:rStyle w:val="FootnoteReference"/>
          <w:lang w:val="en-GB"/>
        </w:rPr>
        <w:footnoteReference w:id="159"/>
      </w:r>
      <w:r w:rsidR="00FD40F2" w:rsidRPr="0013512D">
        <w:rPr>
          <w:lang w:val="en-GB"/>
        </w:rPr>
        <w:t xml:space="preserve"> </w:t>
      </w:r>
    </w:p>
    <w:p w14:paraId="5AAF41B2" w14:textId="77777777" w:rsidR="00B77A85" w:rsidRPr="0013512D" w:rsidRDefault="00B77A85" w:rsidP="005C247F">
      <w:pPr>
        <w:spacing w:line="360" w:lineRule="auto"/>
        <w:rPr>
          <w:color w:val="FF0000"/>
          <w:lang w:val="en-GB"/>
        </w:rPr>
      </w:pPr>
    </w:p>
    <w:p w14:paraId="47CBDBD3" w14:textId="34ED5C78" w:rsidR="00E81AD0" w:rsidRPr="0013512D" w:rsidRDefault="00E81AD0" w:rsidP="005C247F">
      <w:pPr>
        <w:pStyle w:val="ListParagraph"/>
        <w:numPr>
          <w:ilvl w:val="0"/>
          <w:numId w:val="19"/>
        </w:numPr>
        <w:spacing w:line="360" w:lineRule="auto"/>
        <w:rPr>
          <w:rFonts w:ascii="Times New Roman" w:hAnsi="Times New Roman"/>
          <w:i/>
          <w:lang w:val="en-GB"/>
        </w:rPr>
      </w:pPr>
      <w:r w:rsidRPr="0013512D">
        <w:rPr>
          <w:rFonts w:ascii="Times New Roman" w:hAnsi="Times New Roman"/>
          <w:i/>
          <w:lang w:val="en-GB"/>
        </w:rPr>
        <w:t>The</w:t>
      </w:r>
      <w:r w:rsidR="00C349A8" w:rsidRPr="0013512D">
        <w:rPr>
          <w:rFonts w:ascii="Times New Roman" w:hAnsi="Times New Roman"/>
          <w:i/>
          <w:lang w:val="en-GB"/>
        </w:rPr>
        <w:t xml:space="preserve"> </w:t>
      </w:r>
      <w:r w:rsidRPr="0013512D">
        <w:rPr>
          <w:rFonts w:ascii="Times New Roman" w:hAnsi="Times New Roman"/>
          <w:i/>
          <w:lang w:val="en-GB"/>
        </w:rPr>
        <w:t>subjective nature of art</w:t>
      </w:r>
    </w:p>
    <w:p w14:paraId="06779716" w14:textId="77777777" w:rsidR="00BD27CB" w:rsidRPr="0013512D" w:rsidRDefault="00BD27CB" w:rsidP="005C247F">
      <w:pPr>
        <w:pStyle w:val="ListParagraph"/>
        <w:spacing w:line="360" w:lineRule="auto"/>
        <w:ind w:left="2160"/>
        <w:rPr>
          <w:rFonts w:ascii="Times New Roman" w:hAnsi="Times New Roman"/>
          <w:i/>
          <w:lang w:val="en-GB"/>
        </w:rPr>
      </w:pPr>
    </w:p>
    <w:p w14:paraId="63F96E0C" w14:textId="31FAB3DD" w:rsidR="00B74253" w:rsidRPr="0013512D" w:rsidRDefault="00D21247" w:rsidP="005C247F">
      <w:pPr>
        <w:spacing w:line="360" w:lineRule="auto"/>
        <w:rPr>
          <w:lang w:val="en-GB"/>
        </w:rPr>
      </w:pPr>
      <w:r w:rsidRPr="0013512D">
        <w:rPr>
          <w:lang w:val="en-GB"/>
        </w:rPr>
        <w:t xml:space="preserve">Criminal law </w:t>
      </w:r>
      <w:r w:rsidR="00B74253" w:rsidRPr="0013512D">
        <w:rPr>
          <w:lang w:val="en-GB"/>
        </w:rPr>
        <w:t>is based on the</w:t>
      </w:r>
      <w:r w:rsidRPr="0013512D">
        <w:rPr>
          <w:lang w:val="en-GB"/>
        </w:rPr>
        <w:t xml:space="preserve"> principle of legality, which</w:t>
      </w:r>
      <w:r w:rsidR="00B74253" w:rsidRPr="0013512D">
        <w:rPr>
          <w:lang w:val="en-GB"/>
        </w:rPr>
        <w:t xml:space="preserve"> honours precision and clarity, while art thrives on ambiguity, which embraces different meanings attributed by different actors and in different contexts. Criminal law </w:t>
      </w:r>
      <w:r w:rsidR="00733768" w:rsidRPr="0013512D">
        <w:rPr>
          <w:lang w:val="en-GB"/>
        </w:rPr>
        <w:t xml:space="preserve">often </w:t>
      </w:r>
      <w:r w:rsidR="00B74253" w:rsidRPr="0013512D">
        <w:rPr>
          <w:lang w:val="en-GB"/>
        </w:rPr>
        <w:t xml:space="preserve">operates in black and white categories. It is a ‘yes’ or ‘no’ discipline with little room to manoeuvre </w:t>
      </w:r>
      <w:r w:rsidR="00733768" w:rsidRPr="0013512D">
        <w:rPr>
          <w:lang w:val="en-GB"/>
        </w:rPr>
        <w:t>when it comes to factual</w:t>
      </w:r>
      <w:r w:rsidR="00B74253" w:rsidRPr="0013512D">
        <w:rPr>
          <w:lang w:val="en-GB"/>
        </w:rPr>
        <w:t xml:space="preserve"> questions </w:t>
      </w:r>
      <w:r w:rsidR="00733768" w:rsidRPr="0013512D">
        <w:rPr>
          <w:lang w:val="en-GB"/>
        </w:rPr>
        <w:t>as to</w:t>
      </w:r>
      <w:r w:rsidR="00B74253" w:rsidRPr="0013512D">
        <w:rPr>
          <w:lang w:val="en-GB"/>
        </w:rPr>
        <w:t xml:space="preserve"> whether or not a certain act occurred and </w:t>
      </w:r>
      <w:r w:rsidR="00733768" w:rsidRPr="0013512D">
        <w:rPr>
          <w:lang w:val="en-GB"/>
        </w:rPr>
        <w:t xml:space="preserve">legal evaluative questions as to </w:t>
      </w:r>
      <w:r w:rsidR="00B74253" w:rsidRPr="0013512D">
        <w:rPr>
          <w:lang w:val="en-GB"/>
        </w:rPr>
        <w:t xml:space="preserve">whether or not the accused is </w:t>
      </w:r>
      <w:r w:rsidR="00733768" w:rsidRPr="0013512D">
        <w:rPr>
          <w:lang w:val="en-GB"/>
        </w:rPr>
        <w:t xml:space="preserve">to be held </w:t>
      </w:r>
      <w:r w:rsidR="00B74253" w:rsidRPr="0013512D">
        <w:rPr>
          <w:lang w:val="en-GB"/>
        </w:rPr>
        <w:t>responsible for it. Art, in contrast, has the enigma that captivates the observer by inviting interpretation and deep reflection</w:t>
      </w:r>
      <w:r w:rsidR="00733768" w:rsidRPr="0013512D">
        <w:rPr>
          <w:lang w:val="en-GB"/>
        </w:rPr>
        <w:t xml:space="preserve"> from different angles.</w:t>
      </w:r>
    </w:p>
    <w:p w14:paraId="3FFC5160" w14:textId="77777777" w:rsidR="00186983" w:rsidRPr="0013512D" w:rsidRDefault="00186983" w:rsidP="005C247F">
      <w:pPr>
        <w:spacing w:line="360" w:lineRule="auto"/>
        <w:rPr>
          <w:color w:val="FF0000"/>
          <w:lang w:val="en-GB"/>
        </w:rPr>
      </w:pPr>
      <w:bookmarkStart w:id="0" w:name="_GoBack"/>
      <w:bookmarkEnd w:id="0"/>
    </w:p>
    <w:p w14:paraId="4F1B3660" w14:textId="4DCAAA50" w:rsidR="00D21247" w:rsidRPr="0013512D" w:rsidRDefault="00D21247" w:rsidP="005C247F">
      <w:pPr>
        <w:spacing w:line="360" w:lineRule="auto"/>
        <w:rPr>
          <w:lang w:val="en-GB"/>
        </w:rPr>
      </w:pPr>
      <w:r w:rsidRPr="0013512D">
        <w:rPr>
          <w:lang w:val="en-GB"/>
        </w:rPr>
        <w:t xml:space="preserve">Such a drastic gap </w:t>
      </w:r>
      <w:r w:rsidR="00B74253" w:rsidRPr="0013512D">
        <w:rPr>
          <w:lang w:val="en-GB"/>
        </w:rPr>
        <w:t xml:space="preserve">between the two domains </w:t>
      </w:r>
      <w:r w:rsidRPr="0013512D">
        <w:rPr>
          <w:lang w:val="en-GB"/>
        </w:rPr>
        <w:t xml:space="preserve">may invite scepticism that erasing the clear boundaries of the law may lead to the de-objectification of the discipline to the extent that it loses its persuasive power. Can art actually harm the discipline of international criminal law? In response, we would argue that through art, the boundaries are upheld in a different way – the law retains its content, while the complexity of life is captured by the direct experience of affect. </w:t>
      </w:r>
    </w:p>
    <w:p w14:paraId="72F4A21D" w14:textId="77777777" w:rsidR="00186983" w:rsidRPr="0013512D" w:rsidRDefault="00186983" w:rsidP="005C247F">
      <w:pPr>
        <w:spacing w:line="360" w:lineRule="auto"/>
        <w:rPr>
          <w:lang w:val="en-GB"/>
        </w:rPr>
      </w:pPr>
    </w:p>
    <w:p w14:paraId="137D3E31" w14:textId="77AAD47E" w:rsidR="00C349A8" w:rsidRPr="0013512D" w:rsidRDefault="00C349A8" w:rsidP="005C247F">
      <w:pPr>
        <w:spacing w:line="360" w:lineRule="auto"/>
        <w:rPr>
          <w:lang w:val="en-GB"/>
        </w:rPr>
      </w:pPr>
      <w:r w:rsidRPr="0013512D">
        <w:rPr>
          <w:lang w:val="en-GB"/>
        </w:rPr>
        <w:t xml:space="preserve">There is a division of labour between art and law. Legal documents, such as the statutes of international criminal courts and tribunals or the judgments issued by these institutions are forceful statements, but they speak primarily to the legal community. It is not obvious that a member of the general public will go directly to the legal judgment for information. </w:t>
      </w:r>
      <w:r w:rsidR="001215B5" w:rsidRPr="0013512D">
        <w:rPr>
          <w:lang w:val="en-GB"/>
        </w:rPr>
        <w:t>Moreover, there</w:t>
      </w:r>
      <w:r w:rsidRPr="0013512D">
        <w:rPr>
          <w:lang w:val="en-GB"/>
        </w:rPr>
        <w:t xml:space="preserve"> may cognitive biase</w:t>
      </w:r>
      <w:r w:rsidR="001215B5" w:rsidRPr="0013512D">
        <w:rPr>
          <w:lang w:val="en-GB"/>
        </w:rPr>
        <w:t xml:space="preserve">s </w:t>
      </w:r>
      <w:r w:rsidRPr="0013512D">
        <w:rPr>
          <w:lang w:val="en-GB"/>
        </w:rPr>
        <w:t>in place preventing direct transmission of the information from the tribunal to individuals, even if it is simplified and broken down into small analytical pieces (for example, case information sheets).</w:t>
      </w:r>
      <w:r w:rsidR="001215B5" w:rsidRPr="0013512D">
        <w:rPr>
          <w:lang w:val="en-GB"/>
        </w:rPr>
        <w:t xml:space="preserve"> These biases have to do with the nature of </w:t>
      </w:r>
      <w:r w:rsidR="001215B5" w:rsidRPr="0013512D">
        <w:rPr>
          <w:color w:val="000000"/>
          <w:lang w:val="en-GB"/>
        </w:rPr>
        <w:t>human decision-making</w:t>
      </w:r>
      <w:r w:rsidR="001215B5" w:rsidRPr="0013512D">
        <w:rPr>
          <w:lang w:val="en-GB"/>
        </w:rPr>
        <w:t>: p</w:t>
      </w:r>
      <w:r w:rsidR="001215B5" w:rsidRPr="0013512D">
        <w:rPr>
          <w:color w:val="000000"/>
          <w:lang w:val="en-GB"/>
        </w:rPr>
        <w:t>eople are not fully rational when arriving at certain conclusions</w:t>
      </w:r>
      <w:r w:rsidR="0073200D" w:rsidRPr="0013512D">
        <w:rPr>
          <w:color w:val="000000"/>
          <w:lang w:val="en-GB"/>
        </w:rPr>
        <w:t xml:space="preserve"> as </w:t>
      </w:r>
      <w:r w:rsidR="001215B5" w:rsidRPr="0013512D">
        <w:rPr>
          <w:color w:val="000000"/>
          <w:lang w:val="en-GB"/>
        </w:rPr>
        <w:t>emotions and cognitive biases often overtake the whole process of forming an opinion.</w:t>
      </w:r>
      <w:r w:rsidR="001215B5" w:rsidRPr="0013512D">
        <w:rPr>
          <w:rStyle w:val="FootnoteReference"/>
          <w:color w:val="000000"/>
          <w:lang w:val="en-GB"/>
        </w:rPr>
        <w:footnoteReference w:id="160"/>
      </w:r>
      <w:r w:rsidR="001215B5" w:rsidRPr="0013512D">
        <w:rPr>
          <w:color w:val="000000"/>
          <w:lang w:val="en-GB"/>
        </w:rPr>
        <w:t xml:space="preserve"> When confronted with information that goes against their deep-seated convictions or a sense of self in the society, people are likely to rigidly favour information they had obtained previously and disregard disturbing new facts</w:t>
      </w:r>
      <w:r w:rsidR="001215B5" w:rsidRPr="0013512D">
        <w:rPr>
          <w:lang w:val="en-GB"/>
        </w:rPr>
        <w:t>.</w:t>
      </w:r>
    </w:p>
    <w:p w14:paraId="3FF105DF" w14:textId="77777777" w:rsidR="00186983" w:rsidRPr="0013512D" w:rsidRDefault="00186983" w:rsidP="005C247F">
      <w:pPr>
        <w:spacing w:line="360" w:lineRule="auto"/>
        <w:rPr>
          <w:lang w:val="en-GB"/>
        </w:rPr>
      </w:pPr>
    </w:p>
    <w:p w14:paraId="505FCC12" w14:textId="572F7C90" w:rsidR="004D5FC7" w:rsidRPr="0013512D" w:rsidRDefault="004D5FC7" w:rsidP="005C247F">
      <w:pPr>
        <w:spacing w:line="360" w:lineRule="auto"/>
        <w:rPr>
          <w:lang w:val="en-GB"/>
        </w:rPr>
      </w:pPr>
      <w:r w:rsidRPr="0013512D">
        <w:rPr>
          <w:lang w:val="en-GB"/>
        </w:rPr>
        <w:t xml:space="preserve">A clear example of the challenge of mediating </w:t>
      </w:r>
      <w:r w:rsidR="00C349A8" w:rsidRPr="0013512D">
        <w:rPr>
          <w:lang w:val="en-GB"/>
        </w:rPr>
        <w:t xml:space="preserve">the values of international criminal law </w:t>
      </w:r>
      <w:r w:rsidRPr="0013512D">
        <w:rPr>
          <w:lang w:val="en-GB"/>
        </w:rPr>
        <w:t xml:space="preserve">(broadly conceived) through art is the destruction in 2017 of the </w:t>
      </w:r>
      <w:proofErr w:type="spellStart"/>
      <w:r w:rsidRPr="0013512D">
        <w:rPr>
          <w:lang w:val="en-GB"/>
        </w:rPr>
        <w:t>Mapiripán</w:t>
      </w:r>
      <w:proofErr w:type="spellEnd"/>
      <w:r w:rsidRPr="0013512D">
        <w:rPr>
          <w:lang w:val="en-GB"/>
        </w:rPr>
        <w:t xml:space="preserve"> monument in Colombia.</w:t>
      </w:r>
      <w:r w:rsidR="00C349A8" w:rsidRPr="0013512D">
        <w:rPr>
          <w:lang w:val="en-GB"/>
        </w:rPr>
        <w:t xml:space="preserve"> </w:t>
      </w:r>
      <w:r w:rsidRPr="0013512D">
        <w:rPr>
          <w:lang w:val="en-GB"/>
        </w:rPr>
        <w:t>In</w:t>
      </w:r>
      <w:r w:rsidR="00C349A8" w:rsidRPr="0013512D">
        <w:rPr>
          <w:lang w:val="en-GB"/>
        </w:rPr>
        <w:t xml:space="preserve"> 2005, the </w:t>
      </w:r>
      <w:proofErr w:type="spellStart"/>
      <w:r w:rsidR="00C349A8" w:rsidRPr="0013512D">
        <w:rPr>
          <w:rFonts w:eastAsia="Calibri"/>
          <w:lang w:val="en-GB"/>
        </w:rPr>
        <w:t>IACtHR</w:t>
      </w:r>
      <w:proofErr w:type="spellEnd"/>
      <w:r w:rsidR="00C349A8" w:rsidRPr="0013512D">
        <w:rPr>
          <w:rFonts w:eastAsia="Calibri"/>
          <w:lang w:val="en-GB"/>
        </w:rPr>
        <w:t xml:space="preserve"> ordered a construction of the monument to commemorate the torture and </w:t>
      </w:r>
      <w:r w:rsidR="00C349A8" w:rsidRPr="0013512D">
        <w:rPr>
          <w:lang w:val="en-GB"/>
        </w:rPr>
        <w:t xml:space="preserve">murder of civilians in </w:t>
      </w:r>
      <w:proofErr w:type="spellStart"/>
      <w:r w:rsidR="00C349A8" w:rsidRPr="0013512D">
        <w:rPr>
          <w:lang w:val="en-GB"/>
        </w:rPr>
        <w:t>Mapiripán</w:t>
      </w:r>
      <w:proofErr w:type="spellEnd"/>
      <w:r w:rsidR="00C349A8" w:rsidRPr="0013512D">
        <w:rPr>
          <w:lang w:val="en-GB"/>
        </w:rPr>
        <w:t>, Colombia</w:t>
      </w:r>
      <w:r w:rsidR="00C349A8" w:rsidRPr="0013512D">
        <w:rPr>
          <w:rStyle w:val="FootnoteReference"/>
          <w:lang w:val="en-GB"/>
        </w:rPr>
        <w:t>.</w:t>
      </w:r>
      <w:r w:rsidR="00C349A8" w:rsidRPr="0013512D">
        <w:rPr>
          <w:rStyle w:val="FootnoteReference"/>
          <w:lang w:val="en-GB"/>
        </w:rPr>
        <w:footnoteReference w:id="161"/>
      </w:r>
      <w:r w:rsidR="00C349A8" w:rsidRPr="0013512D">
        <w:rPr>
          <w:lang w:val="en-GB"/>
        </w:rPr>
        <w:t xml:space="preserve"> This monument – a symbol of justice - was constructed, but subsequently </w:t>
      </w:r>
      <w:r w:rsidRPr="0013512D">
        <w:rPr>
          <w:lang w:val="en-GB"/>
        </w:rPr>
        <w:t>demolished by the unknown group</w:t>
      </w:r>
      <w:r w:rsidR="00C349A8" w:rsidRPr="0013512D">
        <w:rPr>
          <w:lang w:val="en-GB"/>
        </w:rPr>
        <w:t>.</w:t>
      </w:r>
      <w:r w:rsidR="00C349A8" w:rsidRPr="0013512D">
        <w:rPr>
          <w:rStyle w:val="FootnoteReference"/>
          <w:lang w:val="en-GB"/>
        </w:rPr>
        <w:footnoteReference w:id="162"/>
      </w:r>
      <w:r w:rsidR="00C349A8" w:rsidRPr="0013512D">
        <w:rPr>
          <w:lang w:val="en-GB"/>
        </w:rPr>
        <w:t xml:space="preserve"> </w:t>
      </w:r>
      <w:r w:rsidRPr="0013512D">
        <w:rPr>
          <w:lang w:val="en-GB"/>
        </w:rPr>
        <w:t>Critics of employing art may observe that the</w:t>
      </w:r>
      <w:r w:rsidR="00C349A8" w:rsidRPr="0013512D">
        <w:rPr>
          <w:lang w:val="en-GB"/>
        </w:rPr>
        <w:t xml:space="preserve"> implication</w:t>
      </w:r>
      <w:r w:rsidRPr="0013512D">
        <w:rPr>
          <w:lang w:val="en-GB"/>
        </w:rPr>
        <w:t xml:space="preserve"> of this </w:t>
      </w:r>
      <w:r w:rsidRPr="0013512D">
        <w:rPr>
          <w:lang w:val="en-GB"/>
        </w:rPr>
        <w:lastRenderedPageBreak/>
        <w:t xml:space="preserve">destruction is traumatic as it can </w:t>
      </w:r>
      <w:r w:rsidR="00C349A8" w:rsidRPr="0013512D">
        <w:rPr>
          <w:lang w:val="en-GB"/>
        </w:rPr>
        <w:t>produce revictimization, stir discontent or cause polarization instead of healing.</w:t>
      </w:r>
      <w:r w:rsidRPr="0013512D">
        <w:rPr>
          <w:lang w:val="en-GB"/>
        </w:rPr>
        <w:t xml:space="preserve"> This is a valid concern.</w:t>
      </w:r>
      <w:r w:rsidR="00745FCA" w:rsidRPr="0013512D">
        <w:rPr>
          <w:rStyle w:val="FootnoteReference"/>
          <w:lang w:val="en-GB"/>
        </w:rPr>
        <w:footnoteReference w:id="163"/>
      </w:r>
      <w:r w:rsidRPr="0013512D">
        <w:rPr>
          <w:lang w:val="en-GB"/>
        </w:rPr>
        <w:t xml:space="preserve"> </w:t>
      </w:r>
    </w:p>
    <w:p w14:paraId="3977F891" w14:textId="77777777" w:rsidR="00186983" w:rsidRPr="0013512D" w:rsidRDefault="00186983" w:rsidP="005C247F">
      <w:pPr>
        <w:spacing w:line="360" w:lineRule="auto"/>
        <w:rPr>
          <w:lang w:val="en-GB"/>
        </w:rPr>
      </w:pPr>
    </w:p>
    <w:p w14:paraId="24729115" w14:textId="33C2DBC3" w:rsidR="00F0754A" w:rsidRPr="0013512D" w:rsidRDefault="004D5FC7" w:rsidP="005C247F">
      <w:pPr>
        <w:spacing w:line="360" w:lineRule="auto"/>
        <w:rPr>
          <w:rFonts w:eastAsia="Calibri"/>
          <w:lang w:val="en-GB"/>
        </w:rPr>
      </w:pPr>
      <w:r w:rsidRPr="0013512D">
        <w:rPr>
          <w:rFonts w:eastAsia="Calibri"/>
          <w:lang w:val="en-GB"/>
        </w:rPr>
        <w:t>Polarization o</w:t>
      </w:r>
      <w:r w:rsidR="009C77C5" w:rsidRPr="0013512D">
        <w:rPr>
          <w:rFonts w:eastAsia="Calibri"/>
          <w:lang w:val="en-GB"/>
        </w:rPr>
        <w:t xml:space="preserve">f society often accompanies </w:t>
      </w:r>
      <w:r w:rsidRPr="0013512D">
        <w:rPr>
          <w:rFonts w:eastAsia="Calibri"/>
          <w:lang w:val="en-GB"/>
        </w:rPr>
        <w:t>post-conflict setting</w:t>
      </w:r>
      <w:r w:rsidR="00C7710C" w:rsidRPr="0013512D">
        <w:rPr>
          <w:rFonts w:eastAsia="Calibri"/>
          <w:lang w:val="en-GB"/>
        </w:rPr>
        <w:t>s</w:t>
      </w:r>
      <w:r w:rsidR="009C77C5" w:rsidRPr="0013512D">
        <w:rPr>
          <w:rFonts w:eastAsia="Calibri"/>
          <w:lang w:val="en-GB"/>
        </w:rPr>
        <w:t>. Moreover, research has shown that mass violence is cyclical in nature</w:t>
      </w:r>
      <w:r w:rsidR="00282137" w:rsidRPr="0013512D">
        <w:rPr>
          <w:rFonts w:eastAsia="Calibri"/>
          <w:lang w:val="en-GB"/>
        </w:rPr>
        <w:t>.</w:t>
      </w:r>
      <w:r w:rsidR="001150BC" w:rsidRPr="0013512D">
        <w:rPr>
          <w:rStyle w:val="FootnoteReference"/>
          <w:rFonts w:eastAsia="Calibri"/>
          <w:lang w:val="en-GB"/>
        </w:rPr>
        <w:footnoteReference w:id="164"/>
      </w:r>
      <w:r w:rsidR="009C77C5" w:rsidRPr="0013512D">
        <w:rPr>
          <w:rFonts w:eastAsia="Calibri"/>
          <w:lang w:val="en-GB"/>
        </w:rPr>
        <w:t xml:space="preserve"> If the underlying causes are not addressed, there is a risk of resuming violence.</w:t>
      </w:r>
      <w:r w:rsidR="009C77C5" w:rsidRPr="0013512D">
        <w:rPr>
          <w:rStyle w:val="FootnoteReference"/>
          <w:color w:val="000000" w:themeColor="text1"/>
          <w:lang w:val="en-GB"/>
        </w:rPr>
        <w:footnoteReference w:id="165"/>
      </w:r>
      <w:r w:rsidR="009C77C5" w:rsidRPr="0013512D">
        <w:rPr>
          <w:rFonts w:eastAsia="Calibri"/>
          <w:lang w:val="en-GB"/>
        </w:rPr>
        <w:t xml:space="preserve">   </w:t>
      </w:r>
      <w:r w:rsidRPr="0013512D">
        <w:rPr>
          <w:rFonts w:eastAsia="Calibri"/>
          <w:lang w:val="en-GB"/>
        </w:rPr>
        <w:t>It is therefore understandable that artistic pieces aiming at memorialization</w:t>
      </w:r>
      <w:r w:rsidR="004678DB" w:rsidRPr="0013512D">
        <w:rPr>
          <w:rFonts w:eastAsia="Calibri"/>
          <w:lang w:val="en-GB"/>
        </w:rPr>
        <w:t xml:space="preserve"> provoke to the extent that they</w:t>
      </w:r>
      <w:r w:rsidRPr="0013512D">
        <w:rPr>
          <w:rFonts w:eastAsia="Calibri"/>
          <w:lang w:val="en-GB"/>
        </w:rPr>
        <w:t xml:space="preserve"> </w:t>
      </w:r>
      <w:r w:rsidR="00E05ACF" w:rsidRPr="0013512D">
        <w:rPr>
          <w:rFonts w:eastAsia="Calibri"/>
          <w:lang w:val="en-GB"/>
        </w:rPr>
        <w:t xml:space="preserve">may </w:t>
      </w:r>
      <w:r w:rsidR="00733768" w:rsidRPr="0013512D">
        <w:rPr>
          <w:rFonts w:eastAsia="Calibri"/>
          <w:lang w:val="en-GB"/>
        </w:rPr>
        <w:t xml:space="preserve">even </w:t>
      </w:r>
      <w:r w:rsidRPr="0013512D">
        <w:rPr>
          <w:rFonts w:eastAsia="Calibri"/>
          <w:lang w:val="en-GB"/>
        </w:rPr>
        <w:t xml:space="preserve">become objects of </w:t>
      </w:r>
      <w:r w:rsidR="00733768" w:rsidRPr="0013512D">
        <w:rPr>
          <w:rFonts w:eastAsia="Calibri"/>
          <w:lang w:val="en-GB"/>
        </w:rPr>
        <w:t xml:space="preserve">an </w:t>
      </w:r>
      <w:r w:rsidRPr="0013512D">
        <w:rPr>
          <w:rFonts w:eastAsia="Calibri"/>
          <w:lang w:val="en-GB"/>
        </w:rPr>
        <w:t>attack.</w:t>
      </w:r>
      <w:r w:rsidR="00F0754A" w:rsidRPr="0013512D">
        <w:rPr>
          <w:rFonts w:eastAsia="Calibri"/>
          <w:lang w:val="en-GB"/>
        </w:rPr>
        <w:t xml:space="preserve"> If reconciliation is viewed as a process</w:t>
      </w:r>
      <w:r w:rsidR="00C7710C" w:rsidRPr="0013512D">
        <w:rPr>
          <w:rFonts w:eastAsia="Calibri"/>
          <w:lang w:val="en-GB"/>
        </w:rPr>
        <w:t xml:space="preserve">, however, it is the discursive space that matters rather than the specific outcome. Artist pieces act as a </w:t>
      </w:r>
      <w:r w:rsidR="004678DB" w:rsidRPr="0013512D">
        <w:rPr>
          <w:rFonts w:eastAsia="Calibri"/>
          <w:lang w:val="en-GB"/>
        </w:rPr>
        <w:t xml:space="preserve">relatively ‘safe </w:t>
      </w:r>
      <w:r w:rsidR="00C7710C" w:rsidRPr="0013512D">
        <w:rPr>
          <w:rFonts w:eastAsia="Calibri"/>
          <w:lang w:val="en-GB"/>
        </w:rPr>
        <w:t>trigger</w:t>
      </w:r>
      <w:r w:rsidR="004678DB" w:rsidRPr="0013512D">
        <w:rPr>
          <w:rFonts w:eastAsia="Calibri"/>
          <w:lang w:val="en-GB"/>
        </w:rPr>
        <w:t>s’</w:t>
      </w:r>
      <w:r w:rsidR="00C7710C" w:rsidRPr="0013512D">
        <w:rPr>
          <w:rFonts w:eastAsia="Calibri"/>
          <w:lang w:val="en-GB"/>
        </w:rPr>
        <w:t xml:space="preserve"> </w:t>
      </w:r>
      <w:r w:rsidR="004678DB" w:rsidRPr="0013512D">
        <w:rPr>
          <w:rFonts w:eastAsia="Calibri"/>
          <w:lang w:val="en-GB"/>
        </w:rPr>
        <w:t xml:space="preserve">in that they bring to the surface issues still to be discussed at societal level. Art’s broader relational quality is </w:t>
      </w:r>
      <w:r w:rsidR="006A1EC2" w:rsidRPr="0013512D">
        <w:rPr>
          <w:rFonts w:eastAsia="Calibri"/>
          <w:lang w:val="en-GB"/>
        </w:rPr>
        <w:t>in its ability to encompass different points of view and, if necessary, provide space for further discussion.</w:t>
      </w:r>
    </w:p>
    <w:p w14:paraId="29D7E3A5" w14:textId="77777777" w:rsidR="00137B2C" w:rsidRPr="0013512D" w:rsidRDefault="00137B2C" w:rsidP="005C247F">
      <w:pPr>
        <w:spacing w:line="360" w:lineRule="auto"/>
        <w:rPr>
          <w:lang w:val="en-GB"/>
        </w:rPr>
      </w:pPr>
    </w:p>
    <w:p w14:paraId="18ECE119" w14:textId="69538793" w:rsidR="00E81AD0" w:rsidRPr="0013512D" w:rsidRDefault="00E81AD0" w:rsidP="005C247F">
      <w:pPr>
        <w:pStyle w:val="ListParagraph"/>
        <w:numPr>
          <w:ilvl w:val="0"/>
          <w:numId w:val="19"/>
        </w:numPr>
        <w:spacing w:line="360" w:lineRule="auto"/>
        <w:rPr>
          <w:rFonts w:ascii="Times New Roman" w:hAnsi="Times New Roman"/>
          <w:i/>
          <w:color w:val="000000" w:themeColor="text1"/>
          <w:lang w:val="en-GB"/>
        </w:rPr>
      </w:pPr>
      <w:r w:rsidRPr="0013512D">
        <w:rPr>
          <w:rFonts w:ascii="Times New Roman" w:hAnsi="Times New Roman"/>
          <w:i/>
          <w:color w:val="000000" w:themeColor="text1"/>
          <w:lang w:val="en-GB"/>
        </w:rPr>
        <w:t>Emphasizing victimhood</w:t>
      </w:r>
    </w:p>
    <w:p w14:paraId="44850AAA" w14:textId="77777777" w:rsidR="00BD27CB" w:rsidRPr="0013512D" w:rsidRDefault="00BD27CB" w:rsidP="005C247F">
      <w:pPr>
        <w:pStyle w:val="ListParagraph"/>
        <w:spacing w:line="360" w:lineRule="auto"/>
        <w:ind w:left="2160"/>
        <w:rPr>
          <w:rFonts w:ascii="Times New Roman" w:hAnsi="Times New Roman"/>
          <w:i/>
          <w:color w:val="000000" w:themeColor="text1"/>
          <w:lang w:val="en-GB"/>
        </w:rPr>
      </w:pPr>
    </w:p>
    <w:p w14:paraId="281C99FA" w14:textId="672E2493" w:rsidR="00543CD3" w:rsidRPr="0013512D" w:rsidRDefault="00D7689C" w:rsidP="005C247F">
      <w:pPr>
        <w:spacing w:line="360" w:lineRule="auto"/>
        <w:rPr>
          <w:color w:val="000000" w:themeColor="text1"/>
          <w:lang w:val="en-GB"/>
        </w:rPr>
      </w:pPr>
      <w:r w:rsidRPr="0013512D">
        <w:rPr>
          <w:color w:val="000000" w:themeColor="text1"/>
          <w:lang w:val="en-GB"/>
        </w:rPr>
        <w:t>I</w:t>
      </w:r>
      <w:r w:rsidR="00667892" w:rsidRPr="0013512D">
        <w:rPr>
          <w:color w:val="000000" w:themeColor="text1"/>
          <w:lang w:val="en-GB"/>
        </w:rPr>
        <w:t>t is unclear</w:t>
      </w:r>
      <w:r w:rsidR="00E81AD0" w:rsidRPr="0013512D">
        <w:rPr>
          <w:color w:val="000000" w:themeColor="text1"/>
          <w:lang w:val="en-GB"/>
        </w:rPr>
        <w:t xml:space="preserve"> </w:t>
      </w:r>
      <w:r w:rsidRPr="0013512D">
        <w:rPr>
          <w:color w:val="000000" w:themeColor="text1"/>
          <w:lang w:val="en-GB"/>
        </w:rPr>
        <w:t>to what extent</w:t>
      </w:r>
      <w:r w:rsidR="00A07289" w:rsidRPr="0013512D">
        <w:rPr>
          <w:color w:val="000000" w:themeColor="text1"/>
          <w:lang w:val="en-GB"/>
        </w:rPr>
        <w:t xml:space="preserve"> </w:t>
      </w:r>
      <w:r w:rsidRPr="0013512D">
        <w:rPr>
          <w:color w:val="000000" w:themeColor="text1"/>
          <w:lang w:val="en-GB"/>
        </w:rPr>
        <w:t>expressions from victims</w:t>
      </w:r>
      <w:r w:rsidR="00667892" w:rsidRPr="0013512D">
        <w:rPr>
          <w:color w:val="000000" w:themeColor="text1"/>
          <w:lang w:val="en-GB"/>
        </w:rPr>
        <w:t xml:space="preserve"> can</w:t>
      </w:r>
      <w:r w:rsidRPr="0013512D">
        <w:rPr>
          <w:color w:val="000000" w:themeColor="text1"/>
          <w:lang w:val="en-GB"/>
        </w:rPr>
        <w:t xml:space="preserve"> surpass the point of healing and extend into </w:t>
      </w:r>
      <w:r w:rsidR="00376871" w:rsidRPr="0013512D">
        <w:rPr>
          <w:color w:val="000000" w:themeColor="text1"/>
          <w:lang w:val="en-GB"/>
        </w:rPr>
        <w:t>increasing victimization</w:t>
      </w:r>
      <w:r w:rsidR="002B255B" w:rsidRPr="0013512D">
        <w:rPr>
          <w:color w:val="000000" w:themeColor="text1"/>
          <w:lang w:val="en-GB"/>
        </w:rPr>
        <w:t xml:space="preserve"> or the ‘creation of a </w:t>
      </w:r>
      <w:r w:rsidR="00376871" w:rsidRPr="0013512D">
        <w:rPr>
          <w:color w:val="000000" w:themeColor="text1"/>
          <w:lang w:val="en-GB"/>
        </w:rPr>
        <w:t>spectacle</w:t>
      </w:r>
      <w:r w:rsidR="002B255B" w:rsidRPr="0013512D">
        <w:rPr>
          <w:color w:val="000000" w:themeColor="text1"/>
          <w:lang w:val="en-GB"/>
        </w:rPr>
        <w:t xml:space="preserve">’, as coined by Michael </w:t>
      </w:r>
      <w:proofErr w:type="spellStart"/>
      <w:r w:rsidR="002B255B" w:rsidRPr="0013512D">
        <w:rPr>
          <w:color w:val="000000" w:themeColor="text1"/>
          <w:lang w:val="en-GB"/>
        </w:rPr>
        <w:t>Humprey</w:t>
      </w:r>
      <w:proofErr w:type="spellEnd"/>
      <w:r w:rsidR="002B255B" w:rsidRPr="0013512D">
        <w:rPr>
          <w:color w:val="000000" w:themeColor="text1"/>
          <w:lang w:val="en-GB"/>
        </w:rPr>
        <w:t xml:space="preserve">. </w:t>
      </w:r>
      <w:proofErr w:type="spellStart"/>
      <w:r w:rsidR="002B255B" w:rsidRPr="0013512D">
        <w:rPr>
          <w:color w:val="000000" w:themeColor="text1"/>
          <w:lang w:val="en-GB"/>
        </w:rPr>
        <w:t>Humphey</w:t>
      </w:r>
      <w:r w:rsidR="00376871" w:rsidRPr="0013512D">
        <w:rPr>
          <w:color w:val="000000" w:themeColor="text1"/>
          <w:lang w:val="en-GB"/>
        </w:rPr>
        <w:t>’s</w:t>
      </w:r>
      <w:proofErr w:type="spellEnd"/>
      <w:r w:rsidR="00376871" w:rsidRPr="0013512D">
        <w:rPr>
          <w:color w:val="000000" w:themeColor="text1"/>
          <w:lang w:val="en-GB"/>
        </w:rPr>
        <w:t xml:space="preserve"> critique in reference to truth </w:t>
      </w:r>
      <w:r w:rsidR="007A6BDD" w:rsidRPr="0013512D">
        <w:rPr>
          <w:color w:val="000000" w:themeColor="text1"/>
          <w:lang w:val="en-GB"/>
        </w:rPr>
        <w:t>commissions</w:t>
      </w:r>
      <w:r w:rsidR="00376871" w:rsidRPr="0013512D">
        <w:rPr>
          <w:color w:val="000000" w:themeColor="text1"/>
          <w:lang w:val="en-GB"/>
        </w:rPr>
        <w:t xml:space="preserve"> is that</w:t>
      </w:r>
      <w:r w:rsidR="002B255B" w:rsidRPr="0013512D">
        <w:rPr>
          <w:color w:val="000000" w:themeColor="text1"/>
          <w:lang w:val="en-GB"/>
        </w:rPr>
        <w:t xml:space="preserve"> the focusing on victims after atrocities has the capacity to inadvertently </w:t>
      </w:r>
      <w:r w:rsidR="00140408" w:rsidRPr="0013512D">
        <w:rPr>
          <w:color w:val="000000" w:themeColor="text1"/>
          <w:lang w:val="en-GB"/>
        </w:rPr>
        <w:t xml:space="preserve">reproducing </w:t>
      </w:r>
      <w:r w:rsidR="002B255B" w:rsidRPr="0013512D">
        <w:rPr>
          <w:color w:val="000000" w:themeColor="text1"/>
          <w:lang w:val="en-GB"/>
        </w:rPr>
        <w:t>them.</w:t>
      </w:r>
      <w:r w:rsidR="002B255B" w:rsidRPr="0013512D">
        <w:rPr>
          <w:rStyle w:val="FootnoteReference"/>
          <w:color w:val="000000" w:themeColor="text1"/>
          <w:lang w:val="en-GB"/>
        </w:rPr>
        <w:footnoteReference w:id="166"/>
      </w:r>
      <w:r w:rsidR="002B255B" w:rsidRPr="0013512D">
        <w:rPr>
          <w:color w:val="000000" w:themeColor="text1"/>
          <w:lang w:val="en-GB"/>
        </w:rPr>
        <w:t xml:space="preserve"> </w:t>
      </w:r>
      <w:r w:rsidR="001F52AD" w:rsidRPr="0013512D">
        <w:rPr>
          <w:color w:val="000000" w:themeColor="text1"/>
          <w:lang w:val="en-GB"/>
        </w:rPr>
        <w:t>He argues that re</w:t>
      </w:r>
      <w:r w:rsidR="00376871" w:rsidRPr="0013512D">
        <w:rPr>
          <w:color w:val="000000" w:themeColor="text1"/>
          <w:lang w:val="en-GB"/>
        </w:rPr>
        <w:t>paration that is only symbolic</w:t>
      </w:r>
      <w:r w:rsidR="001F52AD" w:rsidRPr="0013512D">
        <w:rPr>
          <w:color w:val="000000" w:themeColor="text1"/>
          <w:lang w:val="en-GB"/>
        </w:rPr>
        <w:t xml:space="preserve"> leaves victims feeling short-changed if not paired with adequate </w:t>
      </w:r>
      <w:r w:rsidR="00140408" w:rsidRPr="0013512D">
        <w:rPr>
          <w:color w:val="000000" w:themeColor="text1"/>
          <w:lang w:val="en-GB"/>
        </w:rPr>
        <w:t>trials</w:t>
      </w:r>
      <w:r w:rsidR="001F52AD" w:rsidRPr="0013512D">
        <w:rPr>
          <w:color w:val="000000" w:themeColor="text1"/>
          <w:lang w:val="en-GB"/>
        </w:rPr>
        <w:t>.</w:t>
      </w:r>
      <w:r w:rsidR="00140408" w:rsidRPr="0013512D">
        <w:rPr>
          <w:color w:val="000000" w:themeColor="text1"/>
          <w:lang w:val="en-GB"/>
        </w:rPr>
        <w:t xml:space="preserve"> Our argument is somewhat different: we do not suggest art in place of justice but rather as complementing one another. Nonetheless, </w:t>
      </w:r>
      <w:r w:rsidR="00376871" w:rsidRPr="0013512D">
        <w:rPr>
          <w:color w:val="000000" w:themeColor="text1"/>
          <w:lang w:val="en-GB"/>
        </w:rPr>
        <w:t xml:space="preserve">one can </w:t>
      </w:r>
      <w:r w:rsidR="00140408" w:rsidRPr="0013512D">
        <w:rPr>
          <w:color w:val="000000" w:themeColor="text1"/>
          <w:lang w:val="en-GB"/>
        </w:rPr>
        <w:t>still pose the question: can art</w:t>
      </w:r>
      <w:r w:rsidR="00667892" w:rsidRPr="0013512D">
        <w:rPr>
          <w:color w:val="000000" w:themeColor="text1"/>
          <w:lang w:val="en-GB"/>
        </w:rPr>
        <w:t xml:space="preserve"> </w:t>
      </w:r>
      <w:r w:rsidR="002B255B" w:rsidRPr="0013512D">
        <w:rPr>
          <w:color w:val="000000" w:themeColor="text1"/>
          <w:lang w:val="en-GB"/>
        </w:rPr>
        <w:t>jeopardize</w:t>
      </w:r>
      <w:r w:rsidR="00667892" w:rsidRPr="0013512D">
        <w:rPr>
          <w:color w:val="000000" w:themeColor="text1"/>
          <w:lang w:val="en-GB"/>
        </w:rPr>
        <w:t xml:space="preserve"> the intended goal</w:t>
      </w:r>
      <w:r w:rsidRPr="0013512D">
        <w:rPr>
          <w:color w:val="000000" w:themeColor="text1"/>
          <w:lang w:val="en-GB"/>
        </w:rPr>
        <w:t xml:space="preserve"> of liberation and healing</w:t>
      </w:r>
      <w:r w:rsidR="001F52AD" w:rsidRPr="0013512D">
        <w:rPr>
          <w:color w:val="000000" w:themeColor="text1"/>
          <w:lang w:val="en-GB"/>
        </w:rPr>
        <w:t xml:space="preserve"> by emphasizing victimhood or exploiting </w:t>
      </w:r>
      <w:r w:rsidR="00140408" w:rsidRPr="0013512D">
        <w:rPr>
          <w:color w:val="000000" w:themeColor="text1"/>
          <w:lang w:val="en-GB"/>
        </w:rPr>
        <w:t>victim status</w:t>
      </w:r>
      <w:r w:rsidR="002B255B" w:rsidRPr="0013512D">
        <w:rPr>
          <w:color w:val="000000" w:themeColor="text1"/>
          <w:lang w:val="en-GB"/>
        </w:rPr>
        <w:t>?</w:t>
      </w:r>
      <w:r w:rsidR="00BA66FF" w:rsidRPr="0013512D">
        <w:rPr>
          <w:rStyle w:val="FootnoteReference"/>
          <w:color w:val="000000" w:themeColor="text1"/>
          <w:lang w:val="en-GB"/>
        </w:rPr>
        <w:footnoteReference w:id="167"/>
      </w:r>
      <w:r w:rsidR="002B255B" w:rsidRPr="0013512D">
        <w:rPr>
          <w:color w:val="000000" w:themeColor="text1"/>
          <w:lang w:val="en-GB"/>
        </w:rPr>
        <w:t xml:space="preserve"> </w:t>
      </w:r>
    </w:p>
    <w:p w14:paraId="2B6811C7" w14:textId="2F6B9CEA" w:rsidR="00EF1690" w:rsidRPr="0013512D" w:rsidRDefault="00EF1690" w:rsidP="005C247F">
      <w:pPr>
        <w:spacing w:line="360" w:lineRule="auto"/>
        <w:rPr>
          <w:color w:val="000000" w:themeColor="text1"/>
          <w:lang w:val="en-GB"/>
        </w:rPr>
      </w:pPr>
    </w:p>
    <w:p w14:paraId="73314966" w14:textId="5BFCF68F" w:rsidR="00E81AD0" w:rsidRPr="0013512D" w:rsidRDefault="004505D8" w:rsidP="005C247F">
      <w:pPr>
        <w:pStyle w:val="ListParagraph"/>
        <w:numPr>
          <w:ilvl w:val="0"/>
          <w:numId w:val="19"/>
        </w:numPr>
        <w:spacing w:line="360" w:lineRule="auto"/>
        <w:rPr>
          <w:rFonts w:ascii="Times New Roman" w:hAnsi="Times New Roman"/>
          <w:i/>
          <w:color w:val="000000" w:themeColor="text1"/>
          <w:lang w:val="en-GB"/>
        </w:rPr>
      </w:pPr>
      <w:r w:rsidRPr="0013512D">
        <w:rPr>
          <w:rFonts w:ascii="Times New Roman" w:hAnsi="Times New Roman"/>
          <w:i/>
          <w:color w:val="000000" w:themeColor="text1"/>
          <w:lang w:val="en-GB"/>
        </w:rPr>
        <w:t>Passage of time</w:t>
      </w:r>
    </w:p>
    <w:p w14:paraId="7C90A0B6" w14:textId="77777777" w:rsidR="004505D8" w:rsidRPr="0013512D" w:rsidRDefault="004505D8" w:rsidP="005C247F">
      <w:pPr>
        <w:pStyle w:val="ListParagraph"/>
        <w:spacing w:line="360" w:lineRule="auto"/>
        <w:ind w:left="2160"/>
        <w:rPr>
          <w:rFonts w:ascii="Times New Roman" w:hAnsi="Times New Roman"/>
          <w:i/>
          <w:color w:val="000000" w:themeColor="text1"/>
          <w:lang w:val="en-GB"/>
        </w:rPr>
      </w:pPr>
    </w:p>
    <w:p w14:paraId="090601C0" w14:textId="21724D10" w:rsidR="00E47C05" w:rsidRPr="0013512D" w:rsidRDefault="003B097C" w:rsidP="005C247F">
      <w:pPr>
        <w:spacing w:line="360" w:lineRule="auto"/>
        <w:rPr>
          <w:color w:val="000000" w:themeColor="text1"/>
          <w:lang w:val="en-GB"/>
        </w:rPr>
      </w:pPr>
      <w:r w:rsidRPr="0013512D">
        <w:rPr>
          <w:color w:val="000000" w:themeColor="text1"/>
          <w:lang w:val="en-GB"/>
        </w:rPr>
        <w:lastRenderedPageBreak/>
        <w:t xml:space="preserve">The </w:t>
      </w:r>
      <w:r w:rsidR="00BF6CA9" w:rsidRPr="0013512D">
        <w:rPr>
          <w:color w:val="000000" w:themeColor="text1"/>
          <w:lang w:val="en-GB"/>
        </w:rPr>
        <w:t xml:space="preserve">other possible challenge </w:t>
      </w:r>
      <w:r w:rsidRPr="0013512D">
        <w:rPr>
          <w:color w:val="000000" w:themeColor="text1"/>
          <w:lang w:val="en-GB"/>
        </w:rPr>
        <w:t xml:space="preserve">arises out of experiencing art </w:t>
      </w:r>
      <w:r w:rsidR="00C17A87" w:rsidRPr="0013512D">
        <w:rPr>
          <w:color w:val="000000" w:themeColor="text1"/>
          <w:lang w:val="en-GB"/>
        </w:rPr>
        <w:t>over time</w:t>
      </w:r>
      <w:r w:rsidRPr="0013512D">
        <w:rPr>
          <w:color w:val="000000" w:themeColor="text1"/>
          <w:lang w:val="en-GB"/>
        </w:rPr>
        <w:t xml:space="preserve">. While art-making is beneficial for the author is it equally beneficial for the audience when time lapses? If one accounts for ‘focalisation’ </w:t>
      </w:r>
      <w:r w:rsidR="00044116" w:rsidRPr="0013512D">
        <w:rPr>
          <w:color w:val="000000" w:themeColor="text1"/>
          <w:lang w:val="en-GB"/>
        </w:rPr>
        <w:t xml:space="preserve">- </w:t>
      </w:r>
      <w:r w:rsidRPr="0013512D">
        <w:rPr>
          <w:color w:val="000000" w:themeColor="text1"/>
          <w:lang w:val="en-GB"/>
        </w:rPr>
        <w:t>that is subjective perception of art</w:t>
      </w:r>
      <w:r w:rsidR="00044116" w:rsidRPr="0013512D">
        <w:rPr>
          <w:color w:val="000000" w:themeColor="text1"/>
          <w:lang w:val="en-GB"/>
        </w:rPr>
        <w:t xml:space="preserve"> - </w:t>
      </w:r>
      <w:r w:rsidRPr="0013512D">
        <w:rPr>
          <w:color w:val="000000" w:themeColor="text1"/>
          <w:lang w:val="en-GB"/>
        </w:rPr>
        <w:t>the process of experiencing</w:t>
      </w:r>
      <w:r w:rsidR="00022407" w:rsidRPr="0013512D">
        <w:rPr>
          <w:color w:val="000000" w:themeColor="text1"/>
          <w:lang w:val="en-GB"/>
        </w:rPr>
        <w:t xml:space="preserve"> art</w:t>
      </w:r>
      <w:r w:rsidRPr="0013512D">
        <w:rPr>
          <w:color w:val="000000" w:themeColor="text1"/>
          <w:lang w:val="en-GB"/>
        </w:rPr>
        <w:t xml:space="preserve"> is filled with</w:t>
      </w:r>
      <w:r w:rsidR="00D15A3F" w:rsidRPr="0013512D">
        <w:rPr>
          <w:color w:val="000000" w:themeColor="text1"/>
          <w:lang w:val="en-GB"/>
        </w:rPr>
        <w:t xml:space="preserve"> the</w:t>
      </w:r>
      <w:r w:rsidRPr="0013512D">
        <w:rPr>
          <w:color w:val="000000" w:themeColor="text1"/>
          <w:lang w:val="en-GB"/>
        </w:rPr>
        <w:t xml:space="preserve"> unknowns. This</w:t>
      </w:r>
      <w:r w:rsidR="00D15A3F" w:rsidRPr="0013512D">
        <w:rPr>
          <w:color w:val="000000" w:themeColor="text1"/>
          <w:lang w:val="en-GB"/>
        </w:rPr>
        <w:t xml:space="preserve"> quality of art</w:t>
      </w:r>
      <w:r w:rsidRPr="0013512D">
        <w:rPr>
          <w:color w:val="000000" w:themeColor="text1"/>
          <w:lang w:val="en-GB"/>
        </w:rPr>
        <w:t xml:space="preserve"> stands in sharp contrast with the outcomes of international trials, resulting in the judgments </w:t>
      </w:r>
      <w:r w:rsidR="00C17A87" w:rsidRPr="0013512D">
        <w:rPr>
          <w:color w:val="000000" w:themeColor="text1"/>
          <w:lang w:val="en-GB"/>
        </w:rPr>
        <w:t>signalling finality.</w:t>
      </w:r>
      <w:r w:rsidRPr="0013512D">
        <w:rPr>
          <w:color w:val="000000" w:themeColor="text1"/>
          <w:lang w:val="en-GB"/>
        </w:rPr>
        <w:t xml:space="preserve"> Law by definition has certain determinacy to it, while the meaning that a piece of art carries may change </w:t>
      </w:r>
      <w:r w:rsidR="00C17A87" w:rsidRPr="0013512D">
        <w:rPr>
          <w:color w:val="000000" w:themeColor="text1"/>
          <w:lang w:val="en-GB"/>
        </w:rPr>
        <w:t>with the passage of time</w:t>
      </w:r>
      <w:r w:rsidR="00845FC7" w:rsidRPr="0013512D">
        <w:rPr>
          <w:color w:val="000000" w:themeColor="text1"/>
          <w:lang w:val="en-GB"/>
        </w:rPr>
        <w:t xml:space="preserve"> and from person to person</w:t>
      </w:r>
      <w:r w:rsidRPr="0013512D">
        <w:rPr>
          <w:color w:val="000000" w:themeColor="text1"/>
          <w:lang w:val="en-GB"/>
        </w:rPr>
        <w:t>.</w:t>
      </w:r>
      <w:r w:rsidRPr="0013512D">
        <w:rPr>
          <w:rStyle w:val="FootnoteReference"/>
          <w:color w:val="000000" w:themeColor="text1"/>
          <w:lang w:val="en-GB"/>
        </w:rPr>
        <w:footnoteReference w:id="168"/>
      </w:r>
      <w:r w:rsidR="00C17A87" w:rsidRPr="0013512D">
        <w:rPr>
          <w:color w:val="000000" w:themeColor="text1"/>
          <w:lang w:val="en-GB"/>
        </w:rPr>
        <w:t xml:space="preserve"> This </w:t>
      </w:r>
      <w:r w:rsidR="00A52F20" w:rsidRPr="0013512D">
        <w:rPr>
          <w:color w:val="000000" w:themeColor="text1"/>
          <w:lang w:val="en-GB"/>
        </w:rPr>
        <w:t xml:space="preserve">specific </w:t>
      </w:r>
      <w:r w:rsidR="00C17A87" w:rsidRPr="0013512D">
        <w:rPr>
          <w:color w:val="000000" w:themeColor="text1"/>
          <w:lang w:val="en-GB"/>
        </w:rPr>
        <w:t xml:space="preserve">concern </w:t>
      </w:r>
      <w:r w:rsidR="00A52F20" w:rsidRPr="0013512D">
        <w:rPr>
          <w:color w:val="000000" w:themeColor="text1"/>
          <w:lang w:val="en-GB"/>
        </w:rPr>
        <w:t xml:space="preserve">exposes wider </w:t>
      </w:r>
      <w:r w:rsidR="00C17A87" w:rsidRPr="0013512D">
        <w:rPr>
          <w:color w:val="000000" w:themeColor="text1"/>
          <w:lang w:val="en-GB"/>
        </w:rPr>
        <w:t>dilemma</w:t>
      </w:r>
      <w:r w:rsidR="00A52F20" w:rsidRPr="0013512D">
        <w:rPr>
          <w:color w:val="000000" w:themeColor="text1"/>
          <w:lang w:val="en-GB"/>
        </w:rPr>
        <w:t xml:space="preserve"> </w:t>
      </w:r>
      <w:r w:rsidR="00C23DBD" w:rsidRPr="0013512D">
        <w:rPr>
          <w:color w:val="000000" w:themeColor="text1"/>
          <w:lang w:val="en-GB"/>
        </w:rPr>
        <w:t xml:space="preserve">as to the incompatibility of the process-oriented vision of reconciliation with the </w:t>
      </w:r>
      <w:r w:rsidR="00A52F20" w:rsidRPr="0013512D">
        <w:rPr>
          <w:color w:val="000000" w:themeColor="text1"/>
          <w:lang w:val="en-GB"/>
        </w:rPr>
        <w:t xml:space="preserve">goal of </w:t>
      </w:r>
      <w:r w:rsidR="00022407" w:rsidRPr="0013512D">
        <w:rPr>
          <w:color w:val="000000" w:themeColor="text1"/>
          <w:lang w:val="en-GB"/>
        </w:rPr>
        <w:t>analysing</w:t>
      </w:r>
      <w:r w:rsidR="00A52F20" w:rsidRPr="0013512D">
        <w:rPr>
          <w:color w:val="000000" w:themeColor="text1"/>
          <w:lang w:val="en-GB"/>
        </w:rPr>
        <w:t xml:space="preserve"> the cause of responsibility prominent in criminal law.</w:t>
      </w:r>
      <w:r w:rsidR="00A52F20" w:rsidRPr="0013512D">
        <w:rPr>
          <w:rStyle w:val="FootnoteReference"/>
          <w:color w:val="000000" w:themeColor="text1"/>
          <w:lang w:val="en-GB"/>
        </w:rPr>
        <w:footnoteReference w:id="169"/>
      </w:r>
      <w:r w:rsidR="00D15A3F" w:rsidRPr="0013512D">
        <w:rPr>
          <w:color w:val="000000" w:themeColor="text1"/>
          <w:lang w:val="en-GB"/>
        </w:rPr>
        <w:t xml:space="preserve"> </w:t>
      </w:r>
      <w:r w:rsidR="008078A7" w:rsidRPr="0013512D">
        <w:rPr>
          <w:color w:val="000000" w:themeColor="text1"/>
          <w:lang w:val="en-GB"/>
        </w:rPr>
        <w:t xml:space="preserve">The solution would be to view two </w:t>
      </w:r>
      <w:r w:rsidR="00022407" w:rsidRPr="0013512D">
        <w:rPr>
          <w:color w:val="000000" w:themeColor="text1"/>
          <w:lang w:val="en-GB"/>
        </w:rPr>
        <w:t>processes as complementary: j</w:t>
      </w:r>
      <w:r w:rsidR="008078A7" w:rsidRPr="0013512D">
        <w:rPr>
          <w:color w:val="000000" w:themeColor="text1"/>
          <w:lang w:val="en-GB"/>
        </w:rPr>
        <w:t>udgments emanating from international tribunals set out one specific narrative related to the conflict</w:t>
      </w:r>
      <w:r w:rsidR="00022407" w:rsidRPr="0013512D">
        <w:rPr>
          <w:color w:val="000000" w:themeColor="text1"/>
          <w:lang w:val="en-GB"/>
        </w:rPr>
        <w:t xml:space="preserve"> and limited by the facts of the case</w:t>
      </w:r>
      <w:r w:rsidR="008078A7" w:rsidRPr="0013512D">
        <w:rPr>
          <w:color w:val="000000" w:themeColor="text1"/>
          <w:lang w:val="en-GB"/>
        </w:rPr>
        <w:t>. They have high authoritative value due to the checks and balances of the legal process. Art-making and art-viewing</w:t>
      </w:r>
      <w:r w:rsidR="00C51738">
        <w:rPr>
          <w:color w:val="000000" w:themeColor="text1"/>
          <w:lang w:val="en-GB"/>
        </w:rPr>
        <w:t>,</w:t>
      </w:r>
      <w:r w:rsidR="008078A7" w:rsidRPr="0013512D">
        <w:rPr>
          <w:color w:val="000000" w:themeColor="text1"/>
          <w:lang w:val="en-GB"/>
        </w:rPr>
        <w:t xml:space="preserve"> </w:t>
      </w:r>
      <w:r w:rsidR="00C51738">
        <w:rPr>
          <w:color w:val="000000" w:themeColor="text1"/>
          <w:lang w:val="en-GB"/>
        </w:rPr>
        <w:t xml:space="preserve">connected to the issues adjudicated upon by the tribunals, </w:t>
      </w:r>
      <w:r w:rsidR="008078A7" w:rsidRPr="0013512D">
        <w:rPr>
          <w:color w:val="000000" w:themeColor="text1"/>
          <w:lang w:val="en-GB"/>
        </w:rPr>
        <w:t xml:space="preserve">can allow space for diverse narratives, which are also needed as part of </w:t>
      </w:r>
      <w:r w:rsidR="005748C6" w:rsidRPr="0013512D">
        <w:rPr>
          <w:color w:val="000000" w:themeColor="text1"/>
          <w:lang w:val="en-GB"/>
        </w:rPr>
        <w:t>reconciliation</w:t>
      </w:r>
      <w:r w:rsidR="008078A7" w:rsidRPr="0013512D">
        <w:rPr>
          <w:color w:val="000000" w:themeColor="text1"/>
          <w:lang w:val="en-GB"/>
        </w:rPr>
        <w:t xml:space="preserve">. </w:t>
      </w:r>
    </w:p>
    <w:p w14:paraId="38849DFE" w14:textId="777CDFBE" w:rsidR="00482761" w:rsidRPr="0013512D" w:rsidRDefault="00482761" w:rsidP="005C247F">
      <w:pPr>
        <w:spacing w:line="360" w:lineRule="auto"/>
        <w:rPr>
          <w:color w:val="000000" w:themeColor="text1"/>
          <w:lang w:val="en-GB"/>
        </w:rPr>
      </w:pPr>
    </w:p>
    <w:p w14:paraId="0CA07137" w14:textId="6A8F7BE7" w:rsidR="00482761" w:rsidRPr="0013512D" w:rsidRDefault="000D3E47" w:rsidP="005C247F">
      <w:pPr>
        <w:pStyle w:val="ListParagraph"/>
        <w:numPr>
          <w:ilvl w:val="0"/>
          <w:numId w:val="1"/>
        </w:numPr>
        <w:spacing w:line="360" w:lineRule="auto"/>
        <w:rPr>
          <w:rFonts w:ascii="Times New Roman" w:hAnsi="Times New Roman"/>
          <w:u w:val="single"/>
          <w:lang w:val="en-GB"/>
        </w:rPr>
      </w:pPr>
      <w:r w:rsidRPr="0013512D">
        <w:rPr>
          <w:rFonts w:ascii="Times New Roman" w:hAnsi="Times New Roman"/>
          <w:u w:val="single"/>
          <w:lang w:val="en-GB"/>
        </w:rPr>
        <w:t>Conclusion</w:t>
      </w:r>
    </w:p>
    <w:p w14:paraId="6C9869E8" w14:textId="77777777" w:rsidR="00D55BFA" w:rsidRPr="0013512D" w:rsidRDefault="00D55BFA" w:rsidP="0093737E">
      <w:pPr>
        <w:spacing w:line="360" w:lineRule="auto"/>
        <w:rPr>
          <w:lang w:val="en-GB"/>
        </w:rPr>
      </w:pPr>
    </w:p>
    <w:p w14:paraId="53913380" w14:textId="77777777" w:rsidR="00D55BFA" w:rsidRPr="0013512D" w:rsidRDefault="0093737E" w:rsidP="0093737E">
      <w:pPr>
        <w:spacing w:line="360" w:lineRule="auto"/>
        <w:rPr>
          <w:lang w:val="en-GB"/>
        </w:rPr>
      </w:pPr>
      <w:r w:rsidRPr="0013512D">
        <w:rPr>
          <w:lang w:val="en-GB"/>
        </w:rPr>
        <w:t xml:space="preserve">This article opened </w:t>
      </w:r>
      <w:r w:rsidR="00B61378" w:rsidRPr="0013512D">
        <w:rPr>
          <w:lang w:val="en-GB"/>
        </w:rPr>
        <w:t xml:space="preserve">the </w:t>
      </w:r>
      <w:r w:rsidRPr="0013512D">
        <w:rPr>
          <w:lang w:val="en-GB"/>
        </w:rPr>
        <w:t>discussion about the reconciliatory potential of art in the field of international criminal justice. The focus of th</w:t>
      </w:r>
      <w:r w:rsidR="00B61378" w:rsidRPr="0013512D">
        <w:rPr>
          <w:lang w:val="en-GB"/>
        </w:rPr>
        <w:t>is</w:t>
      </w:r>
      <w:r w:rsidRPr="0013512D">
        <w:rPr>
          <w:lang w:val="en-GB"/>
        </w:rPr>
        <w:t xml:space="preserve"> work is twofold: first, to explore the overall psychological benefits of engaging with art in attaining the goal of reconciliation</w:t>
      </w:r>
      <w:r w:rsidR="00B61378" w:rsidRPr="0013512D">
        <w:rPr>
          <w:lang w:val="en-GB"/>
        </w:rPr>
        <w:t xml:space="preserve"> sought by international criminal law</w:t>
      </w:r>
      <w:r w:rsidRPr="0013512D">
        <w:rPr>
          <w:lang w:val="en-GB"/>
        </w:rPr>
        <w:t>. Secondly, the article mapped</w:t>
      </w:r>
      <w:r w:rsidR="00B61378" w:rsidRPr="0013512D">
        <w:rPr>
          <w:lang w:val="en-GB"/>
        </w:rPr>
        <w:t xml:space="preserve"> out</w:t>
      </w:r>
      <w:r w:rsidRPr="0013512D">
        <w:rPr>
          <w:lang w:val="en-GB"/>
        </w:rPr>
        <w:t xml:space="preserve"> specific issues to be considered in researching th</w:t>
      </w:r>
      <w:r w:rsidR="00B61378" w:rsidRPr="0013512D">
        <w:rPr>
          <w:lang w:val="en-GB"/>
        </w:rPr>
        <w:t xml:space="preserve">is bigger question. </w:t>
      </w:r>
    </w:p>
    <w:p w14:paraId="146F4474" w14:textId="77777777" w:rsidR="00D55BFA" w:rsidRPr="0013512D" w:rsidRDefault="00D55BFA" w:rsidP="0093737E">
      <w:pPr>
        <w:spacing w:line="360" w:lineRule="auto"/>
        <w:rPr>
          <w:lang w:val="en-GB"/>
        </w:rPr>
      </w:pPr>
    </w:p>
    <w:p w14:paraId="31D5F973" w14:textId="2091899F" w:rsidR="00C050DB" w:rsidRPr="0013512D" w:rsidRDefault="00B61378" w:rsidP="0093737E">
      <w:pPr>
        <w:spacing w:line="360" w:lineRule="auto"/>
        <w:rPr>
          <w:lang w:val="en-GB"/>
        </w:rPr>
      </w:pPr>
      <w:r w:rsidRPr="0013512D">
        <w:rPr>
          <w:lang w:val="en-GB"/>
        </w:rPr>
        <w:t xml:space="preserve">We argued that it is essential to </w:t>
      </w:r>
      <w:r w:rsidR="00D55BFA" w:rsidRPr="0013512D">
        <w:rPr>
          <w:lang w:val="en-GB"/>
        </w:rPr>
        <w:t>reflect on</w:t>
      </w:r>
      <w:r w:rsidRPr="0013512D">
        <w:rPr>
          <w:lang w:val="en-GB"/>
        </w:rPr>
        <w:t xml:space="preserve"> three features of art </w:t>
      </w:r>
      <w:r w:rsidR="00450FB3" w:rsidRPr="0013512D">
        <w:rPr>
          <w:lang w:val="en-GB"/>
        </w:rPr>
        <w:t xml:space="preserve">instrumental </w:t>
      </w:r>
      <w:r w:rsidR="00E3540E" w:rsidRPr="0013512D">
        <w:rPr>
          <w:lang w:val="en-GB"/>
        </w:rPr>
        <w:t>to</w:t>
      </w:r>
      <w:r w:rsidR="00450FB3" w:rsidRPr="0013512D">
        <w:rPr>
          <w:lang w:val="en-GB"/>
        </w:rPr>
        <w:t xml:space="preserve"> reconciliation</w:t>
      </w:r>
      <w:r w:rsidR="00D55BFA" w:rsidRPr="0013512D">
        <w:rPr>
          <w:lang w:val="en-GB"/>
        </w:rPr>
        <w:t>,</w:t>
      </w:r>
      <w:r w:rsidRPr="0013512D">
        <w:rPr>
          <w:lang w:val="en-GB"/>
        </w:rPr>
        <w:t xml:space="preserve"> na</w:t>
      </w:r>
      <w:r w:rsidR="00D55BFA" w:rsidRPr="0013512D">
        <w:rPr>
          <w:lang w:val="en-GB"/>
        </w:rPr>
        <w:t>mely</w:t>
      </w:r>
      <w:r w:rsidRPr="0013512D">
        <w:rPr>
          <w:lang w:val="en-GB"/>
        </w:rPr>
        <w:t xml:space="preserve"> its process-oriented nature, its broader relational quality, and its inherent intelligence. While providing a comprehensive definition of art lies beyond the scope of this article, </w:t>
      </w:r>
      <w:r w:rsidR="00450FB3" w:rsidRPr="0013512D">
        <w:rPr>
          <w:lang w:val="en-GB"/>
        </w:rPr>
        <w:t xml:space="preserve">we studied each of </w:t>
      </w:r>
      <w:r w:rsidRPr="0013512D">
        <w:rPr>
          <w:lang w:val="en-GB"/>
        </w:rPr>
        <w:t xml:space="preserve">these three </w:t>
      </w:r>
      <w:r w:rsidR="00B6149B" w:rsidRPr="0013512D">
        <w:rPr>
          <w:lang w:val="en-GB"/>
        </w:rPr>
        <w:t xml:space="preserve">qualities </w:t>
      </w:r>
      <w:r w:rsidR="00AF7595" w:rsidRPr="0013512D">
        <w:rPr>
          <w:lang w:val="en-GB"/>
        </w:rPr>
        <w:t>independently,</w:t>
      </w:r>
      <w:r w:rsidRPr="0013512D">
        <w:rPr>
          <w:lang w:val="en-GB"/>
        </w:rPr>
        <w:t xml:space="preserve"> using the tools offered by psychology</w:t>
      </w:r>
      <w:r w:rsidR="00B6149B" w:rsidRPr="0013512D">
        <w:rPr>
          <w:lang w:val="en-GB"/>
        </w:rPr>
        <w:t xml:space="preserve"> and international criminal </w:t>
      </w:r>
      <w:r w:rsidR="006B5F69">
        <w:rPr>
          <w:lang w:val="en-GB"/>
        </w:rPr>
        <w:t>justice</w:t>
      </w:r>
      <w:r w:rsidRPr="0013512D">
        <w:rPr>
          <w:lang w:val="en-GB"/>
        </w:rPr>
        <w:t xml:space="preserve">. </w:t>
      </w:r>
      <w:r w:rsidR="00C26EA1" w:rsidRPr="0013512D">
        <w:rPr>
          <w:lang w:val="en-GB"/>
        </w:rPr>
        <w:t xml:space="preserve">In addition to the relevant </w:t>
      </w:r>
      <w:r w:rsidR="00B6149B" w:rsidRPr="0013512D">
        <w:rPr>
          <w:lang w:val="en-GB"/>
        </w:rPr>
        <w:t>features</w:t>
      </w:r>
      <w:r w:rsidR="00C26EA1" w:rsidRPr="0013512D">
        <w:rPr>
          <w:lang w:val="en-GB"/>
        </w:rPr>
        <w:t xml:space="preserve"> of art, we also explored possible agents of art-making and art-viewing </w:t>
      </w:r>
      <w:r w:rsidR="00C26EA1" w:rsidRPr="0013512D">
        <w:rPr>
          <w:lang w:val="en-GB"/>
        </w:rPr>
        <w:lastRenderedPageBreak/>
        <w:t>in the field of international criminal justice</w:t>
      </w:r>
      <w:r w:rsidR="00B6149B" w:rsidRPr="0013512D">
        <w:rPr>
          <w:lang w:val="en-GB"/>
        </w:rPr>
        <w:t xml:space="preserve">. </w:t>
      </w:r>
      <w:r w:rsidR="00C26EA1" w:rsidRPr="0013512D">
        <w:rPr>
          <w:lang w:val="en-GB"/>
        </w:rPr>
        <w:t xml:space="preserve">Finally, we briefly dwelled on </w:t>
      </w:r>
      <w:r w:rsidR="001D7D51" w:rsidRPr="0013512D">
        <w:rPr>
          <w:lang w:val="en-GB"/>
        </w:rPr>
        <w:t xml:space="preserve">the </w:t>
      </w:r>
      <w:r w:rsidR="00C26EA1" w:rsidRPr="0013512D">
        <w:rPr>
          <w:lang w:val="en-GB"/>
        </w:rPr>
        <w:t xml:space="preserve">possible critique of the engagement with art to promote the goal of reconciliation. </w:t>
      </w:r>
    </w:p>
    <w:p w14:paraId="4D225FC7" w14:textId="77777777" w:rsidR="00C050DB" w:rsidRPr="0013512D" w:rsidRDefault="00C050DB" w:rsidP="0093737E">
      <w:pPr>
        <w:spacing w:line="360" w:lineRule="auto"/>
        <w:rPr>
          <w:lang w:val="en-GB"/>
        </w:rPr>
      </w:pPr>
    </w:p>
    <w:p w14:paraId="5E080787" w14:textId="6CAA3B2C" w:rsidR="00B61378" w:rsidRPr="0013512D" w:rsidRDefault="00C26EA1" w:rsidP="0093737E">
      <w:pPr>
        <w:spacing w:line="360" w:lineRule="auto"/>
        <w:rPr>
          <w:lang w:val="en-GB"/>
        </w:rPr>
      </w:pPr>
      <w:r w:rsidRPr="0013512D">
        <w:rPr>
          <w:lang w:val="en-GB"/>
        </w:rPr>
        <w:t xml:space="preserve">In sum, we view our work primarily as a ‘mapping exercise’, aimed </w:t>
      </w:r>
      <w:r w:rsidR="00B6149B" w:rsidRPr="0013512D">
        <w:rPr>
          <w:lang w:val="en-GB"/>
        </w:rPr>
        <w:t>at starting</w:t>
      </w:r>
      <w:r w:rsidRPr="0013512D">
        <w:rPr>
          <w:lang w:val="en-GB"/>
        </w:rPr>
        <w:t xml:space="preserve"> the discussion and </w:t>
      </w:r>
      <w:r w:rsidR="00CC65F3" w:rsidRPr="0013512D">
        <w:rPr>
          <w:lang w:val="en-GB"/>
        </w:rPr>
        <w:t>point</w:t>
      </w:r>
      <w:r w:rsidR="00B6149B" w:rsidRPr="0013512D">
        <w:rPr>
          <w:lang w:val="en-GB"/>
        </w:rPr>
        <w:t>ing</w:t>
      </w:r>
      <w:r w:rsidRPr="0013512D">
        <w:rPr>
          <w:lang w:val="en-GB"/>
        </w:rPr>
        <w:t xml:space="preserve"> towards </w:t>
      </w:r>
      <w:r w:rsidR="001D7D51" w:rsidRPr="0013512D">
        <w:rPr>
          <w:lang w:val="en-GB"/>
        </w:rPr>
        <w:t xml:space="preserve">the </w:t>
      </w:r>
      <w:r w:rsidRPr="0013512D">
        <w:rPr>
          <w:lang w:val="en-GB"/>
        </w:rPr>
        <w:t>new frames of reference in an important quest to</w:t>
      </w:r>
      <w:r w:rsidR="00B6149B" w:rsidRPr="0013512D">
        <w:rPr>
          <w:lang w:val="en-GB"/>
        </w:rPr>
        <w:t xml:space="preserve"> </w:t>
      </w:r>
      <w:r w:rsidR="00651782" w:rsidRPr="0013512D">
        <w:rPr>
          <w:lang w:val="en-GB"/>
        </w:rPr>
        <w:t xml:space="preserve">find the right </w:t>
      </w:r>
      <w:r w:rsidR="00EE026D" w:rsidRPr="0013512D">
        <w:rPr>
          <w:lang w:val="en-GB"/>
        </w:rPr>
        <w:t>instruments</w:t>
      </w:r>
      <w:r w:rsidR="00651782" w:rsidRPr="0013512D">
        <w:rPr>
          <w:lang w:val="en-GB"/>
        </w:rPr>
        <w:t xml:space="preserve"> for reconciliation in the communities devastated by conflict</w:t>
      </w:r>
      <w:r w:rsidR="00C050DB" w:rsidRPr="0013512D">
        <w:rPr>
          <w:lang w:val="en-GB"/>
        </w:rPr>
        <w:t xml:space="preserve"> and subject to </w:t>
      </w:r>
      <w:r w:rsidR="00CC65F3" w:rsidRPr="0013512D">
        <w:rPr>
          <w:lang w:val="en-GB"/>
        </w:rPr>
        <w:t xml:space="preserve">the attention of </w:t>
      </w:r>
      <w:r w:rsidR="00C050DB" w:rsidRPr="0013512D">
        <w:rPr>
          <w:lang w:val="en-GB"/>
        </w:rPr>
        <w:t>international criminal law</w:t>
      </w:r>
      <w:r w:rsidR="00CC65F3" w:rsidRPr="0013512D">
        <w:rPr>
          <w:lang w:val="en-GB"/>
        </w:rPr>
        <w:t>(</w:t>
      </w:r>
      <w:proofErr w:type="spellStart"/>
      <w:r w:rsidR="00CC65F3" w:rsidRPr="0013512D">
        <w:rPr>
          <w:lang w:val="en-GB"/>
        </w:rPr>
        <w:t>yers</w:t>
      </w:r>
      <w:proofErr w:type="spellEnd"/>
      <w:r w:rsidR="00CC65F3" w:rsidRPr="0013512D">
        <w:rPr>
          <w:lang w:val="en-GB"/>
        </w:rPr>
        <w:t>)</w:t>
      </w:r>
      <w:r w:rsidR="00C050DB" w:rsidRPr="0013512D">
        <w:rPr>
          <w:lang w:val="en-GB"/>
        </w:rPr>
        <w:t>.</w:t>
      </w:r>
    </w:p>
    <w:p w14:paraId="59EB4F8A" w14:textId="77777777" w:rsidR="00B61378" w:rsidRPr="0013512D" w:rsidRDefault="00B61378" w:rsidP="0093737E">
      <w:pPr>
        <w:spacing w:line="360" w:lineRule="auto"/>
        <w:rPr>
          <w:lang w:val="en-GB"/>
        </w:rPr>
      </w:pPr>
    </w:p>
    <w:p w14:paraId="1D914EEC" w14:textId="62ACBEC7" w:rsidR="0093737E" w:rsidRPr="0013512D" w:rsidRDefault="00B61378" w:rsidP="0093737E">
      <w:pPr>
        <w:spacing w:line="360" w:lineRule="auto"/>
        <w:rPr>
          <w:lang w:val="en-GB"/>
        </w:rPr>
      </w:pPr>
      <w:r w:rsidRPr="0013512D">
        <w:rPr>
          <w:lang w:val="en-GB"/>
        </w:rPr>
        <w:t xml:space="preserve"> </w:t>
      </w:r>
    </w:p>
    <w:sectPr w:rsidR="0093737E" w:rsidRPr="0013512D" w:rsidSect="009E6C1A">
      <w:footerReference w:type="even" r:id="rId9"/>
      <w:footerReference w:type="default" r:id="rId10"/>
      <w:pgSz w:w="11900" w:h="16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412BD5" w14:textId="77777777" w:rsidR="00596D36" w:rsidRDefault="00596D36" w:rsidP="00B252E4">
      <w:r>
        <w:separator/>
      </w:r>
    </w:p>
  </w:endnote>
  <w:endnote w:type="continuationSeparator" w:id="0">
    <w:p w14:paraId="7DF432E1" w14:textId="77777777" w:rsidR="00596D36" w:rsidRDefault="00596D36" w:rsidP="00B252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dobe Garamond Pro">
    <w:altName w:val="Cambria"/>
    <w:panose1 w:val="020B0604020202020204"/>
    <w:charset w:val="4D"/>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75543791"/>
      <w:docPartObj>
        <w:docPartGallery w:val="Page Numbers (Bottom of Page)"/>
        <w:docPartUnique/>
      </w:docPartObj>
    </w:sdtPr>
    <w:sdtEndPr>
      <w:rPr>
        <w:rStyle w:val="PageNumber"/>
      </w:rPr>
    </w:sdtEndPr>
    <w:sdtContent>
      <w:p w14:paraId="5CAB07DC" w14:textId="0BB7E36E" w:rsidR="00CA0596" w:rsidRDefault="00CA0596" w:rsidP="00407BE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613B247" w14:textId="77777777" w:rsidR="00CA0596" w:rsidRDefault="00CA05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41850416"/>
      <w:docPartObj>
        <w:docPartGallery w:val="Page Numbers (Bottom of Page)"/>
        <w:docPartUnique/>
      </w:docPartObj>
    </w:sdtPr>
    <w:sdtEndPr>
      <w:rPr>
        <w:rStyle w:val="PageNumber"/>
        <w:rFonts w:ascii="Times New Roman" w:hAnsi="Times New Roman" w:cs="Times New Roman"/>
      </w:rPr>
    </w:sdtEndPr>
    <w:sdtContent>
      <w:p w14:paraId="1AE31980" w14:textId="156CB167" w:rsidR="00CA0596" w:rsidRDefault="00CA0596" w:rsidP="00407BE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4</w:t>
        </w:r>
        <w:r>
          <w:rPr>
            <w:rStyle w:val="PageNumber"/>
          </w:rPr>
          <w:fldChar w:fldCharType="end"/>
        </w:r>
      </w:p>
    </w:sdtContent>
  </w:sdt>
  <w:p w14:paraId="72394A44" w14:textId="77777777" w:rsidR="00CA0596" w:rsidRDefault="00CA05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6B07DF" w14:textId="77777777" w:rsidR="00596D36" w:rsidRDefault="00596D36" w:rsidP="00B252E4">
      <w:r>
        <w:separator/>
      </w:r>
    </w:p>
  </w:footnote>
  <w:footnote w:type="continuationSeparator" w:id="0">
    <w:p w14:paraId="7F6F971C" w14:textId="77777777" w:rsidR="00596D36" w:rsidRDefault="00596D36" w:rsidP="00B252E4">
      <w:r>
        <w:continuationSeparator/>
      </w:r>
    </w:p>
  </w:footnote>
  <w:footnote w:id="1">
    <w:p w14:paraId="7F1BE007" w14:textId="77777777" w:rsidR="00F162F1" w:rsidRPr="00742AF4" w:rsidRDefault="00F162F1" w:rsidP="00F162F1">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sym w:font="Symbol" w:char="F02A"/>
      </w:r>
      <w:r w:rsidRPr="00742AF4">
        <w:rPr>
          <w:rFonts w:ascii="Times New Roman" w:hAnsi="Times New Roman" w:cs="Times New Roman"/>
          <w:color w:val="000000" w:themeColor="text1"/>
        </w:rPr>
        <w:t xml:space="preserve"> Professor of Comparative and International Criminal Law, IE University, Madrid and Director of Art and International Justice Initiative (ARTIJ), marina.aksenova@ie.edu</w:t>
      </w:r>
    </w:p>
  </w:footnote>
  <w:footnote w:id="2">
    <w:p w14:paraId="6B6E7AFB" w14:textId="77777777" w:rsidR="00F162F1" w:rsidRPr="00742AF4" w:rsidRDefault="00F162F1" w:rsidP="00F162F1">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sym w:font="Symbol" w:char="F02A"/>
      </w:r>
      <w:r w:rsidRPr="00742AF4">
        <w:rPr>
          <w:rFonts w:ascii="Times New Roman" w:hAnsi="Times New Roman" w:cs="Times New Roman"/>
          <w:color w:val="000000" w:themeColor="text1"/>
        </w:rPr>
        <w:t xml:space="preserve"> Licensed Mental Health </w:t>
      </w:r>
      <w:proofErr w:type="spellStart"/>
      <w:r w:rsidRPr="00742AF4">
        <w:rPr>
          <w:rFonts w:ascii="Times New Roman" w:hAnsi="Times New Roman" w:cs="Times New Roman"/>
          <w:color w:val="000000" w:themeColor="text1"/>
        </w:rPr>
        <w:t>Counselor</w:t>
      </w:r>
      <w:proofErr w:type="spellEnd"/>
      <w:r w:rsidRPr="00742AF4">
        <w:rPr>
          <w:rFonts w:ascii="Times New Roman" w:hAnsi="Times New Roman" w:cs="Times New Roman"/>
          <w:color w:val="000000" w:themeColor="text1"/>
        </w:rPr>
        <w:t xml:space="preserve"> (LMHC), Washington, USA, MA Arts in </w:t>
      </w:r>
      <w:proofErr w:type="spellStart"/>
      <w:r w:rsidRPr="00742AF4">
        <w:rPr>
          <w:rFonts w:ascii="Times New Roman" w:hAnsi="Times New Roman" w:cs="Times New Roman"/>
          <w:color w:val="000000" w:themeColor="text1"/>
        </w:rPr>
        <w:t>Counseling</w:t>
      </w:r>
      <w:proofErr w:type="spellEnd"/>
      <w:r w:rsidRPr="00742AF4">
        <w:rPr>
          <w:rFonts w:ascii="Times New Roman" w:hAnsi="Times New Roman" w:cs="Times New Roman"/>
          <w:color w:val="000000" w:themeColor="text1"/>
        </w:rPr>
        <w:t xml:space="preserve"> Psychology, amberrieff527@gmail.com</w:t>
      </w:r>
    </w:p>
  </w:footnote>
  <w:footnote w:id="3">
    <w:p w14:paraId="38BF4B9D" w14:textId="432B432C" w:rsidR="00CA0596" w:rsidRPr="00742AF4" w:rsidRDefault="00CA0596" w:rsidP="00FF126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See Preamble to the Rome Statute; UN SC Resolutions S/RES/827 (1993); S/RES/955 (1994); R. Duthie, ‘Introduction’, in R. Duthie and P. </w:t>
      </w:r>
      <w:proofErr w:type="spellStart"/>
      <w:r w:rsidRPr="00742AF4">
        <w:rPr>
          <w:rFonts w:ascii="Times New Roman" w:hAnsi="Times New Roman" w:cs="Times New Roman"/>
          <w:color w:val="000000" w:themeColor="text1"/>
        </w:rPr>
        <w:t>Seils</w:t>
      </w:r>
      <w:proofErr w:type="spellEnd"/>
      <w:r w:rsidRPr="00742AF4">
        <w:rPr>
          <w:rFonts w:ascii="Times New Roman" w:hAnsi="Times New Roman" w:cs="Times New Roman"/>
          <w:color w:val="000000" w:themeColor="text1"/>
        </w:rPr>
        <w:t xml:space="preserve"> (eds) Justice Mosaics: How Context Shapes Transitional Justice in Fractured Societies (New York, ICTJ, 2017), p. 11; </w:t>
      </w:r>
      <w:r w:rsidRPr="00742AF4">
        <w:rPr>
          <w:rFonts w:ascii="Times New Roman" w:eastAsia="Times New Roman" w:hAnsi="Times New Roman" w:cs="Times New Roman"/>
          <w:color w:val="000000" w:themeColor="text1"/>
          <w:lang w:val="en-US"/>
        </w:rPr>
        <w:t xml:space="preserve">R. </w:t>
      </w:r>
      <w:proofErr w:type="spellStart"/>
      <w:r w:rsidRPr="00742AF4">
        <w:rPr>
          <w:rFonts w:ascii="Times New Roman" w:eastAsia="Times New Roman" w:hAnsi="Times New Roman" w:cs="Times New Roman"/>
          <w:color w:val="000000" w:themeColor="text1"/>
          <w:lang w:val="en-US"/>
        </w:rPr>
        <w:t>Teitel</w:t>
      </w:r>
      <w:proofErr w:type="spellEnd"/>
      <w:r w:rsidRPr="00742AF4">
        <w:rPr>
          <w:rFonts w:ascii="Times New Roman" w:eastAsia="Times New Roman" w:hAnsi="Times New Roman" w:cs="Times New Roman"/>
          <w:color w:val="000000" w:themeColor="text1"/>
          <w:lang w:val="en-US"/>
        </w:rPr>
        <w:t xml:space="preserve">, </w:t>
      </w:r>
      <w:r w:rsidRPr="00742AF4">
        <w:rPr>
          <w:rFonts w:ascii="Times New Roman" w:eastAsia="Times New Roman" w:hAnsi="Times New Roman" w:cs="Times New Roman"/>
          <w:i/>
          <w:iCs/>
          <w:color w:val="000000" w:themeColor="text1"/>
          <w:lang w:val="en-US"/>
        </w:rPr>
        <w:t xml:space="preserve">Transitional Justice </w:t>
      </w:r>
      <w:r w:rsidRPr="00742AF4">
        <w:rPr>
          <w:rFonts w:ascii="Times New Roman" w:eastAsia="Times New Roman" w:hAnsi="Times New Roman" w:cs="Times New Roman"/>
          <w:color w:val="000000" w:themeColor="text1"/>
          <w:lang w:val="en-US"/>
        </w:rPr>
        <w:t>(Oxford University Press, 2010)</w:t>
      </w:r>
      <w:r w:rsidRPr="00742AF4">
        <w:rPr>
          <w:rFonts w:ascii="Times New Roman" w:hAnsi="Times New Roman" w:cs="Times New Roman"/>
          <w:color w:val="000000" w:themeColor="text1"/>
        </w:rPr>
        <w:t>, p. 51.</w:t>
      </w:r>
    </w:p>
  </w:footnote>
  <w:footnote w:id="4">
    <w:p w14:paraId="559ACBCB" w14:textId="058F15F3" w:rsidR="00CA0596" w:rsidRPr="00742AF4" w:rsidRDefault="00CA0596" w:rsidP="00FF126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See </w:t>
      </w:r>
      <w:r w:rsidRPr="00742AF4">
        <w:rPr>
          <w:rFonts w:ascii="Times New Roman" w:hAnsi="Times New Roman" w:cs="Times New Roman"/>
          <w:color w:val="000000" w:themeColor="text1"/>
          <w:lang w:val="en-US"/>
        </w:rPr>
        <w:t xml:space="preserve">D. Bloomfield, T. Barnes and L. </w:t>
      </w:r>
      <w:proofErr w:type="spellStart"/>
      <w:r w:rsidRPr="00742AF4">
        <w:rPr>
          <w:rFonts w:ascii="Times New Roman" w:hAnsi="Times New Roman" w:cs="Times New Roman"/>
          <w:color w:val="000000" w:themeColor="text1"/>
          <w:lang w:val="en-US"/>
        </w:rPr>
        <w:t>Huyse</w:t>
      </w:r>
      <w:proofErr w:type="spell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iCs/>
          <w:color w:val="000000" w:themeColor="text1"/>
          <w:lang w:val="en-US"/>
        </w:rPr>
        <w:t>Reconciliation After Violent Conflict: A Handbook</w:t>
      </w:r>
      <w:r w:rsidRPr="00742AF4">
        <w:rPr>
          <w:rFonts w:ascii="Times New Roman" w:hAnsi="Times New Roman" w:cs="Times New Roman"/>
          <w:color w:val="000000" w:themeColor="text1"/>
          <w:lang w:val="en-US"/>
        </w:rPr>
        <w:t xml:space="preserve"> (International Institute for Democracy and Electoral Assistance, 2003); </w:t>
      </w:r>
      <w:r w:rsidRPr="00742AF4">
        <w:rPr>
          <w:rFonts w:ascii="Times New Roman" w:hAnsi="Times New Roman" w:cs="Times New Roman"/>
          <w:bCs/>
          <w:color w:val="000000" w:themeColor="text1"/>
          <w:lang w:val="en-US"/>
        </w:rPr>
        <w:t xml:space="preserve">J. </w:t>
      </w:r>
      <w:proofErr w:type="spellStart"/>
      <w:r w:rsidRPr="00742AF4">
        <w:rPr>
          <w:rFonts w:ascii="Times New Roman" w:hAnsi="Times New Roman" w:cs="Times New Roman"/>
          <w:bCs/>
          <w:color w:val="000000" w:themeColor="text1"/>
          <w:lang w:val="en-US"/>
        </w:rPr>
        <w:t>Lederach</w:t>
      </w:r>
      <w:proofErr w:type="spellEnd"/>
      <w:r w:rsidRPr="00742AF4">
        <w:rPr>
          <w:rFonts w:ascii="Times New Roman" w:hAnsi="Times New Roman" w:cs="Times New Roman"/>
          <w:bCs/>
          <w:color w:val="000000" w:themeColor="text1"/>
          <w:lang w:val="en-US"/>
        </w:rPr>
        <w:t xml:space="preserve">, </w:t>
      </w:r>
      <w:r w:rsidRPr="00742AF4">
        <w:rPr>
          <w:rFonts w:ascii="Times New Roman" w:hAnsi="Times New Roman" w:cs="Times New Roman"/>
          <w:bCs/>
          <w:i/>
          <w:color w:val="000000" w:themeColor="text1"/>
          <w:lang w:val="en-US"/>
        </w:rPr>
        <w:t>Building Peace: Sustainable Reconciliation in Divided Societies</w:t>
      </w:r>
      <w:r w:rsidRPr="00742AF4">
        <w:rPr>
          <w:rFonts w:ascii="Times New Roman" w:hAnsi="Times New Roman" w:cs="Times New Roman"/>
          <w:bCs/>
          <w:color w:val="000000" w:themeColor="text1"/>
          <w:lang w:val="en-US"/>
        </w:rPr>
        <w:t xml:space="preserve"> (USIP Press Books, 1998)</w:t>
      </w:r>
      <w:r w:rsidRPr="00742AF4">
        <w:rPr>
          <w:rFonts w:ascii="Times New Roman" w:hAnsi="Times New Roman" w:cs="Times New Roman"/>
          <w:color w:val="000000" w:themeColor="text1"/>
          <w:lang w:val="en-US"/>
        </w:rPr>
        <w:t xml:space="preserve">; D. Robinson, ‘Serving the Interests of Justice: Amnesties, Truth Commissions and the International Criminal Court’ (2003) </w:t>
      </w:r>
      <w:r w:rsidRPr="00742AF4">
        <w:rPr>
          <w:rFonts w:ascii="Times New Roman" w:hAnsi="Times New Roman" w:cs="Times New Roman"/>
          <w:i/>
          <w:color w:val="000000" w:themeColor="text1"/>
          <w:shd w:val="clear" w:color="auto" w:fill="FFFFFF"/>
          <w:lang w:val="en-US"/>
        </w:rPr>
        <w:t>European Journal of International Law</w:t>
      </w:r>
      <w:r w:rsidRPr="00742AF4">
        <w:rPr>
          <w:rFonts w:ascii="Times New Roman" w:hAnsi="Times New Roman" w:cs="Times New Roman"/>
          <w:color w:val="000000" w:themeColor="text1"/>
          <w:shd w:val="clear" w:color="auto" w:fill="FFFFFF"/>
          <w:lang w:val="en-US"/>
        </w:rPr>
        <w:t xml:space="preserve"> 14 (3), pp. 481-505</w:t>
      </w:r>
      <w:r w:rsidRPr="00742AF4">
        <w:rPr>
          <w:rFonts w:ascii="Times New Roman" w:hAnsi="Times New Roman" w:cs="Times New Roman"/>
          <w:color w:val="000000" w:themeColor="text1"/>
          <w:lang w:val="en-US"/>
        </w:rPr>
        <w:t xml:space="preserve">; C. </w:t>
      </w:r>
      <w:proofErr w:type="spellStart"/>
      <w:r w:rsidRPr="00742AF4">
        <w:rPr>
          <w:rFonts w:ascii="Times New Roman" w:hAnsi="Times New Roman" w:cs="Times New Roman"/>
          <w:color w:val="000000" w:themeColor="text1"/>
          <w:lang w:val="en-US"/>
        </w:rPr>
        <w:t>Stahn</w:t>
      </w:r>
      <w:proofErr w:type="spell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iCs/>
          <w:color w:val="000000" w:themeColor="text1"/>
          <w:lang w:val="en-US"/>
        </w:rPr>
        <w:t>International Criminal Justice and Reconciliation: Beyond the Retributive v. Restorative Divide</w:t>
      </w:r>
      <w:r w:rsidRPr="00742AF4">
        <w:rPr>
          <w:rFonts w:ascii="Times New Roman" w:hAnsi="Times New Roman" w:cs="Times New Roman"/>
          <w:color w:val="000000" w:themeColor="text1"/>
          <w:lang w:val="en-US"/>
        </w:rPr>
        <w:t xml:space="preserve">, FICHL Policy Brief Series No. 36 (2015); P. </w:t>
      </w:r>
      <w:proofErr w:type="spellStart"/>
      <w:r w:rsidRPr="00742AF4">
        <w:rPr>
          <w:rFonts w:ascii="Times New Roman" w:hAnsi="Times New Roman" w:cs="Times New Roman"/>
          <w:color w:val="000000" w:themeColor="text1"/>
          <w:lang w:val="en-US"/>
        </w:rPr>
        <w:t>Hayner</w:t>
      </w:r>
      <w:proofErr w:type="spell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iCs/>
          <w:color w:val="000000" w:themeColor="text1"/>
          <w:lang w:val="en-US"/>
        </w:rPr>
        <w:t>Unspeakable Truths</w:t>
      </w:r>
      <w:r w:rsidRPr="00742AF4">
        <w:rPr>
          <w:rFonts w:ascii="Times New Roman" w:hAnsi="Times New Roman" w:cs="Times New Roman"/>
          <w:color w:val="000000" w:themeColor="text1"/>
          <w:lang w:val="en-US"/>
        </w:rPr>
        <w:t xml:space="preserve"> (Routledge, New York, 2003).</w:t>
      </w:r>
    </w:p>
  </w:footnote>
  <w:footnote w:id="5">
    <w:p w14:paraId="05940937" w14:textId="77777777" w:rsidR="00CA0596" w:rsidRPr="00742AF4" w:rsidRDefault="00CA0596" w:rsidP="009D7898">
      <w:pPr>
        <w:pStyle w:val="0401FN"/>
        <w:spacing w:line="240" w:lineRule="auto"/>
        <w:ind w:firstLine="0"/>
        <w:jc w:val="both"/>
        <w:rPr>
          <w:rFonts w:ascii="Times New Roman" w:eastAsiaTheme="minorHAnsi" w:hAnsi="Times New Roman"/>
          <w:color w:val="000000" w:themeColor="text1"/>
          <w:sz w:val="20"/>
          <w:lang w:val="en-GB"/>
        </w:rPr>
      </w:pPr>
      <w:r w:rsidRPr="00742AF4">
        <w:rPr>
          <w:rStyle w:val="FootnoteReference"/>
          <w:rFonts w:ascii="Times New Roman" w:eastAsiaTheme="minorHAnsi" w:hAnsi="Times New Roman"/>
          <w:color w:val="000000" w:themeColor="text1"/>
          <w:sz w:val="20"/>
        </w:rPr>
        <w:footnoteRef/>
      </w:r>
      <w:r w:rsidRPr="00742AF4">
        <w:rPr>
          <w:rStyle w:val="FootnoteReference"/>
          <w:rFonts w:ascii="Times New Roman" w:eastAsiaTheme="minorHAnsi" w:hAnsi="Times New Roman"/>
          <w:color w:val="000000" w:themeColor="text1"/>
          <w:sz w:val="20"/>
        </w:rPr>
        <w:t xml:space="preserve"> </w:t>
      </w:r>
      <w:r w:rsidRPr="00742AF4">
        <w:rPr>
          <w:rFonts w:ascii="Times New Roman" w:eastAsiaTheme="minorHAnsi" w:hAnsi="Times New Roman"/>
          <w:color w:val="000000" w:themeColor="text1"/>
          <w:sz w:val="20"/>
          <w:lang w:val="en-GB"/>
        </w:rPr>
        <w:t>S/RES/827 (1993); S/RES/955 (1994); Report of the UN Secretary-General, para. 38.</w:t>
      </w:r>
    </w:p>
  </w:footnote>
  <w:footnote w:id="6">
    <w:p w14:paraId="1B32425F" w14:textId="77777777" w:rsidR="00CA0596" w:rsidRPr="00742AF4" w:rsidRDefault="00CA0596" w:rsidP="009D7898">
      <w:pPr>
        <w:pStyle w:val="0401FN"/>
        <w:spacing w:line="240" w:lineRule="auto"/>
        <w:ind w:firstLine="0"/>
        <w:jc w:val="both"/>
        <w:rPr>
          <w:rFonts w:ascii="Times New Roman" w:eastAsiaTheme="minorHAnsi" w:hAnsi="Times New Roman"/>
          <w:color w:val="000000" w:themeColor="text1"/>
          <w:sz w:val="20"/>
          <w:lang w:val="en-GB"/>
        </w:rPr>
      </w:pPr>
      <w:r w:rsidRPr="00742AF4">
        <w:rPr>
          <w:rStyle w:val="FootnoteReference"/>
          <w:rFonts w:ascii="Times New Roman" w:eastAsiaTheme="minorHAnsi" w:hAnsi="Times New Roman"/>
          <w:color w:val="000000" w:themeColor="text1"/>
          <w:sz w:val="20"/>
        </w:rPr>
        <w:footnoteRef/>
      </w:r>
      <w:r w:rsidRPr="00742AF4">
        <w:rPr>
          <w:rStyle w:val="FootnoteReference"/>
          <w:rFonts w:ascii="Times New Roman" w:eastAsiaTheme="minorHAnsi" w:hAnsi="Times New Roman"/>
          <w:color w:val="000000" w:themeColor="text1"/>
          <w:sz w:val="20"/>
        </w:rPr>
        <w:t xml:space="preserve"> </w:t>
      </w:r>
      <w:r w:rsidRPr="00742AF4">
        <w:rPr>
          <w:rFonts w:ascii="Times New Roman" w:eastAsiaTheme="minorHAnsi" w:hAnsi="Times New Roman"/>
          <w:i/>
          <w:iCs/>
          <w:color w:val="000000" w:themeColor="text1"/>
          <w:sz w:val="20"/>
          <w:lang w:val="en-GB"/>
        </w:rPr>
        <w:t xml:space="preserve">Prosecutor v. </w:t>
      </w:r>
      <w:proofErr w:type="spellStart"/>
      <w:r w:rsidRPr="00742AF4">
        <w:rPr>
          <w:rFonts w:ascii="Times New Roman" w:eastAsiaTheme="minorHAnsi" w:hAnsi="Times New Roman"/>
          <w:i/>
          <w:iCs/>
          <w:color w:val="000000" w:themeColor="text1"/>
          <w:sz w:val="20"/>
          <w:lang w:val="en-GB"/>
        </w:rPr>
        <w:t>Kamuhanda</w:t>
      </w:r>
      <w:proofErr w:type="spellEnd"/>
      <w:r w:rsidRPr="00742AF4">
        <w:rPr>
          <w:rFonts w:ascii="Times New Roman" w:eastAsiaTheme="minorHAnsi" w:hAnsi="Times New Roman"/>
          <w:color w:val="000000" w:themeColor="text1"/>
          <w:sz w:val="20"/>
          <w:lang w:val="en-GB"/>
        </w:rPr>
        <w:t xml:space="preserve">, ICTR-95-54A-T, Judgment, 22 January 2004, para. 753; </w:t>
      </w:r>
      <w:r w:rsidRPr="00742AF4">
        <w:rPr>
          <w:rFonts w:ascii="Times New Roman" w:eastAsiaTheme="minorHAnsi" w:hAnsi="Times New Roman"/>
          <w:i/>
          <w:iCs/>
          <w:color w:val="000000" w:themeColor="text1"/>
          <w:sz w:val="20"/>
          <w:lang w:val="en-GB"/>
        </w:rPr>
        <w:t xml:space="preserve">Prosecutor v. </w:t>
      </w:r>
      <w:proofErr w:type="spellStart"/>
      <w:r w:rsidRPr="00742AF4">
        <w:rPr>
          <w:rFonts w:ascii="Times New Roman" w:eastAsiaTheme="minorHAnsi" w:hAnsi="Times New Roman"/>
          <w:i/>
          <w:iCs/>
          <w:color w:val="000000" w:themeColor="text1"/>
          <w:sz w:val="20"/>
          <w:lang w:val="en-GB"/>
        </w:rPr>
        <w:t>Momir</w:t>
      </w:r>
      <w:proofErr w:type="spellEnd"/>
      <w:r w:rsidRPr="00742AF4">
        <w:rPr>
          <w:rFonts w:ascii="Times New Roman" w:eastAsiaTheme="minorHAnsi" w:hAnsi="Times New Roman"/>
          <w:i/>
          <w:iCs/>
          <w:color w:val="000000" w:themeColor="text1"/>
          <w:sz w:val="20"/>
          <w:lang w:val="en-GB"/>
        </w:rPr>
        <w:t xml:space="preserve"> </w:t>
      </w:r>
      <w:proofErr w:type="spellStart"/>
      <w:r w:rsidRPr="00742AF4">
        <w:rPr>
          <w:rFonts w:ascii="Times New Roman" w:eastAsiaTheme="minorHAnsi" w:hAnsi="Times New Roman"/>
          <w:i/>
          <w:iCs/>
          <w:color w:val="000000" w:themeColor="text1"/>
          <w:sz w:val="20"/>
          <w:lang w:val="en-GB"/>
        </w:rPr>
        <w:t>Nikolić</w:t>
      </w:r>
      <w:proofErr w:type="spellEnd"/>
      <w:r w:rsidRPr="00742AF4">
        <w:rPr>
          <w:rFonts w:ascii="Times New Roman" w:eastAsiaTheme="minorHAnsi" w:hAnsi="Times New Roman"/>
          <w:color w:val="000000" w:themeColor="text1"/>
          <w:sz w:val="20"/>
          <w:lang w:val="en-GB"/>
        </w:rPr>
        <w:t>, ICTY Case No. IT-02-60/1-S, Sentencing Judgment, 2 December 2003, para. 93.</w:t>
      </w:r>
    </w:p>
  </w:footnote>
  <w:footnote w:id="7">
    <w:p w14:paraId="7229039C" w14:textId="557B7F78" w:rsidR="00CA0596" w:rsidRPr="00742AF4" w:rsidRDefault="00CA0596" w:rsidP="009D7898">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See </w:t>
      </w:r>
      <w:hyperlink r:id="rId1" w:tooltip="www.icty.org/en/about/tribunal/achievements" w:history="1">
        <w:r w:rsidRPr="00742AF4">
          <w:rPr>
            <w:rFonts w:ascii="Times New Roman" w:hAnsi="Times New Roman" w:cs="Times New Roman"/>
            <w:color w:val="000000" w:themeColor="text1"/>
          </w:rPr>
          <w:t>www.icty.org/en/about/tribunal/achievements</w:t>
        </w:r>
      </w:hyperlink>
      <w:r w:rsidRPr="00742AF4">
        <w:rPr>
          <w:rFonts w:ascii="Times New Roman" w:hAnsi="Times New Roman" w:cs="Times New Roman"/>
          <w:color w:val="000000" w:themeColor="text1"/>
        </w:rPr>
        <w:t>, last accessed 12 July 2019.</w:t>
      </w:r>
    </w:p>
  </w:footnote>
  <w:footnote w:id="8">
    <w:p w14:paraId="0E3CDBC5" w14:textId="230A734A"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Message by Judge Gabrielle Kirk McDonald on the Occasion of the Final ICTY Symposium, 18 December 2017, ICTY, available at </w:t>
      </w:r>
      <w:hyperlink r:id="rId2" w:history="1">
        <w:r w:rsidRPr="00742AF4">
          <w:rPr>
            <w:rStyle w:val="Hyperlink"/>
            <w:rFonts w:ascii="Times New Roman" w:hAnsi="Times New Roman" w:cs="Times New Roman"/>
            <w:color w:val="000000" w:themeColor="text1"/>
          </w:rPr>
          <w:t>http://www.icty.org/x/file/Press/Events/2017/171221-legacy-symposium-kirk-mc-donald-statement.pdf</w:t>
        </w:r>
      </w:hyperlink>
      <w:r w:rsidRPr="00742AF4">
        <w:rPr>
          <w:rFonts w:ascii="Times New Roman" w:hAnsi="Times New Roman" w:cs="Times New Roman"/>
          <w:color w:val="000000" w:themeColor="text1"/>
        </w:rPr>
        <w:t>, last accessed 12 July 2019.</w:t>
      </w:r>
    </w:p>
  </w:footnote>
  <w:footnote w:id="9">
    <w:p w14:paraId="0994E9D0" w14:textId="6D69569C" w:rsidR="00CA0596" w:rsidRPr="00742AF4" w:rsidRDefault="00CA0596">
      <w:pPr>
        <w:widowControl w:val="0"/>
        <w:autoSpaceDE w:val="0"/>
        <w:autoSpaceDN w:val="0"/>
        <w:adjustRightInd w:val="0"/>
        <w:jc w:val="both"/>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Bloomfield et al, supra note 2, 12.</w:t>
      </w:r>
    </w:p>
  </w:footnote>
  <w:footnote w:id="10">
    <w:p w14:paraId="657D1814" w14:textId="433FEEE6"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N. </w:t>
      </w:r>
      <w:proofErr w:type="spellStart"/>
      <w:r w:rsidRPr="00742AF4">
        <w:rPr>
          <w:rFonts w:ascii="Times New Roman" w:hAnsi="Times New Roman" w:cs="Times New Roman"/>
          <w:color w:val="000000" w:themeColor="text1"/>
          <w:lang w:val="en-US"/>
        </w:rPr>
        <w:t>Shnabel</w:t>
      </w:r>
      <w:proofErr w:type="spellEnd"/>
      <w:r w:rsidRPr="00742AF4">
        <w:rPr>
          <w:rFonts w:ascii="Times New Roman" w:hAnsi="Times New Roman" w:cs="Times New Roman"/>
          <w:color w:val="000000" w:themeColor="text1"/>
          <w:lang w:val="en-US"/>
        </w:rPr>
        <w:t xml:space="preserve"> and A. Nadler, ‘A Needs-Based Model of Reconciliation: Satisfying the Differential Emotional Needs of Victim and Perpetrator as a Key to Promoting Reconciliation’, 1 </w:t>
      </w:r>
      <w:r w:rsidRPr="00742AF4">
        <w:rPr>
          <w:rFonts w:ascii="Times New Roman" w:hAnsi="Times New Roman" w:cs="Times New Roman"/>
          <w:i/>
          <w:color w:val="000000" w:themeColor="text1"/>
          <w:lang w:val="en-US"/>
        </w:rPr>
        <w:t xml:space="preserve">Journal of Personality and Social Psychology </w:t>
      </w:r>
      <w:r w:rsidRPr="00742AF4">
        <w:rPr>
          <w:rFonts w:ascii="Times New Roman" w:hAnsi="Times New Roman" w:cs="Times New Roman"/>
          <w:color w:val="000000" w:themeColor="text1"/>
          <w:lang w:val="en-US"/>
        </w:rPr>
        <w:t xml:space="preserve">(2008), 116-132, </w:t>
      </w:r>
      <w:r w:rsidRPr="00742AF4">
        <w:rPr>
          <w:rFonts w:ascii="Times New Roman" w:eastAsia="Times New Roman" w:hAnsi="Times New Roman" w:cs="Times New Roman"/>
          <w:color w:val="000000" w:themeColor="text1"/>
          <w:lang w:val="en-US"/>
        </w:rPr>
        <w:t>116.</w:t>
      </w:r>
    </w:p>
  </w:footnote>
  <w:footnote w:id="11">
    <w:p w14:paraId="40C005D6" w14:textId="77777777" w:rsidR="00CA0596" w:rsidRPr="00742AF4" w:rsidRDefault="00CA0596" w:rsidP="00250D87">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V. </w:t>
      </w:r>
      <w:proofErr w:type="spellStart"/>
      <w:r w:rsidRPr="00742AF4">
        <w:rPr>
          <w:rFonts w:ascii="Times New Roman" w:hAnsi="Times New Roman" w:cs="Times New Roman"/>
          <w:color w:val="000000" w:themeColor="text1"/>
          <w:lang w:val="en-US"/>
        </w:rPr>
        <w:t>Rosoux</w:t>
      </w:r>
      <w:proofErr w:type="spell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color w:val="000000" w:themeColor="text1"/>
          <w:lang w:val="en-US"/>
        </w:rPr>
        <w:t xml:space="preserve">Negotiating Reconciliation in Peacemaking. Quandaries of Relationship Building, </w:t>
      </w:r>
      <w:r w:rsidRPr="00742AF4">
        <w:rPr>
          <w:rFonts w:ascii="Times New Roman" w:hAnsi="Times New Roman" w:cs="Times New Roman"/>
          <w:color w:val="000000" w:themeColor="text1"/>
          <w:lang w:val="en-US"/>
        </w:rPr>
        <w:t xml:space="preserve">(Springer, 2017), </w:t>
      </w:r>
      <w:r w:rsidRPr="00742AF4">
        <w:rPr>
          <w:rFonts w:ascii="Times New Roman" w:eastAsia="Times New Roman" w:hAnsi="Times New Roman" w:cs="Times New Roman"/>
          <w:color w:val="000000" w:themeColor="text1"/>
          <w:lang w:val="en-US"/>
        </w:rPr>
        <w:t>p. 16.</w:t>
      </w:r>
    </w:p>
  </w:footnote>
  <w:footnote w:id="12">
    <w:p w14:paraId="4DDF2F62" w14:textId="23F2F8D6" w:rsidR="00CA0596" w:rsidRPr="00742AF4" w:rsidRDefault="00CA0596">
      <w:pPr>
        <w:jc w:val="both"/>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w:t>
      </w:r>
      <w:proofErr w:type="spellStart"/>
      <w:r w:rsidRPr="00742AF4">
        <w:rPr>
          <w:bCs/>
          <w:color w:val="000000" w:themeColor="text1"/>
          <w:sz w:val="20"/>
          <w:szCs w:val="20"/>
          <w:lang w:val="en-US"/>
        </w:rPr>
        <w:t>Lederach</w:t>
      </w:r>
      <w:proofErr w:type="spellEnd"/>
      <w:r w:rsidRPr="00742AF4">
        <w:rPr>
          <w:bCs/>
          <w:color w:val="000000" w:themeColor="text1"/>
          <w:sz w:val="20"/>
          <w:szCs w:val="20"/>
          <w:lang w:val="en-US"/>
        </w:rPr>
        <w:t xml:space="preserve">, </w:t>
      </w:r>
      <w:r w:rsidRPr="00742AF4">
        <w:rPr>
          <w:bCs/>
          <w:i/>
          <w:color w:val="000000" w:themeColor="text1"/>
          <w:sz w:val="20"/>
          <w:szCs w:val="20"/>
          <w:lang w:val="en-US"/>
        </w:rPr>
        <w:t xml:space="preserve">supra </w:t>
      </w:r>
      <w:r w:rsidRPr="00742AF4">
        <w:rPr>
          <w:bCs/>
          <w:iCs/>
          <w:color w:val="000000" w:themeColor="text1"/>
          <w:sz w:val="20"/>
          <w:szCs w:val="20"/>
          <w:lang w:val="en-US"/>
        </w:rPr>
        <w:t>note 2.</w:t>
      </w:r>
    </w:p>
  </w:footnote>
  <w:footnote w:id="13">
    <w:p w14:paraId="06299CAB" w14:textId="3B40E0BD" w:rsidR="00CA0596" w:rsidRPr="00742AF4" w:rsidRDefault="00CA0596" w:rsidP="009D7898">
      <w:pPr>
        <w:rPr>
          <w:color w:val="000000" w:themeColor="text1"/>
          <w:sz w:val="20"/>
          <w:szCs w:val="20"/>
          <w:lang w:val="en-GB"/>
        </w:rPr>
      </w:pPr>
      <w:r w:rsidRPr="00742AF4">
        <w:rPr>
          <w:rStyle w:val="FootnoteReference"/>
          <w:color w:val="000000" w:themeColor="text1"/>
          <w:sz w:val="20"/>
          <w:szCs w:val="20"/>
        </w:rPr>
        <w:footnoteRef/>
      </w:r>
      <w:r w:rsidRPr="00742AF4">
        <w:rPr>
          <w:color w:val="000000" w:themeColor="text1"/>
          <w:sz w:val="20"/>
          <w:szCs w:val="20"/>
          <w:lang w:val="en-US"/>
        </w:rPr>
        <w:t xml:space="preserve"> A, </w:t>
      </w:r>
      <w:proofErr w:type="spellStart"/>
      <w:r w:rsidRPr="00742AF4">
        <w:rPr>
          <w:color w:val="000000" w:themeColor="text1"/>
          <w:sz w:val="20"/>
          <w:szCs w:val="20"/>
          <w:lang w:val="en-US"/>
        </w:rPr>
        <w:t>Isasi</w:t>
      </w:r>
      <w:proofErr w:type="spellEnd"/>
      <w:r w:rsidRPr="00742AF4">
        <w:rPr>
          <w:color w:val="000000" w:themeColor="text1"/>
          <w:sz w:val="20"/>
          <w:szCs w:val="20"/>
          <w:lang w:val="en-US"/>
        </w:rPr>
        <w:t xml:space="preserve">-Díaz, </w:t>
      </w:r>
      <w:r w:rsidRPr="00742AF4">
        <w:rPr>
          <w:i/>
          <w:iCs/>
          <w:color w:val="000000" w:themeColor="text1"/>
          <w:sz w:val="20"/>
          <w:szCs w:val="20"/>
          <w:lang w:val="en-US"/>
        </w:rPr>
        <w:t xml:space="preserve">La </w:t>
      </w:r>
      <w:proofErr w:type="spellStart"/>
      <w:r w:rsidRPr="00742AF4">
        <w:rPr>
          <w:i/>
          <w:iCs/>
          <w:color w:val="000000" w:themeColor="text1"/>
          <w:sz w:val="20"/>
          <w:szCs w:val="20"/>
          <w:lang w:val="en-US"/>
        </w:rPr>
        <w:t>Lucha</w:t>
      </w:r>
      <w:proofErr w:type="spellEnd"/>
      <w:r w:rsidRPr="00742AF4">
        <w:rPr>
          <w:i/>
          <w:iCs/>
          <w:color w:val="000000" w:themeColor="text1"/>
          <w:sz w:val="20"/>
          <w:szCs w:val="20"/>
          <w:lang w:val="en-US"/>
        </w:rPr>
        <w:t xml:space="preserve"> Continues: </w:t>
      </w:r>
      <w:proofErr w:type="spellStart"/>
      <w:r w:rsidRPr="00742AF4">
        <w:rPr>
          <w:i/>
          <w:iCs/>
          <w:color w:val="000000" w:themeColor="text1"/>
          <w:sz w:val="20"/>
          <w:szCs w:val="20"/>
          <w:lang w:val="en-US"/>
        </w:rPr>
        <w:t>Mujerista</w:t>
      </w:r>
      <w:proofErr w:type="spellEnd"/>
      <w:r w:rsidRPr="00742AF4">
        <w:rPr>
          <w:i/>
          <w:iCs/>
          <w:color w:val="000000" w:themeColor="text1"/>
          <w:sz w:val="20"/>
          <w:szCs w:val="20"/>
          <w:lang w:val="en-US"/>
        </w:rPr>
        <w:t xml:space="preserve"> Theology</w:t>
      </w:r>
      <w:r w:rsidRPr="00742AF4">
        <w:rPr>
          <w:color w:val="000000" w:themeColor="text1"/>
          <w:sz w:val="20"/>
          <w:szCs w:val="20"/>
          <w:lang w:val="en-US"/>
        </w:rPr>
        <w:t xml:space="preserve"> (Maryknoll NY: Orbis Books, 2004), </w:t>
      </w:r>
      <w:proofErr w:type="gramStart"/>
      <w:r w:rsidRPr="00742AF4">
        <w:rPr>
          <w:color w:val="000000" w:themeColor="text1"/>
          <w:sz w:val="20"/>
          <w:szCs w:val="20"/>
          <w:lang w:val="en-US"/>
        </w:rPr>
        <w:t>203;  R.</w:t>
      </w:r>
      <w:proofErr w:type="gramEnd"/>
      <w:r w:rsidRPr="00742AF4">
        <w:rPr>
          <w:color w:val="000000" w:themeColor="text1"/>
          <w:sz w:val="20"/>
          <w:szCs w:val="20"/>
          <w:lang w:val="en-US"/>
        </w:rPr>
        <w:t xml:space="preserve"> Mani, ‘Women, Art and Post-Conflict Justice,’ International Criminal Law Review 11(3) (2011), 543–560, 546.</w:t>
      </w:r>
    </w:p>
  </w:footnote>
  <w:footnote w:id="14">
    <w:p w14:paraId="04774282" w14:textId="5F949138"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V. Bell, Art of Post-Dictatorship: Ethics and Aesthetics in Transitional Argentina (Routledge, 2014), p. 1.</w:t>
      </w:r>
    </w:p>
  </w:footnote>
  <w:footnote w:id="15">
    <w:p w14:paraId="4AAFA75E" w14:textId="77777777" w:rsidR="00CA0596" w:rsidRPr="00742AF4" w:rsidRDefault="00CA0596">
      <w:pPr>
        <w:pStyle w:val="FootnoteText"/>
        <w:jc w:val="both"/>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M. </w:t>
      </w:r>
      <w:proofErr w:type="spellStart"/>
      <w:r w:rsidRPr="00742AF4">
        <w:rPr>
          <w:rFonts w:ascii="Times New Roman" w:hAnsi="Times New Roman" w:cs="Times New Roman"/>
          <w:color w:val="000000" w:themeColor="text1"/>
        </w:rPr>
        <w:t>Minow</w:t>
      </w:r>
      <w:proofErr w:type="spellEnd"/>
      <w:r w:rsidRPr="00742AF4">
        <w:rPr>
          <w:rFonts w:ascii="Times New Roman" w:hAnsi="Times New Roman" w:cs="Times New Roman"/>
          <w:color w:val="000000" w:themeColor="text1"/>
        </w:rPr>
        <w:t xml:space="preserve">, </w:t>
      </w:r>
      <w:r w:rsidRPr="00742AF4">
        <w:rPr>
          <w:rFonts w:ascii="Times New Roman" w:hAnsi="Times New Roman" w:cs="Times New Roman"/>
          <w:i/>
          <w:color w:val="000000" w:themeColor="text1"/>
        </w:rPr>
        <w:t>Breaking the Cycles of Hatred</w:t>
      </w:r>
      <w:r w:rsidRPr="00742AF4">
        <w:rPr>
          <w:rFonts w:ascii="Times New Roman" w:hAnsi="Times New Roman" w:cs="Times New Roman"/>
          <w:color w:val="000000" w:themeColor="text1"/>
        </w:rPr>
        <w:t xml:space="preserve"> (Princeton University Press, 2002), pp. 15.</w:t>
      </w:r>
    </w:p>
  </w:footnote>
  <w:footnote w:id="16">
    <w:p w14:paraId="079F7BE2" w14:textId="3C830373" w:rsidR="00CA0596" w:rsidRPr="00742AF4" w:rsidRDefault="00CA0596" w:rsidP="009D7898">
      <w:pPr>
        <w:pStyle w:val="NormalWeb"/>
        <w:spacing w:before="0" w:beforeAutospacing="0" w:after="0" w:afterAutospacing="0"/>
        <w:rPr>
          <w:rFonts w:eastAsia="Times New Roman"/>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rPr>
        <w:t xml:space="preserve"> S. </w:t>
      </w:r>
      <w:proofErr w:type="spellStart"/>
      <w:r w:rsidRPr="00742AF4">
        <w:rPr>
          <w:color w:val="000000" w:themeColor="text1"/>
          <w:sz w:val="20"/>
          <w:szCs w:val="20"/>
        </w:rPr>
        <w:t>Shefik</w:t>
      </w:r>
      <w:proofErr w:type="spellEnd"/>
      <w:r w:rsidRPr="00742AF4">
        <w:rPr>
          <w:color w:val="000000" w:themeColor="text1"/>
          <w:sz w:val="20"/>
          <w:szCs w:val="20"/>
        </w:rPr>
        <w:t xml:space="preserve">, </w:t>
      </w:r>
      <w:r w:rsidRPr="00742AF4">
        <w:rPr>
          <w:rFonts w:eastAsia="Times New Roman"/>
          <w:color w:val="000000" w:themeColor="text1"/>
          <w:sz w:val="20"/>
          <w:szCs w:val="20"/>
          <w:lang w:val="en-US" w:eastAsia="en-US"/>
        </w:rPr>
        <w:t xml:space="preserve">Reimagining Transitional Justice through Participatory Art, </w:t>
      </w:r>
      <w:r w:rsidRPr="00742AF4">
        <w:rPr>
          <w:rFonts w:eastAsia="Times New Roman"/>
          <w:i/>
          <w:color w:val="000000" w:themeColor="text1"/>
          <w:sz w:val="20"/>
          <w:szCs w:val="20"/>
          <w:lang w:val="en-US" w:eastAsia="en-US"/>
        </w:rPr>
        <w:t>International Journal of Transitional Justice</w:t>
      </w:r>
      <w:r w:rsidRPr="00742AF4">
        <w:rPr>
          <w:rFonts w:eastAsia="Times New Roman"/>
          <w:color w:val="000000" w:themeColor="text1"/>
          <w:sz w:val="20"/>
          <w:szCs w:val="20"/>
          <w:lang w:val="en-US" w:eastAsia="en-US"/>
        </w:rPr>
        <w:t xml:space="preserve">, 2018, 12, 314–333; </w:t>
      </w:r>
      <w:r w:rsidRPr="00742AF4">
        <w:rPr>
          <w:rStyle w:val="Hyperlink"/>
          <w:color w:val="000000" w:themeColor="text1"/>
          <w:sz w:val="20"/>
          <w:szCs w:val="20"/>
          <w:u w:val="none"/>
        </w:rPr>
        <w:t xml:space="preserve">E. Garnsey, Rewinding and Unwinding: Art and Justice in Times of Political Transition, International Journal of Transitional Justice, 2016, 10, 471–491; </w:t>
      </w:r>
      <w:r w:rsidRPr="00742AF4">
        <w:rPr>
          <w:color w:val="000000" w:themeColor="text1"/>
          <w:sz w:val="20"/>
          <w:szCs w:val="20"/>
          <w:lang w:val="en-US"/>
        </w:rPr>
        <w:t xml:space="preserve">Bell, </w:t>
      </w:r>
      <w:r w:rsidRPr="00742AF4">
        <w:rPr>
          <w:i/>
          <w:iCs/>
          <w:color w:val="000000" w:themeColor="text1"/>
          <w:sz w:val="20"/>
          <w:szCs w:val="20"/>
          <w:lang w:val="en-US"/>
        </w:rPr>
        <w:t xml:space="preserve">supra </w:t>
      </w:r>
      <w:r w:rsidRPr="00742AF4">
        <w:rPr>
          <w:color w:val="000000" w:themeColor="text1"/>
          <w:sz w:val="20"/>
          <w:szCs w:val="20"/>
          <w:lang w:val="en-US"/>
        </w:rPr>
        <w:t xml:space="preserve">note 12; Mani, </w:t>
      </w:r>
      <w:r w:rsidRPr="00742AF4">
        <w:rPr>
          <w:i/>
          <w:iCs/>
          <w:color w:val="000000" w:themeColor="text1"/>
          <w:sz w:val="20"/>
          <w:szCs w:val="20"/>
          <w:lang w:val="en-US"/>
        </w:rPr>
        <w:t>supra</w:t>
      </w:r>
      <w:r w:rsidRPr="00742AF4">
        <w:rPr>
          <w:color w:val="000000" w:themeColor="text1"/>
          <w:sz w:val="20"/>
          <w:szCs w:val="20"/>
          <w:lang w:val="en-US"/>
        </w:rPr>
        <w:t xml:space="preserve"> note 11; P. Rush and O. </w:t>
      </w:r>
      <w:proofErr w:type="spellStart"/>
      <w:r w:rsidRPr="00742AF4">
        <w:rPr>
          <w:color w:val="000000" w:themeColor="text1"/>
          <w:sz w:val="20"/>
          <w:szCs w:val="20"/>
          <w:lang w:val="en-US"/>
        </w:rPr>
        <w:t>Simić</w:t>
      </w:r>
      <w:proofErr w:type="spellEnd"/>
      <w:r w:rsidRPr="00742AF4">
        <w:rPr>
          <w:color w:val="000000" w:themeColor="text1"/>
          <w:sz w:val="20"/>
          <w:szCs w:val="20"/>
          <w:lang w:val="en-US"/>
        </w:rPr>
        <w:t xml:space="preserve"> (eds), </w:t>
      </w:r>
      <w:r w:rsidRPr="00742AF4">
        <w:rPr>
          <w:i/>
          <w:iCs/>
          <w:color w:val="000000" w:themeColor="text1"/>
          <w:sz w:val="20"/>
          <w:szCs w:val="20"/>
          <w:lang w:val="en-US"/>
        </w:rPr>
        <w:t>The Arts of Transitional Justice. Culture, Activism, and Memory after Atrocity</w:t>
      </w:r>
      <w:r w:rsidRPr="00742AF4">
        <w:rPr>
          <w:color w:val="000000" w:themeColor="text1"/>
          <w:sz w:val="20"/>
          <w:szCs w:val="20"/>
          <w:lang w:val="en-US"/>
        </w:rPr>
        <w:t xml:space="preserve"> (Springer, 2013); C. Ramírez-Barat (ed), </w:t>
      </w:r>
      <w:r w:rsidRPr="00742AF4">
        <w:rPr>
          <w:i/>
          <w:iCs/>
          <w:color w:val="000000" w:themeColor="text1"/>
          <w:sz w:val="20"/>
          <w:szCs w:val="20"/>
          <w:lang w:val="en-US"/>
        </w:rPr>
        <w:t>Transitional Justice, Culture, and Society: Beyond Outreach</w:t>
      </w:r>
      <w:r w:rsidRPr="00742AF4">
        <w:rPr>
          <w:color w:val="000000" w:themeColor="text1"/>
          <w:sz w:val="20"/>
          <w:szCs w:val="20"/>
          <w:lang w:val="en-US"/>
        </w:rPr>
        <w:t xml:space="preserve"> (ICTJ, 2014).</w:t>
      </w:r>
    </w:p>
  </w:footnote>
  <w:footnote w:id="17">
    <w:p w14:paraId="5AC64B30" w14:textId="11FD7679"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Garnsey, </w:t>
      </w:r>
      <w:r w:rsidRPr="00742AF4">
        <w:rPr>
          <w:rFonts w:ascii="Times New Roman" w:hAnsi="Times New Roman" w:cs="Times New Roman"/>
          <w:i/>
          <w:iCs/>
          <w:color w:val="000000" w:themeColor="text1"/>
        </w:rPr>
        <w:t>supra</w:t>
      </w:r>
      <w:r w:rsidRPr="00742AF4">
        <w:rPr>
          <w:rFonts w:ascii="Times New Roman" w:hAnsi="Times New Roman" w:cs="Times New Roman"/>
          <w:color w:val="000000" w:themeColor="text1"/>
        </w:rPr>
        <w:t xml:space="preserve"> note 14, 473-4.</w:t>
      </w:r>
    </w:p>
  </w:footnote>
  <w:footnote w:id="18">
    <w:p w14:paraId="4329177F" w14:textId="2901E1DB"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Ibid.</w:t>
      </w:r>
    </w:p>
  </w:footnote>
  <w:footnote w:id="19">
    <w:p w14:paraId="5B4DC2F6" w14:textId="2ADC7C41" w:rsidR="00CA0596" w:rsidRPr="00742AF4" w:rsidRDefault="00CA0596" w:rsidP="009D7898">
      <w:pPr>
        <w:rPr>
          <w:color w:val="000000" w:themeColor="text1"/>
          <w:sz w:val="20"/>
          <w:szCs w:val="20"/>
          <w:lang w:val="en-US"/>
        </w:rPr>
      </w:pPr>
      <w:r w:rsidRPr="00742AF4">
        <w:rPr>
          <w:rStyle w:val="FootnoteReference"/>
          <w:color w:val="000000" w:themeColor="text1"/>
          <w:sz w:val="20"/>
          <w:szCs w:val="20"/>
        </w:rPr>
        <w:footnoteRef/>
      </w:r>
      <w:r w:rsidRPr="00742AF4">
        <w:rPr>
          <w:rStyle w:val="FootnoteReference"/>
          <w:color w:val="000000" w:themeColor="text1"/>
          <w:sz w:val="20"/>
          <w:szCs w:val="20"/>
          <w:lang w:val="en-US"/>
        </w:rPr>
        <w:t xml:space="preserve"> </w:t>
      </w:r>
      <w:r w:rsidRPr="00742AF4">
        <w:rPr>
          <w:color w:val="000000" w:themeColor="text1"/>
          <w:sz w:val="20"/>
          <w:szCs w:val="20"/>
          <w:lang w:val="en-US"/>
        </w:rPr>
        <w:t xml:space="preserve">Report of the Secretary-General, The rule of law and transitional justice in conflict and post-conflict societies, S/2004/616, 23 August 2004, </w:t>
      </w:r>
      <w:hyperlink r:id="rId3" w:history="1">
        <w:r w:rsidRPr="00742AF4">
          <w:rPr>
            <w:color w:val="000000" w:themeColor="text1"/>
            <w:sz w:val="20"/>
            <w:szCs w:val="20"/>
            <w:lang w:val="en-US"/>
          </w:rPr>
          <w:t>https://www.un.org/ruleoflaw/files/2004%20report.pdf</w:t>
        </w:r>
      </w:hyperlink>
      <w:r w:rsidRPr="00742AF4">
        <w:rPr>
          <w:color w:val="000000" w:themeColor="text1"/>
          <w:sz w:val="20"/>
          <w:szCs w:val="20"/>
          <w:lang w:val="en-US"/>
        </w:rPr>
        <w:t>, last accessed 11 July 2019.</w:t>
      </w:r>
    </w:p>
  </w:footnote>
  <w:footnote w:id="20">
    <w:p w14:paraId="35FCED55" w14:textId="77777777" w:rsidR="00CA0596" w:rsidRPr="00742AF4" w:rsidRDefault="00CA0596">
      <w:pPr>
        <w:pStyle w:val="NormalWeb"/>
        <w:spacing w:before="0" w:beforeAutospacing="0" w:after="0" w:afterAutospacing="0"/>
        <w:rPr>
          <w:rFonts w:eastAsia="Times New Roman"/>
          <w:color w:val="000000" w:themeColor="text1"/>
          <w:sz w:val="20"/>
          <w:szCs w:val="20"/>
          <w:lang w:val="en-US" w:eastAsia="en-US"/>
        </w:rPr>
      </w:pPr>
      <w:r w:rsidRPr="00742AF4">
        <w:rPr>
          <w:rStyle w:val="FootnoteReference"/>
          <w:color w:val="000000" w:themeColor="text1"/>
          <w:sz w:val="20"/>
          <w:szCs w:val="20"/>
        </w:rPr>
        <w:footnoteRef/>
      </w:r>
      <w:r w:rsidRPr="00742AF4">
        <w:rPr>
          <w:color w:val="000000" w:themeColor="text1"/>
          <w:sz w:val="20"/>
          <w:szCs w:val="20"/>
        </w:rPr>
        <w:t xml:space="preserve"> For a comprehensive treatment see </w:t>
      </w:r>
      <w:r w:rsidRPr="00742AF4">
        <w:rPr>
          <w:rFonts w:eastAsia="Times New Roman"/>
          <w:color w:val="000000" w:themeColor="text1"/>
          <w:sz w:val="20"/>
          <w:szCs w:val="20"/>
          <w:lang w:val="en-US" w:eastAsia="en-US"/>
        </w:rPr>
        <w:t xml:space="preserve">R. </w:t>
      </w:r>
      <w:proofErr w:type="spellStart"/>
      <w:r w:rsidRPr="00742AF4">
        <w:rPr>
          <w:rFonts w:eastAsia="Times New Roman"/>
          <w:color w:val="000000" w:themeColor="text1"/>
          <w:sz w:val="20"/>
          <w:szCs w:val="20"/>
          <w:lang w:val="en-US" w:eastAsia="en-US"/>
        </w:rPr>
        <w:t>Teitel</w:t>
      </w:r>
      <w:proofErr w:type="spellEnd"/>
      <w:r w:rsidRPr="00742AF4">
        <w:rPr>
          <w:rFonts w:eastAsia="Times New Roman"/>
          <w:color w:val="000000" w:themeColor="text1"/>
          <w:sz w:val="20"/>
          <w:szCs w:val="20"/>
          <w:lang w:val="en-US" w:eastAsia="en-US"/>
        </w:rPr>
        <w:t xml:space="preserve">, </w:t>
      </w:r>
      <w:r w:rsidRPr="00742AF4">
        <w:rPr>
          <w:rFonts w:eastAsia="Times New Roman"/>
          <w:i/>
          <w:iCs/>
          <w:color w:val="000000" w:themeColor="text1"/>
          <w:sz w:val="20"/>
          <w:szCs w:val="20"/>
          <w:lang w:val="en-US" w:eastAsia="en-US"/>
        </w:rPr>
        <w:t xml:space="preserve">Transitional Justice </w:t>
      </w:r>
      <w:r w:rsidRPr="00742AF4">
        <w:rPr>
          <w:rFonts w:eastAsia="Times New Roman"/>
          <w:color w:val="000000" w:themeColor="text1"/>
          <w:sz w:val="20"/>
          <w:szCs w:val="20"/>
          <w:lang w:val="en-US" w:eastAsia="en-US"/>
        </w:rPr>
        <w:t>(Oxford University Press, 2010).</w:t>
      </w:r>
    </w:p>
  </w:footnote>
  <w:footnote w:id="21">
    <w:p w14:paraId="0E34BD69" w14:textId="256CD2D6"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P. Rush, ‘Preface: After Atrocity: Foreword to Transition’, in Rush and </w:t>
      </w:r>
      <w:proofErr w:type="spellStart"/>
      <w:r w:rsidRPr="00742AF4">
        <w:rPr>
          <w:rFonts w:ascii="Times New Roman" w:hAnsi="Times New Roman" w:cs="Times New Roman"/>
          <w:color w:val="000000" w:themeColor="text1"/>
          <w:lang w:val="en-US"/>
        </w:rPr>
        <w:t>Simić</w:t>
      </w:r>
      <w:proofErr w:type="spellEnd"/>
      <w:r w:rsidRPr="00742AF4">
        <w:rPr>
          <w:rFonts w:ascii="Times New Roman" w:hAnsi="Times New Roman" w:cs="Times New Roman"/>
          <w:color w:val="000000" w:themeColor="text1"/>
          <w:lang w:val="en-US"/>
        </w:rPr>
        <w:t xml:space="preserve"> (eds), </w:t>
      </w:r>
      <w:r w:rsidRPr="00742AF4">
        <w:rPr>
          <w:rFonts w:ascii="Times New Roman" w:hAnsi="Times New Roman" w:cs="Times New Roman"/>
          <w:i/>
          <w:iCs/>
          <w:color w:val="000000" w:themeColor="text1"/>
          <w:lang w:val="en-US"/>
        </w:rPr>
        <w:t>supra</w:t>
      </w:r>
      <w:r w:rsidRPr="00742AF4">
        <w:rPr>
          <w:rFonts w:ascii="Times New Roman" w:hAnsi="Times New Roman" w:cs="Times New Roman"/>
          <w:color w:val="000000" w:themeColor="text1"/>
          <w:lang w:val="en-US"/>
        </w:rPr>
        <w:t xml:space="preserve"> note 14, p. vi.</w:t>
      </w:r>
    </w:p>
  </w:footnote>
  <w:footnote w:id="22">
    <w:p w14:paraId="4232BF63" w14:textId="77777777" w:rsidR="00CA0596" w:rsidRPr="00742AF4" w:rsidRDefault="00CA0596" w:rsidP="00BF4F2D">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C. Ramirez-Barat, ‘Introduction: Transitional Justice and the Public Sphere’, in Ramirez-Barat (ed), </w:t>
      </w:r>
      <w:r w:rsidRPr="00742AF4">
        <w:rPr>
          <w:rFonts w:ascii="Times New Roman" w:hAnsi="Times New Roman" w:cs="Times New Roman"/>
          <w:i/>
          <w:iCs/>
          <w:color w:val="000000" w:themeColor="text1"/>
          <w:lang w:val="en-US"/>
        </w:rPr>
        <w:t>supra</w:t>
      </w:r>
      <w:r w:rsidRPr="00742AF4">
        <w:rPr>
          <w:rFonts w:ascii="Times New Roman" w:hAnsi="Times New Roman" w:cs="Times New Roman"/>
          <w:color w:val="000000" w:themeColor="text1"/>
          <w:lang w:val="en-US"/>
        </w:rPr>
        <w:t xml:space="preserve"> note 14, p. 27.</w:t>
      </w:r>
    </w:p>
  </w:footnote>
  <w:footnote w:id="23">
    <w:p w14:paraId="4ACC1D79" w14:textId="24833110"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P. de </w:t>
      </w:r>
      <w:proofErr w:type="spellStart"/>
      <w:r w:rsidRPr="00742AF4">
        <w:rPr>
          <w:rFonts w:ascii="Times New Roman" w:hAnsi="Times New Roman" w:cs="Times New Roman"/>
          <w:color w:val="000000" w:themeColor="text1"/>
          <w:lang w:val="en-US"/>
        </w:rPr>
        <w:t>Greiff</w:t>
      </w:r>
      <w:proofErr w:type="spellEnd"/>
      <w:r w:rsidRPr="00742AF4">
        <w:rPr>
          <w:rFonts w:ascii="Times New Roman" w:hAnsi="Times New Roman" w:cs="Times New Roman"/>
          <w:color w:val="000000" w:themeColor="text1"/>
          <w:lang w:val="en-US"/>
        </w:rPr>
        <w:t xml:space="preserve">, ‘On Making the Invisible Visible: The Role of Cultural Interventions in Transitional Justice Processes’ in Ramirez-Barat (ed), </w:t>
      </w:r>
      <w:r w:rsidRPr="00742AF4">
        <w:rPr>
          <w:rFonts w:ascii="Times New Roman" w:hAnsi="Times New Roman" w:cs="Times New Roman"/>
          <w:i/>
          <w:iCs/>
          <w:color w:val="000000" w:themeColor="text1"/>
          <w:lang w:val="en-US"/>
        </w:rPr>
        <w:t>supra</w:t>
      </w:r>
      <w:r w:rsidRPr="00742AF4">
        <w:rPr>
          <w:rFonts w:ascii="Times New Roman" w:hAnsi="Times New Roman" w:cs="Times New Roman"/>
          <w:color w:val="000000" w:themeColor="text1"/>
          <w:lang w:val="en-US"/>
        </w:rPr>
        <w:t xml:space="preserve"> note 14, p. 13.</w:t>
      </w:r>
    </w:p>
  </w:footnote>
  <w:footnote w:id="24">
    <w:p w14:paraId="1C7D08A3" w14:textId="1912D017"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proofErr w:type="spellStart"/>
      <w:r w:rsidRPr="00742AF4">
        <w:rPr>
          <w:rFonts w:ascii="Times New Roman" w:hAnsi="Times New Roman" w:cs="Times New Roman"/>
          <w:color w:val="000000" w:themeColor="text1"/>
        </w:rPr>
        <w:t>Teitel</w:t>
      </w:r>
      <w:proofErr w:type="spellEnd"/>
      <w:r w:rsidRPr="00742AF4">
        <w:rPr>
          <w:rFonts w:ascii="Times New Roman" w:hAnsi="Times New Roman" w:cs="Times New Roman"/>
          <w:color w:val="000000" w:themeColor="text1"/>
        </w:rPr>
        <w:t xml:space="preserve">, </w:t>
      </w:r>
      <w:r w:rsidRPr="00742AF4">
        <w:rPr>
          <w:rFonts w:ascii="Times New Roman" w:hAnsi="Times New Roman" w:cs="Times New Roman"/>
          <w:i/>
          <w:iCs/>
          <w:color w:val="000000" w:themeColor="text1"/>
        </w:rPr>
        <w:t>supra</w:t>
      </w:r>
      <w:r w:rsidRPr="00742AF4">
        <w:rPr>
          <w:rFonts w:ascii="Times New Roman" w:hAnsi="Times New Roman" w:cs="Times New Roman"/>
          <w:color w:val="000000" w:themeColor="text1"/>
        </w:rPr>
        <w:t xml:space="preserve"> note 18, p. 33.</w:t>
      </w:r>
    </w:p>
  </w:footnote>
  <w:footnote w:id="25">
    <w:p w14:paraId="1F598DB6" w14:textId="4F264514" w:rsidR="00CA0596" w:rsidRPr="00742AF4" w:rsidRDefault="00CA0596" w:rsidP="009D7898">
      <w:pPr>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w:t>
      </w:r>
      <w:r w:rsidRPr="00742AF4">
        <w:rPr>
          <w:color w:val="000000" w:themeColor="text1"/>
          <w:sz w:val="20"/>
          <w:szCs w:val="20"/>
          <w:lang w:val="en-GB"/>
        </w:rPr>
        <w:t>C</w:t>
      </w:r>
      <w:r w:rsidRPr="00742AF4">
        <w:rPr>
          <w:color w:val="000000" w:themeColor="text1"/>
          <w:sz w:val="20"/>
          <w:szCs w:val="20"/>
          <w:lang w:val="en-US"/>
        </w:rPr>
        <w:t>.</w:t>
      </w:r>
      <w:r w:rsidRPr="00742AF4">
        <w:rPr>
          <w:color w:val="000000" w:themeColor="text1"/>
          <w:sz w:val="20"/>
          <w:szCs w:val="20"/>
          <w:lang w:val="en-GB"/>
        </w:rPr>
        <w:t xml:space="preserve"> </w:t>
      </w:r>
      <w:proofErr w:type="spellStart"/>
      <w:r w:rsidRPr="00742AF4">
        <w:rPr>
          <w:color w:val="000000" w:themeColor="text1"/>
          <w:sz w:val="20"/>
          <w:szCs w:val="20"/>
          <w:lang w:val="en-GB"/>
        </w:rPr>
        <w:t>Schwöbel</w:t>
      </w:r>
      <w:proofErr w:type="spellEnd"/>
      <w:r w:rsidRPr="00742AF4">
        <w:rPr>
          <w:color w:val="000000" w:themeColor="text1"/>
          <w:sz w:val="20"/>
          <w:szCs w:val="20"/>
          <w:lang w:val="en-US"/>
        </w:rPr>
        <w:t>, ‘</w:t>
      </w:r>
      <w:r w:rsidRPr="00742AF4">
        <w:rPr>
          <w:color w:val="000000" w:themeColor="text1"/>
          <w:sz w:val="20"/>
          <w:szCs w:val="20"/>
          <w:shd w:val="clear" w:color="auto" w:fill="FFFFFF"/>
          <w:lang w:val="en-US"/>
        </w:rPr>
        <w:t xml:space="preserve">The market and marketing culture of international criminal law’ in </w:t>
      </w:r>
      <w:r w:rsidRPr="00742AF4">
        <w:rPr>
          <w:color w:val="000000" w:themeColor="text1"/>
          <w:sz w:val="20"/>
          <w:szCs w:val="20"/>
          <w:lang w:val="en-GB"/>
        </w:rPr>
        <w:t>C</w:t>
      </w:r>
      <w:r w:rsidRPr="00742AF4">
        <w:rPr>
          <w:color w:val="000000" w:themeColor="text1"/>
          <w:sz w:val="20"/>
          <w:szCs w:val="20"/>
          <w:lang w:val="en-US"/>
        </w:rPr>
        <w:t>.</w:t>
      </w:r>
      <w:r w:rsidRPr="00742AF4">
        <w:rPr>
          <w:color w:val="000000" w:themeColor="text1"/>
          <w:sz w:val="20"/>
          <w:szCs w:val="20"/>
          <w:lang w:val="en-GB"/>
        </w:rPr>
        <w:t xml:space="preserve"> </w:t>
      </w:r>
      <w:proofErr w:type="spellStart"/>
      <w:r w:rsidRPr="00742AF4">
        <w:rPr>
          <w:color w:val="000000" w:themeColor="text1"/>
          <w:sz w:val="20"/>
          <w:szCs w:val="20"/>
          <w:lang w:val="en-GB"/>
        </w:rPr>
        <w:t>Schwöbel</w:t>
      </w:r>
      <w:proofErr w:type="spellEnd"/>
      <w:r w:rsidRPr="00742AF4">
        <w:rPr>
          <w:color w:val="000000" w:themeColor="text1"/>
          <w:sz w:val="20"/>
          <w:szCs w:val="20"/>
          <w:lang w:val="en-US"/>
        </w:rPr>
        <w:t xml:space="preserve"> (ed.) Critical Approaches to International Criminal Law (Routledge, 2014), p. 267.</w:t>
      </w:r>
    </w:p>
  </w:footnote>
  <w:footnote w:id="26">
    <w:p w14:paraId="7E9D3B8E" w14:textId="77777777" w:rsidR="00CA0596" w:rsidRPr="00742AF4" w:rsidRDefault="00CA0596">
      <w:pPr>
        <w:pStyle w:val="designation"/>
        <w:spacing w:before="0" w:beforeAutospacing="0" w:after="0" w:afterAutospacing="0"/>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There are some relevant pieces exploring different aspects of art in the context law, while the systematic study is still missing. For jurisprudential perspective see R. Sherwin, </w:t>
      </w:r>
      <w:r w:rsidRPr="00742AF4">
        <w:rPr>
          <w:rFonts w:eastAsiaTheme="minorHAnsi"/>
          <w:i/>
          <w:color w:val="000000" w:themeColor="text1"/>
          <w:sz w:val="20"/>
          <w:szCs w:val="20"/>
          <w:lang w:val="en-GB"/>
        </w:rPr>
        <w:t>Visualizing Law in the Age of the Digital Baroque: Arabesques and Entanglements</w:t>
      </w:r>
      <w:r w:rsidRPr="00742AF4">
        <w:rPr>
          <w:color w:val="000000" w:themeColor="text1"/>
          <w:sz w:val="20"/>
          <w:szCs w:val="20"/>
          <w:lang w:val="en-US"/>
        </w:rPr>
        <w:t xml:space="preserve"> (Routledge, 2011). For the case study of a specific court, see M. </w:t>
      </w:r>
      <w:proofErr w:type="spellStart"/>
      <w:r w:rsidRPr="00742AF4">
        <w:rPr>
          <w:color w:val="000000" w:themeColor="text1"/>
          <w:sz w:val="20"/>
          <w:szCs w:val="20"/>
          <w:lang w:val="en-US"/>
        </w:rPr>
        <w:t>Elander</w:t>
      </w:r>
      <w:proofErr w:type="spellEnd"/>
      <w:r w:rsidRPr="00742AF4">
        <w:rPr>
          <w:color w:val="000000" w:themeColor="text1"/>
          <w:sz w:val="20"/>
          <w:szCs w:val="20"/>
          <w:lang w:val="en-US"/>
        </w:rPr>
        <w:t xml:space="preserve">, </w:t>
      </w:r>
      <w:r w:rsidRPr="00742AF4">
        <w:rPr>
          <w:i/>
          <w:color w:val="000000" w:themeColor="text1"/>
          <w:sz w:val="20"/>
          <w:szCs w:val="20"/>
          <w:lang w:val="en-US"/>
        </w:rPr>
        <w:t>Figuring Victims in International Criminal Justice: The case of the Khmer Rouge Tribunal</w:t>
      </w:r>
      <w:r w:rsidRPr="00742AF4">
        <w:rPr>
          <w:color w:val="000000" w:themeColor="text1"/>
          <w:sz w:val="20"/>
          <w:szCs w:val="20"/>
          <w:lang w:val="en-US"/>
        </w:rPr>
        <w:t xml:space="preserve"> (1</w:t>
      </w:r>
      <w:r w:rsidRPr="00742AF4">
        <w:rPr>
          <w:color w:val="000000" w:themeColor="text1"/>
          <w:sz w:val="20"/>
          <w:szCs w:val="20"/>
          <w:vertAlign w:val="superscript"/>
          <w:lang w:val="en-US"/>
        </w:rPr>
        <w:t>st</w:t>
      </w:r>
      <w:r w:rsidRPr="00742AF4">
        <w:rPr>
          <w:color w:val="000000" w:themeColor="text1"/>
          <w:sz w:val="20"/>
          <w:szCs w:val="20"/>
          <w:lang w:val="en-US"/>
        </w:rPr>
        <w:t xml:space="preserve"> </w:t>
      </w:r>
      <w:proofErr w:type="spellStart"/>
      <w:r w:rsidRPr="00742AF4">
        <w:rPr>
          <w:color w:val="000000" w:themeColor="text1"/>
          <w:sz w:val="20"/>
          <w:szCs w:val="20"/>
          <w:lang w:val="en-US"/>
        </w:rPr>
        <w:t>edn</w:t>
      </w:r>
      <w:proofErr w:type="spellEnd"/>
      <w:r w:rsidRPr="00742AF4">
        <w:rPr>
          <w:color w:val="000000" w:themeColor="text1"/>
          <w:sz w:val="20"/>
          <w:szCs w:val="20"/>
          <w:lang w:val="en-US"/>
        </w:rPr>
        <w:t xml:space="preserve">, Routledge, 2018). For the perspective related to the specific medium of art - documentary, photography or tv series, see W. Werner, ‘Justice on Screen – A Study of Four Documentary Films on the International Criminal Court’, </w:t>
      </w:r>
      <w:r w:rsidRPr="00742AF4">
        <w:rPr>
          <w:i/>
          <w:color w:val="000000" w:themeColor="text1"/>
          <w:sz w:val="20"/>
          <w:szCs w:val="20"/>
          <w:lang w:val="en-US"/>
        </w:rPr>
        <w:t>Leiden Journal of International Law</w:t>
      </w:r>
      <w:r w:rsidRPr="00742AF4">
        <w:rPr>
          <w:color w:val="000000" w:themeColor="text1"/>
          <w:sz w:val="20"/>
          <w:szCs w:val="20"/>
          <w:lang w:val="en-US"/>
        </w:rPr>
        <w:t xml:space="preserve"> (</w:t>
      </w:r>
      <w:r w:rsidRPr="00742AF4">
        <w:rPr>
          <w:rFonts w:eastAsiaTheme="minorHAnsi"/>
          <w:color w:val="000000" w:themeColor="text1"/>
          <w:sz w:val="20"/>
          <w:szCs w:val="20"/>
          <w:lang w:val="en-GB"/>
        </w:rPr>
        <w:t xml:space="preserve">2016), 29, 1043–1060; I. </w:t>
      </w:r>
      <w:proofErr w:type="spellStart"/>
      <w:r w:rsidRPr="00742AF4">
        <w:rPr>
          <w:rFonts w:eastAsiaTheme="minorHAnsi"/>
          <w:color w:val="000000" w:themeColor="text1"/>
          <w:sz w:val="20"/>
          <w:szCs w:val="20"/>
          <w:lang w:val="en-GB"/>
        </w:rPr>
        <w:t>Tallgren</w:t>
      </w:r>
      <w:proofErr w:type="spellEnd"/>
      <w:r w:rsidRPr="00742AF4">
        <w:rPr>
          <w:rFonts w:eastAsiaTheme="minorHAnsi"/>
          <w:color w:val="000000" w:themeColor="text1"/>
          <w:sz w:val="20"/>
          <w:szCs w:val="20"/>
          <w:lang w:val="en-GB"/>
        </w:rPr>
        <w:t xml:space="preserve">, Watching Tokyo Trial, </w:t>
      </w:r>
      <w:r w:rsidRPr="00742AF4">
        <w:rPr>
          <w:rFonts w:eastAsiaTheme="minorHAnsi"/>
          <w:i/>
          <w:color w:val="000000" w:themeColor="text1"/>
          <w:sz w:val="20"/>
          <w:szCs w:val="20"/>
          <w:lang w:val="en-GB"/>
        </w:rPr>
        <w:t>London Review of International Law</w:t>
      </w:r>
      <w:r w:rsidRPr="00742AF4">
        <w:rPr>
          <w:rFonts w:eastAsiaTheme="minorHAnsi"/>
          <w:color w:val="000000" w:themeColor="text1"/>
          <w:sz w:val="20"/>
          <w:szCs w:val="20"/>
          <w:lang w:val="en-GB"/>
        </w:rPr>
        <w:t xml:space="preserve">, Volume 5, Issue 2, 1 July 2017, 291–316; A. Duffy, Bearing Witness to Atrocity Crimes: Photography and International Law, </w:t>
      </w:r>
      <w:r w:rsidRPr="00742AF4">
        <w:rPr>
          <w:rFonts w:eastAsiaTheme="minorHAnsi"/>
          <w:i/>
          <w:color w:val="000000" w:themeColor="text1"/>
          <w:sz w:val="20"/>
          <w:szCs w:val="20"/>
          <w:lang w:val="en-GB"/>
        </w:rPr>
        <w:t>Human Rights Quarterly</w:t>
      </w:r>
      <w:r w:rsidRPr="00742AF4">
        <w:rPr>
          <w:rFonts w:eastAsiaTheme="minorHAnsi"/>
          <w:color w:val="000000" w:themeColor="text1"/>
          <w:sz w:val="20"/>
          <w:szCs w:val="20"/>
          <w:lang w:val="en-GB"/>
        </w:rPr>
        <w:t>, Volume 40, Number 4, November 2018, pp. 776-814.</w:t>
      </w:r>
    </w:p>
  </w:footnote>
  <w:footnote w:id="27">
    <w:p w14:paraId="6141DFBC" w14:textId="14033FB7" w:rsidR="00CA0596" w:rsidRPr="00742AF4" w:rsidRDefault="00CA0596" w:rsidP="009D7898">
      <w:pPr>
        <w:pStyle w:val="NormalWeb"/>
        <w:spacing w:before="0" w:beforeAutospacing="0" w:after="0" w:afterAutospacing="0"/>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rPr>
        <w:t xml:space="preserve"> </w:t>
      </w:r>
      <w:r w:rsidRPr="00742AF4">
        <w:rPr>
          <w:color w:val="000000" w:themeColor="text1"/>
          <w:sz w:val="20"/>
          <w:szCs w:val="20"/>
          <w:lang w:val="en-US"/>
        </w:rPr>
        <w:t xml:space="preserve">See similar approach in F. </w:t>
      </w:r>
      <w:proofErr w:type="spellStart"/>
      <w:r w:rsidRPr="00742AF4">
        <w:rPr>
          <w:color w:val="000000" w:themeColor="text1"/>
          <w:sz w:val="20"/>
          <w:szCs w:val="20"/>
          <w:lang w:val="en-US"/>
        </w:rPr>
        <w:t>Mégret</w:t>
      </w:r>
      <w:proofErr w:type="spellEnd"/>
      <w:r w:rsidRPr="00742AF4">
        <w:rPr>
          <w:color w:val="000000" w:themeColor="text1"/>
          <w:sz w:val="20"/>
          <w:szCs w:val="20"/>
          <w:lang w:val="en-US"/>
        </w:rPr>
        <w:t xml:space="preserve">, ‘Of Shrines, Memorials and Museums: Using the International Criminal Court’s Victim Reparation and Assistance Regime to Promote Transitional Justice’, </w:t>
      </w:r>
      <w:hyperlink r:id="rId4" w:tgtFrame="_blank" w:history="1">
        <w:r w:rsidRPr="00742AF4">
          <w:rPr>
            <w:color w:val="000000" w:themeColor="text1"/>
            <w:sz w:val="20"/>
            <w:szCs w:val="20"/>
            <w:lang w:val="en-US"/>
          </w:rPr>
          <w:t>SSRN Electronic Journal</w:t>
        </w:r>
      </w:hyperlink>
      <w:r w:rsidRPr="00742AF4">
        <w:rPr>
          <w:color w:val="000000" w:themeColor="text1"/>
          <w:sz w:val="20"/>
          <w:szCs w:val="20"/>
          <w:lang w:val="en-US"/>
        </w:rPr>
        <w:t xml:space="preserve"> 16 · May 2009, available at </w:t>
      </w:r>
      <w:hyperlink r:id="rId5" w:history="1">
        <w:r w:rsidRPr="00742AF4">
          <w:rPr>
            <w:rStyle w:val="Hyperlink"/>
            <w:color w:val="000000" w:themeColor="text1"/>
            <w:sz w:val="20"/>
            <w:szCs w:val="20"/>
            <w:lang w:val="en-US"/>
          </w:rPr>
          <w:t>http://ssrn.com/abstract=1403929</w:t>
        </w:r>
      </w:hyperlink>
      <w:r w:rsidRPr="00742AF4">
        <w:rPr>
          <w:color w:val="000000" w:themeColor="text1"/>
          <w:sz w:val="20"/>
          <w:szCs w:val="20"/>
          <w:lang w:val="en-US"/>
        </w:rPr>
        <w:t>, last accessed 13 July 2019.</w:t>
      </w:r>
    </w:p>
  </w:footnote>
  <w:footnote w:id="28">
    <w:p w14:paraId="07C2B000" w14:textId="77777777"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T. Adorno, </w:t>
      </w:r>
      <w:r w:rsidRPr="00742AF4">
        <w:rPr>
          <w:rFonts w:ascii="Times New Roman" w:hAnsi="Times New Roman" w:cs="Times New Roman"/>
          <w:i/>
          <w:color w:val="000000" w:themeColor="text1"/>
        </w:rPr>
        <w:t>Aesthetic Theory</w:t>
      </w:r>
      <w:r w:rsidRPr="00742AF4">
        <w:rPr>
          <w:rFonts w:ascii="Times New Roman" w:hAnsi="Times New Roman" w:cs="Times New Roman"/>
          <w:color w:val="000000" w:themeColor="text1"/>
        </w:rPr>
        <w:t xml:space="preserve"> (Continuum, 1997, originally published 1970), pp. 100, 227.</w:t>
      </w:r>
    </w:p>
  </w:footnote>
  <w:footnote w:id="29">
    <w:p w14:paraId="52E6929E" w14:textId="77777777"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Ibid, p. 132.</w:t>
      </w:r>
    </w:p>
  </w:footnote>
  <w:footnote w:id="30">
    <w:p w14:paraId="72938E16" w14:textId="77777777"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Ibid, p. 3.</w:t>
      </w:r>
    </w:p>
  </w:footnote>
  <w:footnote w:id="31">
    <w:p w14:paraId="74822C05" w14:textId="43FBD46B"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On reconciliatory potential of art see S. </w:t>
      </w:r>
      <w:proofErr w:type="spellStart"/>
      <w:r w:rsidRPr="00742AF4">
        <w:rPr>
          <w:rFonts w:ascii="Times New Roman" w:hAnsi="Times New Roman" w:cs="Times New Roman"/>
          <w:color w:val="000000" w:themeColor="text1"/>
        </w:rPr>
        <w:t>Stepakoff</w:t>
      </w:r>
      <w:proofErr w:type="spellEnd"/>
      <w:r w:rsidRPr="00742AF4">
        <w:rPr>
          <w:rFonts w:ascii="Times New Roman" w:hAnsi="Times New Roman" w:cs="Times New Roman"/>
          <w:color w:val="000000" w:themeColor="text1"/>
        </w:rPr>
        <w:t xml:space="preserve">, ‘The Healing Power of Symbolization in the Aftermath of Massive War Atrocities: Examples from the Liberian and Sierra Leonean Survivors,’ 3 </w:t>
      </w:r>
      <w:r w:rsidRPr="00742AF4">
        <w:rPr>
          <w:rFonts w:ascii="Times New Roman" w:hAnsi="Times New Roman" w:cs="Times New Roman"/>
          <w:i/>
          <w:color w:val="000000" w:themeColor="text1"/>
        </w:rPr>
        <w:t xml:space="preserve">Journal of Humanistic Psychology </w:t>
      </w:r>
      <w:r w:rsidRPr="00742AF4">
        <w:rPr>
          <w:rFonts w:ascii="Times New Roman" w:hAnsi="Times New Roman" w:cs="Times New Roman"/>
          <w:color w:val="000000" w:themeColor="text1"/>
        </w:rPr>
        <w:t>(2007), 400-412.</w:t>
      </w:r>
    </w:p>
  </w:footnote>
  <w:footnote w:id="32">
    <w:p w14:paraId="254A61F5" w14:textId="61002B14" w:rsidR="00CA0596" w:rsidRPr="00742AF4" w:rsidRDefault="00CA0596">
      <w:pPr>
        <w:jc w:val="both"/>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S. O’Sullivan, ‘The Aesthetic of Affect: Thinking Art beyond Representation,’ published online: 09 June 2010, 125-135, available at </w:t>
      </w:r>
      <w:hyperlink r:id="rId6" w:history="1">
        <w:r w:rsidRPr="00742AF4">
          <w:rPr>
            <w:rStyle w:val="Hyperlink"/>
            <w:color w:val="000000" w:themeColor="text1"/>
            <w:sz w:val="20"/>
            <w:szCs w:val="20"/>
            <w:u w:val="none"/>
            <w:lang w:val="en-US"/>
          </w:rPr>
          <w:t>https://simonosullivan.net/articles/aesthetics-of-affect.pdf</w:t>
        </w:r>
      </w:hyperlink>
      <w:r w:rsidRPr="00742AF4">
        <w:rPr>
          <w:color w:val="000000" w:themeColor="text1"/>
          <w:sz w:val="20"/>
          <w:szCs w:val="20"/>
          <w:lang w:val="en-US"/>
        </w:rPr>
        <w:t>, last accessed 22 July 2019.</w:t>
      </w:r>
    </w:p>
  </w:footnote>
  <w:footnote w:id="33">
    <w:p w14:paraId="319CBFE8" w14:textId="77777777" w:rsidR="00CA0596" w:rsidRPr="00742AF4" w:rsidRDefault="00CA0596">
      <w:pPr>
        <w:pStyle w:val="FootnoteText"/>
        <w:jc w:val="both"/>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Style w:val="FootnoteReference"/>
          <w:rFonts w:ascii="Times New Roman" w:hAnsi="Times New Roman" w:cs="Times New Roman"/>
          <w:color w:val="000000" w:themeColor="text1"/>
        </w:rPr>
        <w:t xml:space="preserve"> </w:t>
      </w:r>
      <w:r w:rsidRPr="00742AF4">
        <w:rPr>
          <w:rFonts w:ascii="Times New Roman" w:hAnsi="Times New Roman" w:cs="Times New Roman"/>
          <w:color w:val="000000" w:themeColor="text1"/>
        </w:rPr>
        <w:t>Ibid.</w:t>
      </w:r>
    </w:p>
  </w:footnote>
  <w:footnote w:id="34">
    <w:p w14:paraId="273B34B3" w14:textId="4A24A61F"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I. </w:t>
      </w:r>
      <w:proofErr w:type="spellStart"/>
      <w:r w:rsidRPr="00742AF4">
        <w:rPr>
          <w:rFonts w:ascii="Times New Roman" w:hAnsi="Times New Roman" w:cs="Times New Roman"/>
          <w:color w:val="000000" w:themeColor="text1"/>
          <w:lang w:val="en-US"/>
        </w:rPr>
        <w:t>Brinck</w:t>
      </w:r>
      <w:proofErr w:type="spellEnd"/>
      <w:r w:rsidRPr="00742AF4">
        <w:rPr>
          <w:rFonts w:ascii="Times New Roman" w:hAnsi="Times New Roman" w:cs="Times New Roman"/>
          <w:color w:val="000000" w:themeColor="text1"/>
          <w:lang w:val="en-US"/>
        </w:rPr>
        <w:t xml:space="preserve">, ‘Empathy, Engagement, Entrainment: The Interaction Dynamics of Aesthetic Experience’, 19 </w:t>
      </w:r>
      <w:r w:rsidRPr="00742AF4">
        <w:rPr>
          <w:rFonts w:ascii="Times New Roman" w:hAnsi="Times New Roman" w:cs="Times New Roman"/>
          <w:i/>
          <w:color w:val="000000" w:themeColor="text1"/>
          <w:lang w:val="en-US"/>
        </w:rPr>
        <w:t xml:space="preserve">Cognitive Process </w:t>
      </w:r>
      <w:r w:rsidRPr="00742AF4">
        <w:rPr>
          <w:rFonts w:ascii="Times New Roman" w:hAnsi="Times New Roman" w:cs="Times New Roman"/>
          <w:color w:val="000000" w:themeColor="text1"/>
          <w:lang w:val="en-US"/>
        </w:rPr>
        <w:t>(2018), 201-213, 202.</w:t>
      </w:r>
    </w:p>
  </w:footnote>
  <w:footnote w:id="35">
    <w:p w14:paraId="25618DDF" w14:textId="38A80932"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A. Ornstein, ‘Artistic Creativity and the Healing Process,’ 3 </w:t>
      </w:r>
      <w:r w:rsidRPr="00742AF4">
        <w:rPr>
          <w:rFonts w:ascii="Times New Roman" w:hAnsi="Times New Roman" w:cs="Times New Roman"/>
          <w:i/>
          <w:color w:val="000000" w:themeColor="text1"/>
          <w:lang w:val="en-US"/>
        </w:rPr>
        <w:t xml:space="preserve">Psychoanalytic Inquiry </w:t>
      </w:r>
      <w:r w:rsidRPr="00742AF4">
        <w:rPr>
          <w:rFonts w:ascii="Times New Roman" w:hAnsi="Times New Roman" w:cs="Times New Roman"/>
          <w:color w:val="000000" w:themeColor="text1"/>
          <w:lang w:val="en-US"/>
        </w:rPr>
        <w:t xml:space="preserve">(2008), 386-406, 391. See also F. </w:t>
      </w:r>
      <w:proofErr w:type="spellStart"/>
      <w:r w:rsidRPr="00742AF4">
        <w:rPr>
          <w:rFonts w:ascii="Times New Roman" w:hAnsi="Times New Roman" w:cs="Times New Roman"/>
          <w:color w:val="000000" w:themeColor="text1"/>
          <w:lang w:val="en-US"/>
        </w:rPr>
        <w:t>d’Evie</w:t>
      </w:r>
      <w:proofErr w:type="spellEnd"/>
      <w:r w:rsidRPr="00742AF4">
        <w:rPr>
          <w:rFonts w:ascii="Times New Roman" w:hAnsi="Times New Roman" w:cs="Times New Roman"/>
          <w:color w:val="000000" w:themeColor="text1"/>
          <w:lang w:val="en-US"/>
        </w:rPr>
        <w:t xml:space="preserve">, ‘Dispersed Truths and Displaced Memories: Extraterritorial Witnessing and Memorializing by Diaspora Through Public Art’ in Rush and </w:t>
      </w:r>
      <w:proofErr w:type="spellStart"/>
      <w:r w:rsidRPr="00742AF4">
        <w:rPr>
          <w:rFonts w:ascii="Times New Roman" w:hAnsi="Times New Roman" w:cs="Times New Roman"/>
          <w:color w:val="000000" w:themeColor="text1"/>
          <w:lang w:val="en-US"/>
        </w:rPr>
        <w:t>Simić</w:t>
      </w:r>
      <w:proofErr w:type="spellEnd"/>
      <w:r w:rsidRPr="00742AF4">
        <w:rPr>
          <w:rFonts w:ascii="Times New Roman" w:hAnsi="Times New Roman" w:cs="Times New Roman"/>
          <w:color w:val="000000" w:themeColor="text1"/>
          <w:lang w:val="en-US"/>
        </w:rPr>
        <w:t xml:space="preserve"> (eds), </w:t>
      </w:r>
      <w:r w:rsidRPr="00742AF4">
        <w:rPr>
          <w:rFonts w:ascii="Times New Roman" w:hAnsi="Times New Roman" w:cs="Times New Roman"/>
          <w:i/>
          <w:iCs/>
          <w:color w:val="000000" w:themeColor="text1"/>
          <w:lang w:val="en-US"/>
        </w:rPr>
        <w:t>supra</w:t>
      </w:r>
      <w:r w:rsidRPr="00742AF4">
        <w:rPr>
          <w:rFonts w:ascii="Times New Roman" w:hAnsi="Times New Roman" w:cs="Times New Roman"/>
          <w:color w:val="000000" w:themeColor="text1"/>
          <w:lang w:val="en-US"/>
        </w:rPr>
        <w:t xml:space="preserve"> note 14, p. 73.</w:t>
      </w:r>
    </w:p>
  </w:footnote>
  <w:footnote w:id="36">
    <w:p w14:paraId="41A18B41" w14:textId="67BBEA06"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proofErr w:type="spellStart"/>
      <w:r w:rsidRPr="00742AF4">
        <w:rPr>
          <w:rFonts w:ascii="Times New Roman" w:hAnsi="Times New Roman" w:cs="Times New Roman"/>
          <w:color w:val="000000" w:themeColor="text1"/>
        </w:rPr>
        <w:t>Mégret</w:t>
      </w:r>
      <w:proofErr w:type="spellEnd"/>
      <w:r w:rsidRPr="00742AF4">
        <w:rPr>
          <w:rFonts w:ascii="Times New Roman" w:hAnsi="Times New Roman" w:cs="Times New Roman"/>
          <w:color w:val="000000" w:themeColor="text1"/>
        </w:rPr>
        <w:t xml:space="preserve"> notes that the ‘sites of consciousness’ (commemoration sites) are not simply a product but a process of coming to terms with the past. See </w:t>
      </w:r>
      <w:proofErr w:type="spellStart"/>
      <w:r w:rsidRPr="00742AF4">
        <w:rPr>
          <w:rFonts w:ascii="Times New Roman" w:hAnsi="Times New Roman" w:cs="Times New Roman"/>
          <w:color w:val="000000" w:themeColor="text1"/>
        </w:rPr>
        <w:t>Mégret</w:t>
      </w:r>
      <w:proofErr w:type="spellEnd"/>
      <w:r w:rsidRPr="00742AF4">
        <w:rPr>
          <w:rFonts w:ascii="Times New Roman" w:hAnsi="Times New Roman" w:cs="Times New Roman"/>
          <w:i/>
          <w:iCs/>
          <w:color w:val="000000" w:themeColor="text1"/>
        </w:rPr>
        <w:t>, supra</w:t>
      </w:r>
      <w:r w:rsidRPr="00742AF4">
        <w:rPr>
          <w:rFonts w:ascii="Times New Roman" w:hAnsi="Times New Roman" w:cs="Times New Roman"/>
          <w:color w:val="000000" w:themeColor="text1"/>
        </w:rPr>
        <w:t xml:space="preserve"> note 25, p. 20.</w:t>
      </w:r>
    </w:p>
  </w:footnote>
  <w:footnote w:id="37">
    <w:p w14:paraId="2A8C6B7F" w14:textId="161C7352"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w:t>
      </w:r>
      <w:proofErr w:type="spellStart"/>
      <w:r w:rsidRPr="00742AF4">
        <w:rPr>
          <w:rFonts w:ascii="Times New Roman" w:hAnsi="Times New Roman" w:cs="Times New Roman"/>
          <w:color w:val="000000" w:themeColor="text1"/>
          <w:lang w:val="en-US"/>
        </w:rPr>
        <w:t>Shnabel</w:t>
      </w:r>
      <w:proofErr w:type="spellEnd"/>
      <w:r w:rsidRPr="00742AF4">
        <w:rPr>
          <w:rFonts w:ascii="Times New Roman" w:hAnsi="Times New Roman" w:cs="Times New Roman"/>
          <w:color w:val="000000" w:themeColor="text1"/>
          <w:lang w:val="en-US"/>
        </w:rPr>
        <w:t xml:space="preserve"> </w:t>
      </w:r>
      <w:proofErr w:type="spellStart"/>
      <w:r w:rsidRPr="00742AF4">
        <w:rPr>
          <w:rFonts w:ascii="Times New Roman" w:hAnsi="Times New Roman" w:cs="Times New Roman"/>
          <w:color w:val="000000" w:themeColor="text1"/>
          <w:lang w:val="en-US"/>
        </w:rPr>
        <w:t>andNadler</w:t>
      </w:r>
      <w:proofErr w:type="spell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iCs/>
          <w:color w:val="000000" w:themeColor="text1"/>
          <w:lang w:val="en-US"/>
        </w:rPr>
        <w:t xml:space="preserve">supra </w:t>
      </w:r>
      <w:r w:rsidRPr="00742AF4">
        <w:rPr>
          <w:rFonts w:ascii="Times New Roman" w:hAnsi="Times New Roman" w:cs="Times New Roman"/>
          <w:color w:val="000000" w:themeColor="text1"/>
          <w:lang w:val="en-US"/>
        </w:rPr>
        <w:t>note 8, 129.</w:t>
      </w:r>
    </w:p>
  </w:footnote>
  <w:footnote w:id="38">
    <w:p w14:paraId="6804A58D" w14:textId="77777777"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B. Rime, P. </w:t>
      </w:r>
      <w:proofErr w:type="spellStart"/>
      <w:r w:rsidRPr="00742AF4">
        <w:rPr>
          <w:rFonts w:ascii="Times New Roman" w:hAnsi="Times New Roman" w:cs="Times New Roman"/>
          <w:color w:val="000000" w:themeColor="text1"/>
          <w:lang w:val="en-US"/>
        </w:rPr>
        <w:t>Kanyangara</w:t>
      </w:r>
      <w:proofErr w:type="spellEnd"/>
      <w:r w:rsidRPr="00742AF4">
        <w:rPr>
          <w:rFonts w:ascii="Times New Roman" w:hAnsi="Times New Roman" w:cs="Times New Roman"/>
          <w:color w:val="000000" w:themeColor="text1"/>
          <w:lang w:val="en-US"/>
        </w:rPr>
        <w:t xml:space="preserve">, V. </w:t>
      </w:r>
      <w:proofErr w:type="spellStart"/>
      <w:r w:rsidRPr="00742AF4">
        <w:rPr>
          <w:rFonts w:ascii="Times New Roman" w:hAnsi="Times New Roman" w:cs="Times New Roman"/>
          <w:color w:val="000000" w:themeColor="text1"/>
          <w:lang w:val="en-US"/>
        </w:rPr>
        <w:t>Yzerbyt</w:t>
      </w:r>
      <w:proofErr w:type="spellEnd"/>
      <w:r w:rsidRPr="00742AF4">
        <w:rPr>
          <w:rFonts w:ascii="Times New Roman" w:hAnsi="Times New Roman" w:cs="Times New Roman"/>
          <w:color w:val="000000" w:themeColor="text1"/>
          <w:lang w:val="en-US"/>
        </w:rPr>
        <w:t xml:space="preserve"> and D. </w:t>
      </w:r>
      <w:proofErr w:type="spellStart"/>
      <w:r w:rsidRPr="00742AF4">
        <w:rPr>
          <w:rFonts w:ascii="Times New Roman" w:hAnsi="Times New Roman" w:cs="Times New Roman"/>
          <w:color w:val="000000" w:themeColor="text1"/>
          <w:lang w:val="en-US"/>
        </w:rPr>
        <w:t>Paez</w:t>
      </w:r>
      <w:proofErr w:type="spellEnd"/>
      <w:r w:rsidRPr="00742AF4">
        <w:rPr>
          <w:rFonts w:ascii="Times New Roman" w:hAnsi="Times New Roman" w:cs="Times New Roman"/>
          <w:color w:val="000000" w:themeColor="text1"/>
          <w:lang w:val="en-US"/>
        </w:rPr>
        <w:t xml:space="preserve">, ‘The Impact of Gacaca Tribunals in Rwanda: Psychosocial effects of participation in the Truth and Reconciliation Process After a Genocide’, 41 </w:t>
      </w:r>
      <w:r w:rsidRPr="00742AF4">
        <w:rPr>
          <w:rFonts w:ascii="Times New Roman" w:hAnsi="Times New Roman" w:cs="Times New Roman"/>
          <w:i/>
          <w:color w:val="000000" w:themeColor="text1"/>
          <w:lang w:val="en-US"/>
        </w:rPr>
        <w:t>European Journal of Social Psychology</w:t>
      </w:r>
      <w:r w:rsidRPr="00742AF4">
        <w:rPr>
          <w:rFonts w:ascii="Times New Roman" w:hAnsi="Times New Roman" w:cs="Times New Roman"/>
          <w:color w:val="000000" w:themeColor="text1"/>
          <w:lang w:val="en-US"/>
        </w:rPr>
        <w:t xml:space="preserve"> (2011), 695-706, 697.</w:t>
      </w:r>
    </w:p>
  </w:footnote>
  <w:footnote w:id="39">
    <w:p w14:paraId="154FF7D4" w14:textId="77777777"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P. </w:t>
      </w:r>
      <w:proofErr w:type="spellStart"/>
      <w:r w:rsidRPr="00742AF4">
        <w:rPr>
          <w:rFonts w:ascii="Times New Roman" w:hAnsi="Times New Roman" w:cs="Times New Roman"/>
          <w:color w:val="000000" w:themeColor="text1"/>
          <w:lang w:val="en-US"/>
        </w:rPr>
        <w:t>Weisleder</w:t>
      </w:r>
      <w:proofErr w:type="spellEnd"/>
      <w:r w:rsidRPr="00742AF4">
        <w:rPr>
          <w:rFonts w:ascii="Times New Roman" w:hAnsi="Times New Roman" w:cs="Times New Roman"/>
          <w:color w:val="000000" w:themeColor="text1"/>
          <w:lang w:val="en-US"/>
        </w:rPr>
        <w:t xml:space="preserve"> and C. </w:t>
      </w:r>
      <w:proofErr w:type="spellStart"/>
      <w:r w:rsidRPr="00742AF4">
        <w:rPr>
          <w:rFonts w:ascii="Times New Roman" w:hAnsi="Times New Roman" w:cs="Times New Roman"/>
          <w:color w:val="000000" w:themeColor="text1"/>
          <w:lang w:val="en-US"/>
        </w:rPr>
        <w:t>Rublee</w:t>
      </w:r>
      <w:proofErr w:type="spellEnd"/>
      <w:r w:rsidRPr="00742AF4">
        <w:rPr>
          <w:rFonts w:ascii="Times New Roman" w:hAnsi="Times New Roman" w:cs="Times New Roman"/>
          <w:color w:val="000000" w:themeColor="text1"/>
          <w:lang w:val="en-US"/>
        </w:rPr>
        <w:t xml:space="preserve">, ‘The </w:t>
      </w:r>
      <w:proofErr w:type="spellStart"/>
      <w:r w:rsidRPr="00742AF4">
        <w:rPr>
          <w:rFonts w:ascii="Times New Roman" w:hAnsi="Times New Roman" w:cs="Times New Roman"/>
          <w:color w:val="000000" w:themeColor="text1"/>
          <w:lang w:val="en-US"/>
        </w:rPr>
        <w:t>Nueropsychological</w:t>
      </w:r>
      <w:proofErr w:type="spellEnd"/>
      <w:r w:rsidRPr="00742AF4">
        <w:rPr>
          <w:rFonts w:ascii="Times New Roman" w:hAnsi="Times New Roman" w:cs="Times New Roman"/>
          <w:color w:val="000000" w:themeColor="text1"/>
          <w:lang w:val="en-US"/>
        </w:rPr>
        <w:t xml:space="preserve"> Consequences of Armed Conflicts and Torture’, 9 </w:t>
      </w:r>
      <w:r w:rsidRPr="00742AF4">
        <w:rPr>
          <w:rFonts w:ascii="Times New Roman" w:hAnsi="Times New Roman" w:cs="Times New Roman"/>
          <w:i/>
          <w:color w:val="000000" w:themeColor="text1"/>
          <w:lang w:val="en-US"/>
        </w:rPr>
        <w:t xml:space="preserve">Current Neurology and </w:t>
      </w:r>
      <w:proofErr w:type="spellStart"/>
      <w:r w:rsidRPr="00742AF4">
        <w:rPr>
          <w:rFonts w:ascii="Times New Roman" w:hAnsi="Times New Roman" w:cs="Times New Roman"/>
          <w:i/>
          <w:color w:val="000000" w:themeColor="text1"/>
          <w:lang w:val="en-US"/>
        </w:rPr>
        <w:t>Nueroscience</w:t>
      </w:r>
      <w:proofErr w:type="spellEnd"/>
      <w:r w:rsidRPr="00742AF4">
        <w:rPr>
          <w:rFonts w:ascii="Times New Roman" w:hAnsi="Times New Roman" w:cs="Times New Roman"/>
          <w:i/>
          <w:color w:val="000000" w:themeColor="text1"/>
          <w:lang w:val="en-US"/>
        </w:rPr>
        <w:t xml:space="preserve"> Reports</w:t>
      </w:r>
      <w:r w:rsidRPr="00742AF4">
        <w:rPr>
          <w:rFonts w:ascii="Times New Roman" w:hAnsi="Times New Roman" w:cs="Times New Roman"/>
          <w:color w:val="000000" w:themeColor="text1"/>
          <w:lang w:val="en-US"/>
        </w:rPr>
        <w:t xml:space="preserve"> (2018), 1-5, 2.</w:t>
      </w:r>
    </w:p>
  </w:footnote>
  <w:footnote w:id="40">
    <w:p w14:paraId="37E33F2E" w14:textId="4FE78618" w:rsidR="00CA0596" w:rsidRPr="00742AF4" w:rsidRDefault="00CA0596" w:rsidP="009D7898">
      <w:pPr>
        <w:pStyle w:val="NormalWeb"/>
        <w:spacing w:before="0" w:beforeAutospacing="0" w:after="0" w:afterAutospacing="0"/>
        <w:rPr>
          <w:rFonts w:eastAsia="Times New Roman"/>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rPr>
        <w:t xml:space="preserve"> </w:t>
      </w:r>
      <w:proofErr w:type="spellStart"/>
      <w:r w:rsidRPr="00742AF4">
        <w:rPr>
          <w:color w:val="000000" w:themeColor="text1"/>
          <w:sz w:val="20"/>
          <w:szCs w:val="20"/>
        </w:rPr>
        <w:t>Stepakoff</w:t>
      </w:r>
      <w:proofErr w:type="spellEnd"/>
      <w:r w:rsidRPr="00742AF4">
        <w:rPr>
          <w:color w:val="000000" w:themeColor="text1"/>
          <w:sz w:val="20"/>
          <w:szCs w:val="20"/>
        </w:rPr>
        <w:t xml:space="preserve">, </w:t>
      </w:r>
      <w:r w:rsidRPr="00742AF4">
        <w:rPr>
          <w:i/>
          <w:iCs/>
          <w:color w:val="000000" w:themeColor="text1"/>
          <w:sz w:val="20"/>
          <w:szCs w:val="20"/>
        </w:rPr>
        <w:t>supra</w:t>
      </w:r>
      <w:r w:rsidRPr="00742AF4">
        <w:rPr>
          <w:color w:val="000000" w:themeColor="text1"/>
          <w:sz w:val="20"/>
          <w:szCs w:val="20"/>
        </w:rPr>
        <w:t xml:space="preserve"> note 31, 400. </w:t>
      </w:r>
      <w:r w:rsidRPr="00742AF4">
        <w:rPr>
          <w:color w:val="000000" w:themeColor="text1"/>
          <w:sz w:val="20"/>
          <w:szCs w:val="20"/>
          <w:lang w:val="en-US" w:eastAsia="en-US"/>
        </w:rPr>
        <w:t xml:space="preserve">To that effect Olivera </w:t>
      </w:r>
      <w:proofErr w:type="spellStart"/>
      <w:r w:rsidRPr="00742AF4">
        <w:rPr>
          <w:color w:val="000000" w:themeColor="text1"/>
          <w:sz w:val="20"/>
          <w:szCs w:val="20"/>
          <w:lang w:val="en-US" w:eastAsia="en-US"/>
        </w:rPr>
        <w:t>Simic</w:t>
      </w:r>
      <w:proofErr w:type="spellEnd"/>
      <w:r w:rsidRPr="00742AF4">
        <w:rPr>
          <w:color w:val="000000" w:themeColor="text1"/>
          <w:sz w:val="20"/>
          <w:szCs w:val="20"/>
          <w:lang w:val="en-US" w:eastAsia="en-US"/>
        </w:rPr>
        <w:t xml:space="preserve"> ́ and </w:t>
      </w:r>
      <w:proofErr w:type="spellStart"/>
      <w:r w:rsidRPr="00742AF4">
        <w:rPr>
          <w:color w:val="000000" w:themeColor="text1"/>
          <w:sz w:val="20"/>
          <w:szCs w:val="20"/>
          <w:lang w:val="en-US" w:eastAsia="en-US"/>
        </w:rPr>
        <w:t>Dijana</w:t>
      </w:r>
      <w:proofErr w:type="spellEnd"/>
      <w:r w:rsidRPr="00742AF4">
        <w:rPr>
          <w:color w:val="000000" w:themeColor="text1"/>
          <w:sz w:val="20"/>
          <w:szCs w:val="20"/>
          <w:lang w:val="en-US" w:eastAsia="en-US"/>
        </w:rPr>
        <w:t xml:space="preserve"> </w:t>
      </w:r>
      <w:proofErr w:type="spellStart"/>
      <w:r w:rsidRPr="00742AF4">
        <w:rPr>
          <w:color w:val="000000" w:themeColor="text1"/>
          <w:sz w:val="20"/>
          <w:szCs w:val="20"/>
          <w:lang w:val="en-US" w:eastAsia="en-US"/>
        </w:rPr>
        <w:t>Miloševic</w:t>
      </w:r>
      <w:proofErr w:type="spellEnd"/>
      <w:r w:rsidRPr="00742AF4">
        <w:rPr>
          <w:color w:val="000000" w:themeColor="text1"/>
          <w:sz w:val="20"/>
          <w:szCs w:val="20"/>
          <w:lang w:val="en-US" w:eastAsia="en-US"/>
        </w:rPr>
        <w:t xml:space="preserve"> reflect on the role of the theatre in reconciliation: “For victims and survivors, the play offers the direct possibility of healing: seeing and hearing the stories becomes a public acknowledgement of the often unacknowledged and therefore dangerously invisible, crimes.” See O. </w:t>
      </w:r>
      <w:proofErr w:type="spellStart"/>
      <w:r w:rsidRPr="00742AF4">
        <w:rPr>
          <w:color w:val="000000" w:themeColor="text1"/>
          <w:sz w:val="20"/>
          <w:szCs w:val="20"/>
          <w:lang w:val="en-US" w:eastAsia="en-US"/>
        </w:rPr>
        <w:t>Simic</w:t>
      </w:r>
      <w:proofErr w:type="spellEnd"/>
      <w:r w:rsidRPr="00742AF4">
        <w:rPr>
          <w:color w:val="000000" w:themeColor="text1"/>
          <w:sz w:val="20"/>
          <w:szCs w:val="20"/>
          <w:lang w:val="en-US" w:eastAsia="en-US"/>
        </w:rPr>
        <w:t xml:space="preserve"> ́ and D. </w:t>
      </w:r>
      <w:proofErr w:type="spellStart"/>
      <w:r w:rsidRPr="00742AF4">
        <w:rPr>
          <w:color w:val="000000" w:themeColor="text1"/>
          <w:sz w:val="20"/>
          <w:szCs w:val="20"/>
          <w:lang w:val="en-US" w:eastAsia="en-US"/>
        </w:rPr>
        <w:t>Miloševic</w:t>
      </w:r>
      <w:proofErr w:type="spellEnd"/>
      <w:r w:rsidRPr="00742AF4">
        <w:rPr>
          <w:color w:val="000000" w:themeColor="text1"/>
          <w:sz w:val="20"/>
          <w:szCs w:val="20"/>
          <w:lang w:val="en-US" w:eastAsia="en-US"/>
        </w:rPr>
        <w:t xml:space="preserve">, ‘Enacting Justice: The Role of Dah Theatre Company’ in Rush and </w:t>
      </w:r>
      <w:proofErr w:type="spellStart"/>
      <w:r w:rsidRPr="00742AF4">
        <w:rPr>
          <w:color w:val="000000" w:themeColor="text1"/>
          <w:sz w:val="20"/>
          <w:szCs w:val="20"/>
          <w:lang w:val="en-US" w:eastAsia="en-US"/>
        </w:rPr>
        <w:t>Simić</w:t>
      </w:r>
      <w:proofErr w:type="spellEnd"/>
      <w:r w:rsidRPr="00742AF4">
        <w:rPr>
          <w:color w:val="000000" w:themeColor="text1"/>
          <w:sz w:val="20"/>
          <w:szCs w:val="20"/>
          <w:lang w:val="en-US" w:eastAsia="en-US"/>
        </w:rPr>
        <w:t xml:space="preserve"> (eds) </w:t>
      </w:r>
      <w:r w:rsidRPr="00742AF4">
        <w:rPr>
          <w:i/>
          <w:iCs/>
          <w:color w:val="000000" w:themeColor="text1"/>
          <w:sz w:val="20"/>
          <w:szCs w:val="20"/>
          <w:lang w:val="en-US" w:eastAsia="en-US"/>
        </w:rPr>
        <w:t>supra</w:t>
      </w:r>
      <w:r w:rsidRPr="00742AF4">
        <w:rPr>
          <w:color w:val="000000" w:themeColor="text1"/>
          <w:sz w:val="20"/>
          <w:szCs w:val="20"/>
          <w:lang w:val="en-US" w:eastAsia="en-US"/>
        </w:rPr>
        <w:t xml:space="preserve"> note 14, p. 107.</w:t>
      </w:r>
    </w:p>
  </w:footnote>
  <w:footnote w:id="41">
    <w:p w14:paraId="23FBA646" w14:textId="0010225C"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proofErr w:type="spellStart"/>
      <w:r w:rsidRPr="00742AF4">
        <w:rPr>
          <w:rFonts w:ascii="Times New Roman" w:hAnsi="Times New Roman" w:cs="Times New Roman"/>
          <w:color w:val="000000" w:themeColor="text1"/>
          <w:lang w:val="en-US"/>
        </w:rPr>
        <w:t>Brinck</w:t>
      </w:r>
      <w:proofErr w:type="spell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iCs/>
          <w:color w:val="000000" w:themeColor="text1"/>
          <w:lang w:val="en-US"/>
        </w:rPr>
        <w:t xml:space="preserve">supra </w:t>
      </w:r>
      <w:r w:rsidRPr="00742AF4">
        <w:rPr>
          <w:rFonts w:ascii="Times New Roman" w:hAnsi="Times New Roman" w:cs="Times New Roman"/>
          <w:color w:val="000000" w:themeColor="text1"/>
          <w:lang w:val="en-US"/>
        </w:rPr>
        <w:t>note 34, 201.</w:t>
      </w:r>
    </w:p>
  </w:footnote>
  <w:footnote w:id="42">
    <w:p w14:paraId="082687C0" w14:textId="0602DC85"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proofErr w:type="gramStart"/>
      <w:r w:rsidRPr="00742AF4">
        <w:rPr>
          <w:rFonts w:ascii="Times New Roman" w:hAnsi="Times New Roman" w:cs="Times New Roman"/>
          <w:color w:val="000000" w:themeColor="text1"/>
          <w:lang w:val="en-US"/>
        </w:rPr>
        <w:t>Ornstein,</w:t>
      </w:r>
      <w:proofErr w:type="gram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color w:val="000000" w:themeColor="text1"/>
          <w:lang w:val="en-US"/>
        </w:rPr>
        <w:t>supra</w:t>
      </w:r>
      <w:r w:rsidRPr="00742AF4">
        <w:rPr>
          <w:rFonts w:ascii="Times New Roman" w:hAnsi="Times New Roman" w:cs="Times New Roman"/>
          <w:color w:val="000000" w:themeColor="text1"/>
          <w:lang w:val="en-US"/>
        </w:rPr>
        <w:t xml:space="preserve"> note 35.</w:t>
      </w:r>
    </w:p>
  </w:footnote>
  <w:footnote w:id="43">
    <w:p w14:paraId="49328CB1" w14:textId="36D29D88"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proofErr w:type="spellStart"/>
      <w:r w:rsidRPr="00742AF4">
        <w:rPr>
          <w:rFonts w:ascii="Times New Roman" w:hAnsi="Times New Roman" w:cs="Times New Roman"/>
          <w:color w:val="000000" w:themeColor="text1"/>
        </w:rPr>
        <w:t>Stepakoff</w:t>
      </w:r>
      <w:proofErr w:type="spellEnd"/>
      <w:r w:rsidRPr="00742AF4">
        <w:rPr>
          <w:rFonts w:ascii="Times New Roman" w:hAnsi="Times New Roman" w:cs="Times New Roman"/>
          <w:color w:val="000000" w:themeColor="text1"/>
        </w:rPr>
        <w:t xml:space="preserve">, </w:t>
      </w:r>
      <w:r w:rsidRPr="00742AF4">
        <w:rPr>
          <w:rFonts w:ascii="Times New Roman" w:hAnsi="Times New Roman" w:cs="Times New Roman"/>
          <w:i/>
          <w:color w:val="000000" w:themeColor="text1"/>
        </w:rPr>
        <w:t>supra</w:t>
      </w:r>
      <w:r w:rsidRPr="00742AF4">
        <w:rPr>
          <w:rFonts w:ascii="Times New Roman" w:hAnsi="Times New Roman" w:cs="Times New Roman"/>
          <w:color w:val="000000" w:themeColor="text1"/>
        </w:rPr>
        <w:t xml:space="preserve"> note 31.</w:t>
      </w:r>
    </w:p>
  </w:footnote>
  <w:footnote w:id="44">
    <w:p w14:paraId="334C4821" w14:textId="48F228EA"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proofErr w:type="gramStart"/>
      <w:r w:rsidRPr="00742AF4">
        <w:rPr>
          <w:rFonts w:ascii="Times New Roman" w:hAnsi="Times New Roman" w:cs="Times New Roman"/>
          <w:color w:val="000000" w:themeColor="text1"/>
          <w:lang w:val="en-US"/>
        </w:rPr>
        <w:t>Ornstein,</w:t>
      </w:r>
      <w:proofErr w:type="gram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color w:val="000000" w:themeColor="text1"/>
          <w:lang w:val="en-US"/>
        </w:rPr>
        <w:t>supra</w:t>
      </w:r>
      <w:r w:rsidRPr="00742AF4">
        <w:rPr>
          <w:rFonts w:ascii="Times New Roman" w:hAnsi="Times New Roman" w:cs="Times New Roman"/>
          <w:color w:val="000000" w:themeColor="text1"/>
          <w:lang w:val="en-US"/>
        </w:rPr>
        <w:t xml:space="preserve"> note 35. See also Ramirez-Barat in Ramirez-Barat (ed), </w:t>
      </w:r>
      <w:r w:rsidRPr="00742AF4">
        <w:rPr>
          <w:rFonts w:ascii="Times New Roman" w:hAnsi="Times New Roman" w:cs="Times New Roman"/>
          <w:i/>
          <w:iCs/>
          <w:color w:val="000000" w:themeColor="text1"/>
          <w:lang w:val="en-US"/>
        </w:rPr>
        <w:t xml:space="preserve">supra </w:t>
      </w:r>
      <w:r w:rsidRPr="00742AF4">
        <w:rPr>
          <w:rFonts w:ascii="Times New Roman" w:hAnsi="Times New Roman" w:cs="Times New Roman"/>
          <w:color w:val="000000" w:themeColor="text1"/>
          <w:lang w:val="en-US"/>
        </w:rPr>
        <w:t>note 14, p. 39.</w:t>
      </w:r>
    </w:p>
  </w:footnote>
  <w:footnote w:id="45">
    <w:p w14:paraId="1077EE10" w14:textId="64756F63"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proofErr w:type="spellStart"/>
      <w:r w:rsidRPr="00742AF4">
        <w:rPr>
          <w:rFonts w:ascii="Times New Roman" w:hAnsi="Times New Roman" w:cs="Times New Roman"/>
          <w:color w:val="000000" w:themeColor="text1"/>
          <w:lang w:val="en-US"/>
        </w:rPr>
        <w:t>Rosoux</w:t>
      </w:r>
      <w:proofErr w:type="spell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color w:val="000000" w:themeColor="text1"/>
          <w:lang w:val="en-US"/>
        </w:rPr>
        <w:t xml:space="preserve">supra </w:t>
      </w:r>
      <w:r w:rsidRPr="00742AF4">
        <w:rPr>
          <w:rFonts w:ascii="Times New Roman" w:hAnsi="Times New Roman" w:cs="Times New Roman"/>
          <w:iCs/>
          <w:color w:val="000000" w:themeColor="text1"/>
          <w:lang w:val="en-US"/>
        </w:rPr>
        <w:t>note 9,</w:t>
      </w:r>
      <w:r w:rsidRPr="00742AF4">
        <w:rPr>
          <w:rFonts w:ascii="Times New Roman" w:hAnsi="Times New Roman" w:cs="Times New Roman"/>
          <w:color w:val="000000" w:themeColor="text1"/>
          <w:lang w:val="en-US"/>
        </w:rPr>
        <w:t xml:space="preserve"> p. 25.</w:t>
      </w:r>
    </w:p>
  </w:footnote>
  <w:footnote w:id="46">
    <w:p w14:paraId="4C08AE7C" w14:textId="77777777" w:rsidR="00CA0596" w:rsidRPr="00742AF4" w:rsidRDefault="00CA0596" w:rsidP="0037488A">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proofErr w:type="spellStart"/>
      <w:r w:rsidRPr="00742AF4">
        <w:rPr>
          <w:rFonts w:ascii="Times New Roman" w:hAnsi="Times New Roman" w:cs="Times New Roman"/>
          <w:color w:val="000000" w:themeColor="text1"/>
          <w:lang w:val="en-US"/>
        </w:rPr>
        <w:t>D.Taylor</w:t>
      </w:r>
      <w:proofErr w:type="spellEnd"/>
      <w:r w:rsidRPr="00742AF4">
        <w:rPr>
          <w:rFonts w:ascii="Times New Roman" w:hAnsi="Times New Roman" w:cs="Times New Roman"/>
          <w:color w:val="000000" w:themeColor="text1"/>
          <w:lang w:val="en-US"/>
        </w:rPr>
        <w:t xml:space="preserve">, The Archive and the Repertoire: Performing Cultural Memory in the Americas (Dur- ham, NC: Duke University Press, 2003), p. 2 as cited in N. Siddiqui and H. J. Joffre-Eichhorn, ‘From Tears to Energy: Early Uses of Participatory Theater in Afghanistan’ in Ramírez-Barat (ed) </w:t>
      </w:r>
      <w:r w:rsidRPr="00742AF4">
        <w:rPr>
          <w:rFonts w:ascii="Times New Roman" w:hAnsi="Times New Roman" w:cs="Times New Roman"/>
          <w:i/>
          <w:iCs/>
          <w:color w:val="000000" w:themeColor="text1"/>
          <w:lang w:val="en-US"/>
        </w:rPr>
        <w:t>supra</w:t>
      </w:r>
      <w:r w:rsidRPr="00742AF4">
        <w:rPr>
          <w:rFonts w:ascii="Times New Roman" w:hAnsi="Times New Roman" w:cs="Times New Roman"/>
          <w:color w:val="000000" w:themeColor="text1"/>
          <w:lang w:val="en-US"/>
        </w:rPr>
        <w:t xml:space="preserve"> note 14,</w:t>
      </w:r>
      <w:r w:rsidRPr="00742AF4">
        <w:rPr>
          <w:rFonts w:ascii="Times New Roman" w:hAnsi="Times New Roman" w:cs="Times New Roman"/>
          <w:color w:val="000000" w:themeColor="text1"/>
        </w:rPr>
        <w:t xml:space="preserve"> p. 370. See also N/ Siddiqui, H. </w:t>
      </w:r>
      <w:proofErr w:type="spellStart"/>
      <w:r w:rsidRPr="00742AF4">
        <w:rPr>
          <w:rFonts w:ascii="Times New Roman" w:hAnsi="Times New Roman" w:cs="Times New Roman"/>
          <w:color w:val="000000" w:themeColor="text1"/>
        </w:rPr>
        <w:t>Marifat</w:t>
      </w:r>
      <w:proofErr w:type="spellEnd"/>
      <w:r w:rsidRPr="00742AF4">
        <w:rPr>
          <w:rFonts w:ascii="Times New Roman" w:hAnsi="Times New Roman" w:cs="Times New Roman"/>
          <w:color w:val="000000" w:themeColor="text1"/>
        </w:rPr>
        <w:t xml:space="preserve"> and S. </w:t>
      </w:r>
      <w:proofErr w:type="spellStart"/>
      <w:r w:rsidRPr="00742AF4">
        <w:rPr>
          <w:rFonts w:ascii="Times New Roman" w:hAnsi="Times New Roman" w:cs="Times New Roman"/>
          <w:color w:val="000000" w:themeColor="text1"/>
        </w:rPr>
        <w:t>Kouvo</w:t>
      </w:r>
      <w:proofErr w:type="spellEnd"/>
      <w:r w:rsidRPr="00742AF4">
        <w:rPr>
          <w:rFonts w:ascii="Times New Roman" w:hAnsi="Times New Roman" w:cs="Times New Roman"/>
          <w:color w:val="000000" w:themeColor="text1"/>
        </w:rPr>
        <w:t xml:space="preserve">, 'Culture, Theatre and Justice: Examples from Afghanistan' in </w:t>
      </w:r>
      <w:r w:rsidRPr="00742AF4">
        <w:rPr>
          <w:rFonts w:ascii="Times New Roman" w:hAnsi="Times New Roman" w:cs="Times New Roman"/>
          <w:color w:val="000000" w:themeColor="text1"/>
          <w:lang w:val="en-US"/>
        </w:rPr>
        <w:t xml:space="preserve">Rush and </w:t>
      </w:r>
      <w:proofErr w:type="spellStart"/>
      <w:r w:rsidRPr="00742AF4">
        <w:rPr>
          <w:rFonts w:ascii="Times New Roman" w:hAnsi="Times New Roman" w:cs="Times New Roman"/>
          <w:color w:val="000000" w:themeColor="text1"/>
          <w:lang w:val="en-US"/>
        </w:rPr>
        <w:t>Simić</w:t>
      </w:r>
      <w:proofErr w:type="spellEnd"/>
      <w:r w:rsidRPr="00742AF4">
        <w:rPr>
          <w:rFonts w:ascii="Times New Roman" w:hAnsi="Times New Roman" w:cs="Times New Roman"/>
          <w:color w:val="000000" w:themeColor="text1"/>
          <w:lang w:val="en-US"/>
        </w:rPr>
        <w:t xml:space="preserve"> (eds), </w:t>
      </w:r>
      <w:r w:rsidRPr="00742AF4">
        <w:rPr>
          <w:rFonts w:ascii="Times New Roman" w:hAnsi="Times New Roman" w:cs="Times New Roman"/>
          <w:i/>
          <w:iCs/>
          <w:color w:val="000000" w:themeColor="text1"/>
          <w:lang w:val="en-US"/>
        </w:rPr>
        <w:t>supra</w:t>
      </w:r>
      <w:r w:rsidRPr="00742AF4">
        <w:rPr>
          <w:rFonts w:ascii="Times New Roman" w:hAnsi="Times New Roman" w:cs="Times New Roman"/>
          <w:color w:val="000000" w:themeColor="text1"/>
          <w:lang w:val="en-US"/>
        </w:rPr>
        <w:t xml:space="preserve"> note 14, pp. 113 et sq.</w:t>
      </w:r>
    </w:p>
  </w:footnote>
  <w:footnote w:id="47">
    <w:p w14:paraId="7BB8B6EF" w14:textId="061EA6BB"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See P. McAuliffe, ‘Ariel Dorfman’s Death and the Maiden as a Mirror Reflecting the Dilemmas of Transitional Justice Policy’ </w:t>
      </w:r>
      <w:r w:rsidRPr="00742AF4">
        <w:rPr>
          <w:rFonts w:ascii="Times New Roman" w:hAnsi="Times New Roman" w:cs="Times New Roman"/>
          <w:color w:val="000000" w:themeColor="text1"/>
          <w:lang w:val="en-US"/>
        </w:rPr>
        <w:t xml:space="preserve">in Rush and </w:t>
      </w:r>
      <w:proofErr w:type="spellStart"/>
      <w:r w:rsidRPr="00742AF4">
        <w:rPr>
          <w:rFonts w:ascii="Times New Roman" w:hAnsi="Times New Roman" w:cs="Times New Roman"/>
          <w:color w:val="000000" w:themeColor="text1"/>
          <w:lang w:val="en-US"/>
        </w:rPr>
        <w:t>Simić</w:t>
      </w:r>
      <w:proofErr w:type="spellEnd"/>
      <w:r w:rsidRPr="00742AF4">
        <w:rPr>
          <w:rFonts w:ascii="Times New Roman" w:hAnsi="Times New Roman" w:cs="Times New Roman"/>
          <w:color w:val="000000" w:themeColor="text1"/>
          <w:lang w:val="en-US"/>
        </w:rPr>
        <w:t xml:space="preserve"> (eds), </w:t>
      </w:r>
      <w:r w:rsidRPr="00742AF4">
        <w:rPr>
          <w:rFonts w:ascii="Times New Roman" w:hAnsi="Times New Roman" w:cs="Times New Roman"/>
          <w:i/>
          <w:iCs/>
          <w:color w:val="000000" w:themeColor="text1"/>
          <w:lang w:val="en-US"/>
        </w:rPr>
        <w:t>supra</w:t>
      </w:r>
      <w:r w:rsidRPr="00742AF4">
        <w:rPr>
          <w:rFonts w:ascii="Times New Roman" w:hAnsi="Times New Roman" w:cs="Times New Roman"/>
          <w:color w:val="000000" w:themeColor="text1"/>
          <w:lang w:val="en-US"/>
        </w:rPr>
        <w:t xml:space="preserve"> note 14, pp. 81 et sq.</w:t>
      </w:r>
    </w:p>
  </w:footnote>
  <w:footnote w:id="48">
    <w:p w14:paraId="27A36A0F" w14:textId="17BC5CBF"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S. Koch, ‘Arts and Health: Active Factors and a Theory Framework of Embodied Aesthetics’, 54 </w:t>
      </w:r>
      <w:r w:rsidRPr="00742AF4">
        <w:rPr>
          <w:rFonts w:ascii="Times New Roman" w:hAnsi="Times New Roman" w:cs="Times New Roman"/>
          <w:i/>
          <w:color w:val="000000" w:themeColor="text1"/>
          <w:lang w:val="en-US"/>
        </w:rPr>
        <w:t>Arts in Psychotherapy</w:t>
      </w:r>
      <w:r w:rsidRPr="00742AF4">
        <w:rPr>
          <w:rFonts w:ascii="Times New Roman" w:hAnsi="Times New Roman" w:cs="Times New Roman"/>
          <w:color w:val="000000" w:themeColor="text1"/>
          <w:lang w:val="en-US"/>
        </w:rPr>
        <w:t xml:space="preserve"> (2017), 85-91, p. 88.</w:t>
      </w:r>
    </w:p>
  </w:footnote>
  <w:footnote w:id="49">
    <w:p w14:paraId="76D52C01" w14:textId="5979B66B"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N. Siddiqui and H. J. Joffre-Eichhorn, ‘From Tears to Energy: Early Uses of Participatory Theater in Afghanistan’ in Ramírez-Barat (ed) </w:t>
      </w:r>
      <w:r w:rsidRPr="00742AF4">
        <w:rPr>
          <w:rFonts w:ascii="Times New Roman" w:hAnsi="Times New Roman" w:cs="Times New Roman"/>
          <w:i/>
          <w:iCs/>
          <w:color w:val="000000" w:themeColor="text1"/>
          <w:lang w:val="en-US"/>
        </w:rPr>
        <w:t xml:space="preserve">supra </w:t>
      </w:r>
      <w:r w:rsidRPr="00742AF4">
        <w:rPr>
          <w:rFonts w:ascii="Times New Roman" w:hAnsi="Times New Roman" w:cs="Times New Roman"/>
          <w:color w:val="000000" w:themeColor="text1"/>
          <w:lang w:val="en-US"/>
        </w:rPr>
        <w:t>note 14, p. 374.</w:t>
      </w:r>
    </w:p>
  </w:footnote>
  <w:footnote w:id="50">
    <w:p w14:paraId="63F487A5" w14:textId="77777777"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Ibid.</w:t>
      </w:r>
    </w:p>
  </w:footnote>
  <w:footnote w:id="51">
    <w:p w14:paraId="5D4B5532" w14:textId="083F1D1C"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proofErr w:type="spellStart"/>
      <w:r w:rsidRPr="00742AF4">
        <w:rPr>
          <w:rFonts w:ascii="Times New Roman" w:hAnsi="Times New Roman" w:cs="Times New Roman"/>
          <w:color w:val="000000" w:themeColor="text1"/>
        </w:rPr>
        <w:t>Stepakoff</w:t>
      </w:r>
      <w:proofErr w:type="spellEnd"/>
      <w:r w:rsidRPr="00742AF4">
        <w:rPr>
          <w:rFonts w:ascii="Times New Roman" w:hAnsi="Times New Roman" w:cs="Times New Roman"/>
          <w:color w:val="000000" w:themeColor="text1"/>
        </w:rPr>
        <w:t xml:space="preserve">, </w:t>
      </w:r>
      <w:r w:rsidRPr="00742AF4">
        <w:rPr>
          <w:rFonts w:ascii="Times New Roman" w:hAnsi="Times New Roman" w:cs="Times New Roman"/>
          <w:i/>
          <w:color w:val="000000" w:themeColor="text1"/>
        </w:rPr>
        <w:t>supra</w:t>
      </w:r>
      <w:r w:rsidRPr="00742AF4">
        <w:rPr>
          <w:rFonts w:ascii="Times New Roman" w:hAnsi="Times New Roman" w:cs="Times New Roman"/>
          <w:color w:val="000000" w:themeColor="text1"/>
        </w:rPr>
        <w:t xml:space="preserve"> note 31, 402.</w:t>
      </w:r>
    </w:p>
  </w:footnote>
  <w:footnote w:id="52">
    <w:p w14:paraId="2E10437F" w14:textId="088557DB"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proofErr w:type="gramStart"/>
      <w:r w:rsidRPr="00742AF4">
        <w:rPr>
          <w:rFonts w:ascii="Times New Roman" w:hAnsi="Times New Roman" w:cs="Times New Roman"/>
          <w:color w:val="000000" w:themeColor="text1"/>
          <w:lang w:val="en-US"/>
        </w:rPr>
        <w:t>Koch,</w:t>
      </w:r>
      <w:proofErr w:type="gram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iCs/>
          <w:color w:val="000000" w:themeColor="text1"/>
          <w:lang w:val="en-US"/>
        </w:rPr>
        <w:t xml:space="preserve">supra </w:t>
      </w:r>
      <w:r w:rsidRPr="00742AF4">
        <w:rPr>
          <w:rFonts w:ascii="Times New Roman" w:hAnsi="Times New Roman" w:cs="Times New Roman"/>
          <w:color w:val="000000" w:themeColor="text1"/>
          <w:lang w:val="en-US"/>
        </w:rPr>
        <w:t>note 47.</w:t>
      </w:r>
    </w:p>
  </w:footnote>
  <w:footnote w:id="53">
    <w:p w14:paraId="193EFCCC" w14:textId="1074EB4B"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Bell, </w:t>
      </w:r>
      <w:r w:rsidRPr="00742AF4">
        <w:rPr>
          <w:rFonts w:ascii="Times New Roman" w:hAnsi="Times New Roman" w:cs="Times New Roman"/>
          <w:i/>
          <w:iCs/>
          <w:color w:val="000000" w:themeColor="text1"/>
          <w:lang w:val="en-US"/>
        </w:rPr>
        <w:t>supra</w:t>
      </w:r>
      <w:r w:rsidRPr="00742AF4">
        <w:rPr>
          <w:rFonts w:ascii="Times New Roman" w:hAnsi="Times New Roman" w:cs="Times New Roman"/>
          <w:color w:val="000000" w:themeColor="text1"/>
          <w:lang w:val="en-US"/>
        </w:rPr>
        <w:t xml:space="preserve"> note 12, p. 38.</w:t>
      </w:r>
    </w:p>
  </w:footnote>
  <w:footnote w:id="54">
    <w:p w14:paraId="49FE6D4A" w14:textId="0ABB2495"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Brinck, </w:t>
      </w:r>
      <w:r w:rsidRPr="00742AF4">
        <w:rPr>
          <w:rFonts w:ascii="Times New Roman" w:hAnsi="Times New Roman" w:cs="Times New Roman"/>
          <w:i/>
          <w:color w:val="000000" w:themeColor="text1"/>
          <w:lang w:val="en-US"/>
        </w:rPr>
        <w:t>supra</w:t>
      </w:r>
      <w:r w:rsidRPr="00742AF4">
        <w:rPr>
          <w:rFonts w:ascii="Times New Roman" w:hAnsi="Times New Roman" w:cs="Times New Roman"/>
          <w:color w:val="000000" w:themeColor="text1"/>
          <w:lang w:val="en-US"/>
        </w:rPr>
        <w:t xml:space="preserve"> note 34, 202.</w:t>
      </w:r>
    </w:p>
  </w:footnote>
  <w:footnote w:id="55">
    <w:p w14:paraId="34463FA4" w14:textId="21BF4F07"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Ibid.</w:t>
      </w:r>
    </w:p>
  </w:footnote>
  <w:footnote w:id="56">
    <w:p w14:paraId="0710F5B0" w14:textId="1C3F63BD"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Ibid.</w:t>
      </w:r>
    </w:p>
  </w:footnote>
  <w:footnote w:id="57">
    <w:p w14:paraId="486CEF40" w14:textId="70735BDC"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Adorno, </w:t>
      </w:r>
      <w:r w:rsidRPr="00742AF4">
        <w:rPr>
          <w:rFonts w:ascii="Times New Roman" w:hAnsi="Times New Roman" w:cs="Times New Roman"/>
          <w:i/>
          <w:color w:val="000000" w:themeColor="text1"/>
          <w:lang w:val="en-US"/>
        </w:rPr>
        <w:t>supra</w:t>
      </w:r>
      <w:r w:rsidRPr="00742AF4">
        <w:rPr>
          <w:rFonts w:ascii="Times New Roman" w:hAnsi="Times New Roman" w:cs="Times New Roman"/>
          <w:color w:val="000000" w:themeColor="text1"/>
          <w:lang w:val="en-US"/>
        </w:rPr>
        <w:t xml:space="preserve"> note 28, p. 8. </w:t>
      </w:r>
    </w:p>
  </w:footnote>
  <w:footnote w:id="58">
    <w:p w14:paraId="153603AC" w14:textId="7D884A17"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See also Ramirez-Barat in Ramirez-Barat (ed), </w:t>
      </w:r>
      <w:r w:rsidRPr="00742AF4">
        <w:rPr>
          <w:rFonts w:ascii="Times New Roman" w:hAnsi="Times New Roman" w:cs="Times New Roman"/>
          <w:i/>
          <w:iCs/>
          <w:color w:val="000000" w:themeColor="text1"/>
          <w:lang w:val="en-US"/>
        </w:rPr>
        <w:t xml:space="preserve">supra </w:t>
      </w:r>
      <w:r w:rsidRPr="00742AF4">
        <w:rPr>
          <w:rFonts w:ascii="Times New Roman" w:hAnsi="Times New Roman" w:cs="Times New Roman"/>
          <w:color w:val="000000" w:themeColor="text1"/>
          <w:lang w:val="en-US"/>
        </w:rPr>
        <w:t>note 14, p. 30.</w:t>
      </w:r>
    </w:p>
  </w:footnote>
  <w:footnote w:id="59">
    <w:p w14:paraId="3AE9B3CE" w14:textId="77777777" w:rsidR="00CA0596" w:rsidRPr="00742AF4" w:rsidRDefault="00CA0596">
      <w:pPr>
        <w:pStyle w:val="FootnoteText"/>
        <w:rPr>
          <w:rFonts w:ascii="Times New Roman" w:hAnsi="Times New Roman" w:cs="Times New Roman"/>
          <w:color w:val="000000" w:themeColor="text1"/>
          <w:lang w:val="es-E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s-ES"/>
        </w:rPr>
        <w:t xml:space="preserve"> </w:t>
      </w:r>
      <w:proofErr w:type="spellStart"/>
      <w:r w:rsidRPr="00742AF4">
        <w:rPr>
          <w:rFonts w:ascii="Times New Roman" w:hAnsi="Times New Roman" w:cs="Times New Roman"/>
          <w:color w:val="000000" w:themeColor="text1"/>
          <w:lang w:val="es-ES"/>
        </w:rPr>
        <w:t>Ibid</w:t>
      </w:r>
      <w:proofErr w:type="spellEnd"/>
      <w:r w:rsidRPr="00742AF4">
        <w:rPr>
          <w:rFonts w:ascii="Times New Roman" w:hAnsi="Times New Roman" w:cs="Times New Roman"/>
          <w:color w:val="000000" w:themeColor="text1"/>
          <w:lang w:val="es-ES"/>
        </w:rPr>
        <w:t xml:space="preserve">. </w:t>
      </w:r>
    </w:p>
  </w:footnote>
  <w:footnote w:id="60">
    <w:p w14:paraId="32A3BB1B" w14:textId="77777777" w:rsidR="00CA0596" w:rsidRPr="00742AF4" w:rsidRDefault="00CA0596">
      <w:pPr>
        <w:pStyle w:val="FootnoteText"/>
        <w:rPr>
          <w:rFonts w:ascii="Times New Roman" w:hAnsi="Times New Roman" w:cs="Times New Roman"/>
          <w:color w:val="000000" w:themeColor="text1"/>
          <w:lang w:val="es-E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s-ES"/>
        </w:rPr>
        <w:t xml:space="preserve"> </w:t>
      </w:r>
      <w:proofErr w:type="spellStart"/>
      <w:r w:rsidRPr="00742AF4">
        <w:rPr>
          <w:rFonts w:ascii="Times New Roman" w:hAnsi="Times New Roman" w:cs="Times New Roman"/>
          <w:color w:val="000000" w:themeColor="text1"/>
          <w:lang w:val="es-ES"/>
        </w:rPr>
        <w:t>Ibid</w:t>
      </w:r>
      <w:proofErr w:type="spellEnd"/>
      <w:r w:rsidRPr="00742AF4">
        <w:rPr>
          <w:rFonts w:ascii="Times New Roman" w:hAnsi="Times New Roman" w:cs="Times New Roman"/>
          <w:color w:val="000000" w:themeColor="text1"/>
          <w:lang w:val="es-ES"/>
        </w:rPr>
        <w:t>, pp. 225-226.</w:t>
      </w:r>
    </w:p>
  </w:footnote>
  <w:footnote w:id="61">
    <w:p w14:paraId="65D100FB" w14:textId="1788A866" w:rsidR="00CA0596" w:rsidRPr="00742AF4" w:rsidRDefault="00CA0596">
      <w:pPr>
        <w:pStyle w:val="FootnoteText"/>
        <w:rPr>
          <w:rFonts w:ascii="Times New Roman" w:hAnsi="Times New Roman" w:cs="Times New Roman"/>
          <w:color w:val="000000" w:themeColor="text1"/>
          <w:lang w:val="es-E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s-ES"/>
        </w:rPr>
        <w:t xml:space="preserve"> </w:t>
      </w:r>
      <w:proofErr w:type="spellStart"/>
      <w:r w:rsidRPr="00742AF4">
        <w:rPr>
          <w:rFonts w:ascii="Times New Roman" w:hAnsi="Times New Roman" w:cs="Times New Roman"/>
          <w:color w:val="000000" w:themeColor="text1"/>
          <w:lang w:val="es-ES"/>
        </w:rPr>
        <w:t>Mani</w:t>
      </w:r>
      <w:proofErr w:type="spellEnd"/>
      <w:r w:rsidRPr="00742AF4">
        <w:rPr>
          <w:rFonts w:ascii="Times New Roman" w:hAnsi="Times New Roman" w:cs="Times New Roman"/>
          <w:color w:val="000000" w:themeColor="text1"/>
          <w:lang w:val="es-ES"/>
        </w:rPr>
        <w:t xml:space="preserve">, </w:t>
      </w:r>
      <w:r w:rsidRPr="00742AF4">
        <w:rPr>
          <w:rFonts w:ascii="Times New Roman" w:hAnsi="Times New Roman" w:cs="Times New Roman"/>
          <w:i/>
          <w:iCs/>
          <w:color w:val="000000" w:themeColor="text1"/>
          <w:lang w:val="es-ES"/>
        </w:rPr>
        <w:t xml:space="preserve">supra </w:t>
      </w:r>
      <w:r w:rsidRPr="00742AF4">
        <w:rPr>
          <w:rFonts w:ascii="Times New Roman" w:hAnsi="Times New Roman" w:cs="Times New Roman"/>
          <w:color w:val="000000" w:themeColor="text1"/>
          <w:lang w:val="es-ES"/>
        </w:rPr>
        <w:t>note 14, 546.</w:t>
      </w:r>
    </w:p>
  </w:footnote>
  <w:footnote w:id="62">
    <w:p w14:paraId="5973F397" w14:textId="48771250"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w:t>
      </w:r>
      <w:proofErr w:type="gramStart"/>
      <w:r w:rsidRPr="00742AF4">
        <w:rPr>
          <w:rFonts w:ascii="Times New Roman" w:hAnsi="Times New Roman" w:cs="Times New Roman"/>
          <w:color w:val="000000" w:themeColor="text1"/>
          <w:lang w:val="en-US"/>
        </w:rPr>
        <w:t>Koch,</w:t>
      </w:r>
      <w:proofErr w:type="gram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color w:val="000000" w:themeColor="text1"/>
          <w:lang w:val="en-US"/>
        </w:rPr>
        <w:t>supra</w:t>
      </w:r>
      <w:r w:rsidRPr="00742AF4">
        <w:rPr>
          <w:rFonts w:ascii="Times New Roman" w:hAnsi="Times New Roman" w:cs="Times New Roman"/>
          <w:color w:val="000000" w:themeColor="text1"/>
          <w:lang w:val="en-US"/>
        </w:rPr>
        <w:t xml:space="preserve"> note 47.</w:t>
      </w:r>
    </w:p>
  </w:footnote>
  <w:footnote w:id="63">
    <w:p w14:paraId="5054BD20" w14:textId="1B066B05"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For more information view https://www.khanacademy.org/humanities/ap-art-history/global-contemporary/v/mayalin-vietnamvetmem, last accessed 22 July 2019.</w:t>
      </w:r>
    </w:p>
  </w:footnote>
  <w:footnote w:id="64">
    <w:p w14:paraId="5DE84339" w14:textId="147C9D8A"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A. Atkinson-Phillips, ‘On Being Moved: Art, Affect and Activation in Public Commemorations of Trauma’, 2 </w:t>
      </w:r>
      <w:r w:rsidRPr="00742AF4">
        <w:rPr>
          <w:rFonts w:ascii="Times New Roman" w:hAnsi="Times New Roman" w:cs="Times New Roman"/>
          <w:i/>
          <w:color w:val="000000" w:themeColor="text1"/>
          <w:lang w:val="en-US"/>
        </w:rPr>
        <w:t xml:space="preserve">Journal of Media and Cultural Studies </w:t>
      </w:r>
      <w:r w:rsidRPr="00742AF4">
        <w:rPr>
          <w:rFonts w:ascii="Times New Roman" w:hAnsi="Times New Roman" w:cs="Times New Roman"/>
          <w:color w:val="000000" w:themeColor="text1"/>
          <w:lang w:val="en-US"/>
        </w:rPr>
        <w:t>(2018), 381-392.</w:t>
      </w:r>
    </w:p>
  </w:footnote>
  <w:footnote w:id="65">
    <w:p w14:paraId="4E4DC968" w14:textId="60CD19BB"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M. Bal, </w:t>
      </w:r>
      <w:r w:rsidRPr="00742AF4">
        <w:rPr>
          <w:rFonts w:ascii="Times New Roman" w:hAnsi="Times New Roman" w:cs="Times New Roman"/>
          <w:i/>
          <w:color w:val="000000" w:themeColor="text1"/>
          <w:lang w:val="en-US"/>
        </w:rPr>
        <w:t xml:space="preserve">Reader </w:t>
      </w:r>
      <w:r w:rsidRPr="00742AF4">
        <w:rPr>
          <w:rFonts w:ascii="Times New Roman" w:hAnsi="Times New Roman" w:cs="Times New Roman"/>
          <w:color w:val="000000" w:themeColor="text1"/>
          <w:lang w:val="en-US"/>
        </w:rPr>
        <w:t xml:space="preserve">(University of Chicago Press, 2006), pp. 252. </w:t>
      </w:r>
    </w:p>
  </w:footnote>
  <w:footnote w:id="66">
    <w:p w14:paraId="19348961" w14:textId="77777777"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Ibid, p. 253. </w:t>
      </w:r>
    </w:p>
  </w:footnote>
  <w:footnote w:id="67">
    <w:p w14:paraId="0F87059D" w14:textId="525A7634"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Ibid. Pablo de </w:t>
      </w:r>
      <w:proofErr w:type="spellStart"/>
      <w:r w:rsidRPr="00742AF4">
        <w:rPr>
          <w:rFonts w:ascii="Times New Roman" w:hAnsi="Times New Roman" w:cs="Times New Roman"/>
          <w:color w:val="000000" w:themeColor="text1"/>
          <w:lang w:val="en-US"/>
        </w:rPr>
        <w:t>Greiff</w:t>
      </w:r>
      <w:proofErr w:type="spellEnd"/>
      <w:r w:rsidRPr="00742AF4">
        <w:rPr>
          <w:rFonts w:ascii="Times New Roman" w:hAnsi="Times New Roman" w:cs="Times New Roman"/>
          <w:color w:val="000000" w:themeColor="text1"/>
          <w:lang w:val="en-US"/>
        </w:rPr>
        <w:t xml:space="preserve"> argues that interpreting art allows for a possibility to enlarge someone’s perspective and generate the sensibility that paves the way for changes. See de </w:t>
      </w:r>
      <w:proofErr w:type="spellStart"/>
      <w:r w:rsidRPr="00742AF4">
        <w:rPr>
          <w:rFonts w:ascii="Times New Roman" w:hAnsi="Times New Roman" w:cs="Times New Roman"/>
          <w:color w:val="000000" w:themeColor="text1"/>
          <w:lang w:val="en-US"/>
        </w:rPr>
        <w:t>Greiff</w:t>
      </w:r>
      <w:proofErr w:type="spell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iCs/>
          <w:color w:val="000000" w:themeColor="text1"/>
          <w:lang w:val="en-US"/>
        </w:rPr>
        <w:t xml:space="preserve">supra </w:t>
      </w:r>
      <w:r w:rsidRPr="00742AF4">
        <w:rPr>
          <w:rFonts w:ascii="Times New Roman" w:hAnsi="Times New Roman" w:cs="Times New Roman"/>
          <w:color w:val="000000" w:themeColor="text1"/>
          <w:lang w:val="en-US"/>
        </w:rPr>
        <w:t>note 21, p. 17.</w:t>
      </w:r>
    </w:p>
  </w:footnote>
  <w:footnote w:id="68">
    <w:p w14:paraId="49EF146D" w14:textId="60445E21"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Bal, </w:t>
      </w:r>
      <w:r w:rsidRPr="00742AF4">
        <w:rPr>
          <w:rFonts w:ascii="Times New Roman" w:hAnsi="Times New Roman" w:cs="Times New Roman"/>
          <w:i/>
          <w:iCs/>
          <w:color w:val="000000" w:themeColor="text1"/>
          <w:lang w:val="en-US"/>
        </w:rPr>
        <w:t xml:space="preserve">supra </w:t>
      </w:r>
      <w:r w:rsidRPr="00742AF4">
        <w:rPr>
          <w:rFonts w:ascii="Times New Roman" w:hAnsi="Times New Roman" w:cs="Times New Roman"/>
          <w:color w:val="000000" w:themeColor="text1"/>
          <w:lang w:val="en-US"/>
        </w:rPr>
        <w:t>note 65, p. 237.</w:t>
      </w:r>
    </w:p>
  </w:footnote>
  <w:footnote w:id="69">
    <w:p w14:paraId="1DB474F7" w14:textId="39DC047C"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Atkinson-Phillips, </w:t>
      </w:r>
      <w:r w:rsidRPr="00742AF4">
        <w:rPr>
          <w:rFonts w:ascii="Times New Roman" w:hAnsi="Times New Roman" w:cs="Times New Roman"/>
          <w:i/>
          <w:color w:val="000000" w:themeColor="text1"/>
          <w:lang w:val="en-US"/>
        </w:rPr>
        <w:t>supra</w:t>
      </w:r>
      <w:r w:rsidRPr="00742AF4">
        <w:rPr>
          <w:rFonts w:ascii="Times New Roman" w:hAnsi="Times New Roman" w:cs="Times New Roman"/>
          <w:color w:val="000000" w:themeColor="text1"/>
          <w:lang w:val="en-US"/>
        </w:rPr>
        <w:t xml:space="preserve"> note 64, 384.</w:t>
      </w:r>
    </w:p>
  </w:footnote>
  <w:footnote w:id="70">
    <w:p w14:paraId="2EF7F3C9" w14:textId="77777777" w:rsidR="00CA0596" w:rsidRPr="00742AF4" w:rsidRDefault="00CA0596">
      <w:pPr>
        <w:pStyle w:val="Comment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S. </w:t>
      </w:r>
      <w:proofErr w:type="spellStart"/>
      <w:r w:rsidRPr="00742AF4">
        <w:rPr>
          <w:rFonts w:ascii="Times New Roman" w:hAnsi="Times New Roman" w:cs="Times New Roman"/>
          <w:color w:val="000000" w:themeColor="text1"/>
          <w:lang w:val="en-US"/>
        </w:rPr>
        <w:t>Cehajic</w:t>
      </w:r>
      <w:proofErr w:type="spellEnd"/>
      <w:r w:rsidRPr="00742AF4">
        <w:rPr>
          <w:rFonts w:ascii="Times New Roman" w:hAnsi="Times New Roman" w:cs="Times New Roman"/>
          <w:color w:val="000000" w:themeColor="text1"/>
          <w:lang w:val="en-US"/>
        </w:rPr>
        <w:t xml:space="preserve">-Clancy and M. </w:t>
      </w:r>
      <w:proofErr w:type="spellStart"/>
      <w:r w:rsidRPr="00742AF4">
        <w:rPr>
          <w:rFonts w:ascii="Times New Roman" w:hAnsi="Times New Roman" w:cs="Times New Roman"/>
          <w:color w:val="000000" w:themeColor="text1"/>
          <w:lang w:val="en-US"/>
        </w:rPr>
        <w:t>Bilewicz</w:t>
      </w:r>
      <w:proofErr w:type="spellEnd"/>
      <w:r w:rsidRPr="00742AF4">
        <w:rPr>
          <w:rFonts w:ascii="Times New Roman" w:hAnsi="Times New Roman" w:cs="Times New Roman"/>
          <w:color w:val="000000" w:themeColor="text1"/>
          <w:lang w:val="en-US"/>
        </w:rPr>
        <w:t xml:space="preserve">, ‘Fostering Reconciliation Through Historical Moral Exemplars in a </w:t>
      </w:r>
      <w:proofErr w:type="spellStart"/>
      <w:r w:rsidRPr="00742AF4">
        <w:rPr>
          <w:rFonts w:ascii="Times New Roman" w:hAnsi="Times New Roman" w:cs="Times New Roman"/>
          <w:color w:val="000000" w:themeColor="text1"/>
          <w:lang w:val="en-US"/>
        </w:rPr>
        <w:t>Postconflict</w:t>
      </w:r>
      <w:proofErr w:type="spellEnd"/>
      <w:r w:rsidRPr="00742AF4">
        <w:rPr>
          <w:rFonts w:ascii="Times New Roman" w:hAnsi="Times New Roman" w:cs="Times New Roman"/>
          <w:color w:val="000000" w:themeColor="text1"/>
          <w:lang w:val="en-US"/>
        </w:rPr>
        <w:t xml:space="preserve"> Society, 3 </w:t>
      </w:r>
      <w:r w:rsidRPr="00742AF4">
        <w:rPr>
          <w:rFonts w:ascii="Times New Roman" w:hAnsi="Times New Roman" w:cs="Times New Roman"/>
          <w:i/>
          <w:color w:val="000000" w:themeColor="text1"/>
          <w:lang w:val="en-US"/>
        </w:rPr>
        <w:t>Journal of Peace Psychology</w:t>
      </w:r>
      <w:r w:rsidRPr="00742AF4">
        <w:rPr>
          <w:rFonts w:ascii="Times New Roman" w:hAnsi="Times New Roman" w:cs="Times New Roman"/>
          <w:color w:val="000000" w:themeColor="text1"/>
          <w:lang w:val="en-US"/>
        </w:rPr>
        <w:t xml:space="preserve"> (2017), 288-296, 289.</w:t>
      </w:r>
    </w:p>
  </w:footnote>
  <w:footnote w:id="71">
    <w:p w14:paraId="79502781" w14:textId="48A4E37C"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Atkinson-Phillips, </w:t>
      </w:r>
      <w:r w:rsidRPr="00742AF4">
        <w:rPr>
          <w:rFonts w:ascii="Times New Roman" w:hAnsi="Times New Roman" w:cs="Times New Roman"/>
          <w:i/>
          <w:color w:val="000000" w:themeColor="text1"/>
          <w:lang w:val="en-US"/>
        </w:rPr>
        <w:t>supra</w:t>
      </w:r>
      <w:r w:rsidRPr="00742AF4">
        <w:rPr>
          <w:rFonts w:ascii="Times New Roman" w:hAnsi="Times New Roman" w:cs="Times New Roman"/>
          <w:color w:val="000000" w:themeColor="text1"/>
          <w:lang w:val="en-US"/>
        </w:rPr>
        <w:t xml:space="preserve"> note 64, 382.</w:t>
      </w:r>
    </w:p>
  </w:footnote>
  <w:footnote w:id="72">
    <w:p w14:paraId="130876A1" w14:textId="1B85E965" w:rsidR="00CA0596" w:rsidRPr="00742AF4" w:rsidRDefault="00CA0596" w:rsidP="009D7898">
      <w:pPr>
        <w:pStyle w:val="NormalWeb"/>
        <w:spacing w:before="0" w:beforeAutospacing="0" w:after="0" w:afterAutospacing="0"/>
        <w:rPr>
          <w:rFonts w:eastAsia="Times New Roman"/>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rPr>
        <w:t xml:space="preserve"> </w:t>
      </w:r>
      <w:r w:rsidRPr="00742AF4">
        <w:rPr>
          <w:color w:val="000000" w:themeColor="text1"/>
          <w:sz w:val="20"/>
          <w:szCs w:val="20"/>
          <w:lang w:val="en-US"/>
        </w:rPr>
        <w:t xml:space="preserve">Q. Stevens and K. Franck, </w:t>
      </w:r>
      <w:r w:rsidRPr="00742AF4">
        <w:rPr>
          <w:i/>
          <w:color w:val="000000" w:themeColor="text1"/>
          <w:sz w:val="20"/>
          <w:szCs w:val="20"/>
          <w:lang w:val="en-US"/>
        </w:rPr>
        <w:t>Memorials as Spaces of Engagement</w:t>
      </w:r>
      <w:r w:rsidRPr="00742AF4">
        <w:rPr>
          <w:color w:val="000000" w:themeColor="text1"/>
          <w:sz w:val="20"/>
          <w:szCs w:val="20"/>
          <w:lang w:val="en-US"/>
        </w:rPr>
        <w:t xml:space="preserve">, (Routledge, 2015), pp. 5. See also </w:t>
      </w:r>
      <w:proofErr w:type="spellStart"/>
      <w:r w:rsidRPr="00742AF4">
        <w:rPr>
          <w:rFonts w:eastAsia="Times New Roman"/>
          <w:color w:val="000000" w:themeColor="text1"/>
          <w:sz w:val="20"/>
          <w:szCs w:val="20"/>
          <w:lang w:val="en-US" w:eastAsia="en-US"/>
        </w:rPr>
        <w:t>Frédéric</w:t>
      </w:r>
      <w:proofErr w:type="spellEnd"/>
      <w:r w:rsidRPr="00742AF4">
        <w:rPr>
          <w:rFonts w:eastAsia="Times New Roman"/>
          <w:color w:val="000000" w:themeColor="text1"/>
          <w:sz w:val="20"/>
          <w:szCs w:val="20"/>
          <w:lang w:val="en-US" w:eastAsia="en-US"/>
        </w:rPr>
        <w:t xml:space="preserve"> </w:t>
      </w:r>
      <w:proofErr w:type="spellStart"/>
      <w:r w:rsidRPr="00742AF4">
        <w:rPr>
          <w:rFonts w:eastAsia="Times New Roman"/>
          <w:color w:val="000000" w:themeColor="text1"/>
          <w:sz w:val="20"/>
          <w:szCs w:val="20"/>
          <w:lang w:val="en-US" w:eastAsia="en-US"/>
        </w:rPr>
        <w:t>Mégret</w:t>
      </w:r>
      <w:proofErr w:type="spellEnd"/>
      <w:r w:rsidRPr="00742AF4">
        <w:rPr>
          <w:rFonts w:eastAsia="Times New Roman"/>
          <w:color w:val="000000" w:themeColor="text1"/>
          <w:sz w:val="20"/>
          <w:szCs w:val="20"/>
          <w:lang w:val="en-US" w:eastAsia="en-US"/>
        </w:rPr>
        <w:t xml:space="preserve">, </w:t>
      </w:r>
      <w:r w:rsidRPr="00742AF4">
        <w:rPr>
          <w:rFonts w:eastAsia="Times New Roman"/>
          <w:i/>
          <w:iCs/>
          <w:color w:val="000000" w:themeColor="text1"/>
          <w:sz w:val="20"/>
          <w:szCs w:val="20"/>
          <w:lang w:val="en-US" w:eastAsia="en-US"/>
        </w:rPr>
        <w:t>supra</w:t>
      </w:r>
      <w:r w:rsidRPr="00742AF4">
        <w:rPr>
          <w:rFonts w:eastAsia="Times New Roman"/>
          <w:color w:val="000000" w:themeColor="text1"/>
          <w:sz w:val="20"/>
          <w:szCs w:val="20"/>
          <w:lang w:val="en-US" w:eastAsia="en-US"/>
        </w:rPr>
        <w:t xml:space="preserve"> note 25, who calls such spaces ‘sites of conscience’.</w:t>
      </w:r>
    </w:p>
  </w:footnote>
  <w:footnote w:id="73">
    <w:p w14:paraId="46BBAE38" w14:textId="78B7EF19"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Atkinson-Phillips, </w:t>
      </w:r>
      <w:r w:rsidRPr="00742AF4">
        <w:rPr>
          <w:rFonts w:ascii="Times New Roman" w:hAnsi="Times New Roman" w:cs="Times New Roman"/>
          <w:i/>
          <w:color w:val="000000" w:themeColor="text1"/>
          <w:lang w:val="en-US"/>
        </w:rPr>
        <w:t>supra</w:t>
      </w:r>
      <w:r w:rsidRPr="00742AF4">
        <w:rPr>
          <w:rFonts w:ascii="Times New Roman" w:hAnsi="Times New Roman" w:cs="Times New Roman"/>
          <w:color w:val="000000" w:themeColor="text1"/>
          <w:lang w:val="en-US"/>
        </w:rPr>
        <w:t xml:space="preserve"> note 64, 382.</w:t>
      </w:r>
    </w:p>
  </w:footnote>
  <w:footnote w:id="74">
    <w:p w14:paraId="021EF447" w14:textId="77777777" w:rsidR="00CA0596" w:rsidRPr="00742AF4" w:rsidRDefault="00CA0596">
      <w:pPr>
        <w:jc w:val="both"/>
        <w:rPr>
          <w:rFonts w:eastAsia="Calibri"/>
          <w:color w:val="000000" w:themeColor="text1"/>
          <w:sz w:val="20"/>
          <w:szCs w:val="20"/>
          <w:lang w:val="en-US"/>
        </w:rPr>
      </w:pPr>
      <w:r w:rsidRPr="00742AF4">
        <w:rPr>
          <w:rStyle w:val="FootnoteReference"/>
          <w:color w:val="000000" w:themeColor="text1"/>
          <w:sz w:val="20"/>
          <w:szCs w:val="20"/>
          <w:lang w:val="en-US"/>
        </w:rPr>
        <w:footnoteRef/>
      </w:r>
      <w:r w:rsidRPr="00742AF4">
        <w:rPr>
          <w:color w:val="000000" w:themeColor="text1"/>
          <w:sz w:val="20"/>
          <w:szCs w:val="20"/>
          <w:lang w:val="en-US"/>
        </w:rPr>
        <w:t xml:space="preserve"> </w:t>
      </w:r>
      <w:r w:rsidRPr="00742AF4">
        <w:rPr>
          <w:i/>
          <w:color w:val="000000" w:themeColor="text1"/>
          <w:sz w:val="20"/>
          <w:szCs w:val="20"/>
          <w:lang w:val="en-US"/>
        </w:rPr>
        <w:t xml:space="preserve">Prosecutor v. </w:t>
      </w:r>
      <w:r w:rsidRPr="00742AF4">
        <w:rPr>
          <w:rFonts w:eastAsia="Calibri"/>
          <w:i/>
          <w:color w:val="000000" w:themeColor="text1"/>
          <w:sz w:val="20"/>
          <w:szCs w:val="20"/>
          <w:lang w:val="en-US"/>
        </w:rPr>
        <w:t>Lubanga</w:t>
      </w:r>
      <w:r w:rsidRPr="00742AF4">
        <w:rPr>
          <w:rFonts w:eastAsia="Calibri"/>
          <w:color w:val="000000" w:themeColor="text1"/>
          <w:sz w:val="20"/>
          <w:szCs w:val="20"/>
          <w:lang w:val="en-US"/>
        </w:rPr>
        <w:t xml:space="preserve"> Order on Reparations ICC-01/04-01/06-3129-AnxA 3 March 2015</w:t>
      </w:r>
      <w:r w:rsidRPr="00742AF4">
        <w:rPr>
          <w:color w:val="000000" w:themeColor="text1"/>
          <w:sz w:val="20"/>
          <w:szCs w:val="20"/>
          <w:lang w:val="en-US"/>
        </w:rPr>
        <w:t>,</w:t>
      </w:r>
      <w:r w:rsidRPr="00742AF4">
        <w:rPr>
          <w:rFonts w:eastAsia="Calibri"/>
          <w:color w:val="000000" w:themeColor="text1"/>
          <w:sz w:val="20"/>
          <w:szCs w:val="20"/>
          <w:lang w:val="en-US"/>
        </w:rPr>
        <w:t xml:space="preserve"> para. 46.</w:t>
      </w:r>
    </w:p>
  </w:footnote>
  <w:footnote w:id="75">
    <w:p w14:paraId="788E0348" w14:textId="77777777"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Cited in the </w:t>
      </w:r>
      <w:r w:rsidRPr="00742AF4">
        <w:rPr>
          <w:rFonts w:ascii="Times New Roman" w:hAnsi="Times New Roman" w:cs="Times New Roman"/>
          <w:i/>
          <w:color w:val="000000" w:themeColor="text1"/>
          <w:lang w:val="en-US"/>
        </w:rPr>
        <w:t>Prosecutor v. Lubanga</w:t>
      </w:r>
      <w:r w:rsidRPr="00742AF4">
        <w:rPr>
          <w:rFonts w:ascii="Times New Roman" w:hAnsi="Times New Roman" w:cs="Times New Roman"/>
          <w:color w:val="000000" w:themeColor="text1"/>
          <w:lang w:val="en-US"/>
        </w:rPr>
        <w:t xml:space="preserve">, Filing regarding symbolic collective reparations projects, </w:t>
      </w:r>
      <w:r w:rsidRPr="00742AF4">
        <w:rPr>
          <w:rFonts w:ascii="Times New Roman" w:hAnsi="Times New Roman" w:cs="Times New Roman"/>
          <w:bCs/>
          <w:color w:val="000000" w:themeColor="text1"/>
          <w:lang w:val="en-US" w:eastAsia="es-ES"/>
        </w:rPr>
        <w:t>ICC-01/04-01/06, 19 September 2016, para. 10.</w:t>
      </w:r>
    </w:p>
  </w:footnote>
  <w:footnote w:id="76">
    <w:p w14:paraId="7B20E9E6" w14:textId="77777777"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Ibid, para. 23.</w:t>
      </w:r>
    </w:p>
  </w:footnote>
  <w:footnote w:id="77">
    <w:p w14:paraId="38BA205B" w14:textId="77777777"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Ibid, para. 41.</w:t>
      </w:r>
    </w:p>
  </w:footnote>
  <w:footnote w:id="78">
    <w:p w14:paraId="57780A04" w14:textId="77777777"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Ibid, para. 35.</w:t>
      </w:r>
    </w:p>
  </w:footnote>
  <w:footnote w:id="79">
    <w:p w14:paraId="332515D1" w14:textId="77777777" w:rsidR="00CA0596" w:rsidRPr="00742AF4" w:rsidRDefault="00CA0596">
      <w:pPr>
        <w:rPr>
          <w:rFonts w:eastAsia="Calibri"/>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w:t>
      </w:r>
      <w:r w:rsidRPr="00742AF4">
        <w:rPr>
          <w:i/>
          <w:color w:val="000000" w:themeColor="text1"/>
          <w:sz w:val="20"/>
          <w:szCs w:val="20"/>
          <w:lang w:val="en-US"/>
        </w:rPr>
        <w:t xml:space="preserve">Prosecutor v. </w:t>
      </w:r>
      <w:r w:rsidRPr="00742AF4">
        <w:rPr>
          <w:rFonts w:eastAsia="Calibri"/>
          <w:i/>
          <w:color w:val="000000" w:themeColor="text1"/>
          <w:sz w:val="20"/>
          <w:szCs w:val="20"/>
          <w:lang w:val="en-US"/>
        </w:rPr>
        <w:t>Lubanga</w:t>
      </w:r>
      <w:r w:rsidRPr="00742AF4">
        <w:rPr>
          <w:rFonts w:eastAsia="Calibri"/>
          <w:color w:val="000000" w:themeColor="text1"/>
          <w:sz w:val="20"/>
          <w:szCs w:val="20"/>
          <w:lang w:val="en-US"/>
        </w:rPr>
        <w:t>, Order approving the proposed plan of the Trust Fund for Victims in relation to symbolic collective reparations, ICC-01/04-01/06, 21 October 2016, para. 17, 63.</w:t>
      </w:r>
    </w:p>
  </w:footnote>
  <w:footnote w:id="80">
    <w:p w14:paraId="30C2CF04" w14:textId="77777777" w:rsidR="00CA0596" w:rsidRPr="00742AF4" w:rsidRDefault="00CA0596">
      <w:pPr>
        <w:rPr>
          <w:rFonts w:eastAsia="Calibri"/>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w:t>
      </w:r>
      <w:r w:rsidRPr="00742AF4">
        <w:rPr>
          <w:i/>
          <w:color w:val="000000" w:themeColor="text1"/>
          <w:sz w:val="20"/>
          <w:szCs w:val="20"/>
          <w:lang w:val="en-US"/>
        </w:rPr>
        <w:t>Prosecutor v. Lubanga</w:t>
      </w:r>
      <w:r w:rsidRPr="00742AF4">
        <w:rPr>
          <w:rFonts w:eastAsia="Calibri"/>
          <w:color w:val="000000" w:themeColor="text1"/>
          <w:sz w:val="20"/>
          <w:szCs w:val="20"/>
          <w:lang w:val="en-US"/>
        </w:rPr>
        <w:t xml:space="preserve">, Fifth progress report on the implementation of collective reparations as per Trial Chamber II’s orders of 21 October 2016 and 6 April 2017, TVF, ICC-01/04-01/06, 2 October 2018. </w:t>
      </w:r>
    </w:p>
  </w:footnote>
  <w:footnote w:id="81">
    <w:p w14:paraId="7033E23A" w14:textId="21C19AC7"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Eliza Garnsey duly notes that the question of agency is complex when it comes to exploring the connection between art and transitional justice. See Garnsey, </w:t>
      </w:r>
      <w:r w:rsidRPr="00742AF4">
        <w:rPr>
          <w:rFonts w:ascii="Times New Roman" w:hAnsi="Times New Roman" w:cs="Times New Roman"/>
          <w:i/>
          <w:iCs/>
          <w:color w:val="000000" w:themeColor="text1"/>
          <w:lang w:val="en-US"/>
        </w:rPr>
        <w:t>supra</w:t>
      </w:r>
      <w:r w:rsidRPr="00742AF4">
        <w:rPr>
          <w:rFonts w:ascii="Times New Roman" w:hAnsi="Times New Roman" w:cs="Times New Roman"/>
          <w:color w:val="000000" w:themeColor="text1"/>
          <w:lang w:val="en-US"/>
        </w:rPr>
        <w:t xml:space="preserve"> note 14, 474.</w:t>
      </w:r>
    </w:p>
  </w:footnote>
  <w:footnote w:id="82">
    <w:p w14:paraId="447C1B02" w14:textId="77777777" w:rsidR="00CA0596" w:rsidRPr="00742AF4" w:rsidRDefault="00CA0596" w:rsidP="00FF5F42">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proofErr w:type="spellStart"/>
      <w:r w:rsidRPr="00742AF4">
        <w:rPr>
          <w:rFonts w:ascii="Times New Roman" w:hAnsi="Times New Roman" w:cs="Times New Roman"/>
          <w:color w:val="000000" w:themeColor="text1"/>
        </w:rPr>
        <w:t>Mégret</w:t>
      </w:r>
      <w:proofErr w:type="spellEnd"/>
      <w:r w:rsidRPr="00742AF4">
        <w:rPr>
          <w:rFonts w:ascii="Times New Roman" w:hAnsi="Times New Roman" w:cs="Times New Roman"/>
          <w:color w:val="000000" w:themeColor="text1"/>
        </w:rPr>
        <w:t xml:space="preserve">, </w:t>
      </w:r>
      <w:r w:rsidRPr="00742AF4">
        <w:rPr>
          <w:rFonts w:ascii="Times New Roman" w:hAnsi="Times New Roman" w:cs="Times New Roman"/>
          <w:i/>
          <w:iCs/>
          <w:color w:val="000000" w:themeColor="text1"/>
        </w:rPr>
        <w:t xml:space="preserve">supra </w:t>
      </w:r>
      <w:r w:rsidRPr="00742AF4">
        <w:rPr>
          <w:rFonts w:ascii="Times New Roman" w:hAnsi="Times New Roman" w:cs="Times New Roman"/>
          <w:color w:val="000000" w:themeColor="text1"/>
        </w:rPr>
        <w:t>note 25, p. 5.</w:t>
      </w:r>
      <w:r w:rsidRPr="00742AF4">
        <w:rPr>
          <w:rFonts w:ascii="Times New Roman" w:hAnsi="Times New Roman" w:cs="Times New Roman"/>
          <w:color w:val="000000" w:themeColor="text1"/>
          <w:lang w:val="en-US"/>
        </w:rPr>
        <w:t xml:space="preserve"> </w:t>
      </w:r>
    </w:p>
  </w:footnote>
  <w:footnote w:id="83">
    <w:p w14:paraId="3DEF6242" w14:textId="77777777"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Article 75(1) of the Rome Statute of the ICC. </w:t>
      </w:r>
    </w:p>
  </w:footnote>
  <w:footnote w:id="84">
    <w:p w14:paraId="2399514D" w14:textId="435C973B" w:rsidR="00CA0596" w:rsidRPr="00742AF4" w:rsidRDefault="00CA0596">
      <w:pPr>
        <w:pStyle w:val="FootnoteText"/>
        <w:jc w:val="both"/>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lang w:val="en-US"/>
        </w:rPr>
        <w:footnoteRef/>
      </w:r>
      <w:r w:rsidRPr="00742AF4">
        <w:rPr>
          <w:rFonts w:ascii="Times New Roman" w:hAnsi="Times New Roman" w:cs="Times New Roman"/>
          <w:color w:val="000000" w:themeColor="text1"/>
          <w:lang w:val="en-US"/>
        </w:rPr>
        <w:t xml:space="preserve"> </w:t>
      </w:r>
      <w:r w:rsidRPr="00742AF4">
        <w:rPr>
          <w:rFonts w:ascii="Times New Roman" w:hAnsi="Times New Roman" w:cs="Times New Roman"/>
          <w:i/>
          <w:color w:val="000000" w:themeColor="text1"/>
          <w:lang w:val="en-US"/>
        </w:rPr>
        <w:t>Prosecutor v. Katanga</w:t>
      </w:r>
      <w:r w:rsidRPr="00742AF4">
        <w:rPr>
          <w:rFonts w:ascii="Times New Roman" w:hAnsi="Times New Roman" w:cs="Times New Roman"/>
          <w:color w:val="000000" w:themeColor="text1"/>
          <w:lang w:val="en-US"/>
        </w:rPr>
        <w:t xml:space="preserve">, Order for Reparations Pursuant to Article 75 of the Statute, ICC 01/04-01/07, 24 March 2017, para. 297; See also </w:t>
      </w:r>
      <w:proofErr w:type="spellStart"/>
      <w:r w:rsidRPr="00742AF4">
        <w:rPr>
          <w:rFonts w:ascii="Times New Roman" w:hAnsi="Times New Roman" w:cs="Times New Roman"/>
          <w:color w:val="000000" w:themeColor="text1"/>
          <w:lang w:val="en-US"/>
        </w:rPr>
        <w:t>Minow</w:t>
      </w:r>
      <w:proofErr w:type="spell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color w:val="000000" w:themeColor="text1"/>
          <w:lang w:val="en-US"/>
        </w:rPr>
        <w:t>supra</w:t>
      </w:r>
      <w:r w:rsidRPr="00742AF4">
        <w:rPr>
          <w:rFonts w:ascii="Times New Roman" w:hAnsi="Times New Roman" w:cs="Times New Roman"/>
          <w:color w:val="000000" w:themeColor="text1"/>
          <w:lang w:val="en-US"/>
        </w:rPr>
        <w:t xml:space="preserve"> note 13, p. 23.</w:t>
      </w:r>
    </w:p>
  </w:footnote>
  <w:footnote w:id="85">
    <w:p w14:paraId="4BD0A9D9" w14:textId="77777777"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lang w:val="en-US"/>
        </w:rPr>
        <w:footnoteRef/>
      </w:r>
      <w:r w:rsidRPr="00742AF4">
        <w:rPr>
          <w:rFonts w:ascii="Times New Roman" w:hAnsi="Times New Roman" w:cs="Times New Roman"/>
          <w:color w:val="000000" w:themeColor="text1"/>
          <w:lang w:val="en-US"/>
        </w:rPr>
        <w:t xml:space="preserve"> Article 75(2) of the Rome Statute. </w:t>
      </w:r>
    </w:p>
  </w:footnote>
  <w:footnote w:id="86">
    <w:p w14:paraId="1F10D07C" w14:textId="77777777"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Article 79 of the Rome Statute of the ICC.</w:t>
      </w:r>
    </w:p>
  </w:footnote>
  <w:footnote w:id="87">
    <w:p w14:paraId="6526B2D5" w14:textId="69B77204" w:rsidR="00CA0596" w:rsidRPr="00742AF4" w:rsidRDefault="00CA0596" w:rsidP="002E105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proofErr w:type="spellStart"/>
      <w:r w:rsidRPr="00742AF4">
        <w:rPr>
          <w:rFonts w:ascii="Times New Roman" w:hAnsi="Times New Roman" w:cs="Times New Roman"/>
          <w:color w:val="000000" w:themeColor="text1"/>
        </w:rPr>
        <w:t>Mégret</w:t>
      </w:r>
      <w:proofErr w:type="spellEnd"/>
      <w:r w:rsidRPr="00742AF4">
        <w:rPr>
          <w:rFonts w:ascii="Times New Roman" w:hAnsi="Times New Roman" w:cs="Times New Roman"/>
          <w:color w:val="000000" w:themeColor="text1"/>
        </w:rPr>
        <w:t xml:space="preserve">, </w:t>
      </w:r>
      <w:r w:rsidRPr="00742AF4">
        <w:rPr>
          <w:rFonts w:ascii="Times New Roman" w:hAnsi="Times New Roman" w:cs="Times New Roman"/>
          <w:i/>
          <w:iCs/>
          <w:color w:val="000000" w:themeColor="text1"/>
        </w:rPr>
        <w:t xml:space="preserve">supra </w:t>
      </w:r>
      <w:r w:rsidRPr="00742AF4">
        <w:rPr>
          <w:rFonts w:ascii="Times New Roman" w:hAnsi="Times New Roman" w:cs="Times New Roman"/>
          <w:color w:val="000000" w:themeColor="text1"/>
        </w:rPr>
        <w:t>note 25, p. 10.</w:t>
      </w:r>
    </w:p>
  </w:footnote>
  <w:footnote w:id="88">
    <w:p w14:paraId="52C74050" w14:textId="686745A5"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Ibid, p. 13.</w:t>
      </w:r>
    </w:p>
  </w:footnote>
  <w:footnote w:id="89">
    <w:p w14:paraId="580DFF85" w14:textId="46D377AF" w:rsidR="00CA0596" w:rsidRPr="00742AF4" w:rsidRDefault="00CA0596" w:rsidP="009D7898">
      <w:pPr>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Resolution ICC-ASP/4/Res.3, para. 50 (a)(</w:t>
      </w:r>
      <w:proofErr w:type="spellStart"/>
      <w:r w:rsidRPr="00742AF4">
        <w:rPr>
          <w:color w:val="000000" w:themeColor="text1"/>
          <w:sz w:val="20"/>
          <w:szCs w:val="20"/>
          <w:lang w:val="en-US"/>
        </w:rPr>
        <w:t>i</w:t>
      </w:r>
      <w:proofErr w:type="spellEnd"/>
      <w:r w:rsidRPr="00742AF4">
        <w:rPr>
          <w:color w:val="000000" w:themeColor="text1"/>
          <w:sz w:val="20"/>
          <w:szCs w:val="20"/>
          <w:lang w:val="en-US"/>
        </w:rPr>
        <w:t xml:space="preserve">), (December 3 2005), </w:t>
      </w:r>
      <w:hyperlink r:id="rId7" w:history="1">
        <w:r w:rsidRPr="00742AF4">
          <w:rPr>
            <w:rStyle w:val="Hyperlink"/>
            <w:color w:val="000000" w:themeColor="text1"/>
            <w:sz w:val="20"/>
            <w:szCs w:val="20"/>
            <w:lang w:val="en-US"/>
          </w:rPr>
          <w:t>https://www.icc-cpi.int/NR/rdonlyres/0CE5967F-EADC-44C9-8CCA-7A7E9AC89C30/140126/ICCASP432Res3_English.pdf</w:t>
        </w:r>
      </w:hyperlink>
      <w:r w:rsidRPr="00742AF4">
        <w:rPr>
          <w:color w:val="000000" w:themeColor="text1"/>
          <w:sz w:val="20"/>
          <w:szCs w:val="20"/>
          <w:lang w:val="en-US"/>
        </w:rPr>
        <w:t xml:space="preserve">, last accessed 13 July 2019. See also </w:t>
      </w:r>
      <w:proofErr w:type="spellStart"/>
      <w:r w:rsidRPr="00742AF4">
        <w:rPr>
          <w:color w:val="000000" w:themeColor="text1"/>
          <w:sz w:val="20"/>
          <w:szCs w:val="20"/>
          <w:lang w:val="en-GB"/>
        </w:rPr>
        <w:t>Mégret</w:t>
      </w:r>
      <w:proofErr w:type="spellEnd"/>
      <w:r w:rsidRPr="00742AF4">
        <w:rPr>
          <w:color w:val="000000" w:themeColor="text1"/>
          <w:sz w:val="20"/>
          <w:szCs w:val="20"/>
          <w:lang w:val="en-GB"/>
        </w:rPr>
        <w:t>, supra note 25, p. 14.</w:t>
      </w:r>
    </w:p>
  </w:footnote>
  <w:footnote w:id="90">
    <w:p w14:paraId="494FDE73" w14:textId="70FE2682" w:rsidR="00CA0596" w:rsidRPr="00742AF4" w:rsidRDefault="00CA0596" w:rsidP="002F0CC5">
      <w:pPr>
        <w:pStyle w:val="NormalWeb"/>
        <w:spacing w:before="0" w:beforeAutospacing="0" w:after="0" w:afterAutospacing="0"/>
        <w:rPr>
          <w:rFonts w:eastAsia="Times New Roman"/>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rPr>
        <w:t xml:space="preserve"> </w:t>
      </w:r>
      <w:proofErr w:type="spellStart"/>
      <w:r w:rsidRPr="00742AF4">
        <w:rPr>
          <w:color w:val="000000" w:themeColor="text1"/>
          <w:sz w:val="20"/>
          <w:szCs w:val="20"/>
        </w:rPr>
        <w:t>Stepakoff</w:t>
      </w:r>
      <w:proofErr w:type="spellEnd"/>
      <w:r w:rsidRPr="00742AF4">
        <w:rPr>
          <w:color w:val="000000" w:themeColor="text1"/>
          <w:sz w:val="20"/>
          <w:szCs w:val="20"/>
        </w:rPr>
        <w:t xml:space="preserve">, </w:t>
      </w:r>
      <w:r w:rsidRPr="00742AF4">
        <w:rPr>
          <w:i/>
          <w:iCs/>
          <w:color w:val="000000" w:themeColor="text1"/>
          <w:sz w:val="20"/>
          <w:szCs w:val="20"/>
        </w:rPr>
        <w:t>supra</w:t>
      </w:r>
      <w:r w:rsidRPr="00742AF4">
        <w:rPr>
          <w:color w:val="000000" w:themeColor="text1"/>
          <w:sz w:val="20"/>
          <w:szCs w:val="20"/>
        </w:rPr>
        <w:t xml:space="preserve"> note 31, 400; </w:t>
      </w:r>
      <w:proofErr w:type="spellStart"/>
      <w:r w:rsidRPr="00742AF4">
        <w:rPr>
          <w:color w:val="000000" w:themeColor="text1"/>
          <w:sz w:val="20"/>
          <w:szCs w:val="20"/>
          <w:lang w:val="en-US" w:eastAsia="en-US"/>
        </w:rPr>
        <w:t>Simic</w:t>
      </w:r>
      <w:proofErr w:type="spellEnd"/>
      <w:r w:rsidRPr="00742AF4">
        <w:rPr>
          <w:color w:val="000000" w:themeColor="text1"/>
          <w:sz w:val="20"/>
          <w:szCs w:val="20"/>
          <w:lang w:val="en-US" w:eastAsia="en-US"/>
        </w:rPr>
        <w:t xml:space="preserve"> and </w:t>
      </w:r>
      <w:proofErr w:type="spellStart"/>
      <w:r w:rsidRPr="00742AF4">
        <w:rPr>
          <w:color w:val="000000" w:themeColor="text1"/>
          <w:sz w:val="20"/>
          <w:szCs w:val="20"/>
          <w:lang w:val="en-US" w:eastAsia="en-US"/>
        </w:rPr>
        <w:t>Miloševic</w:t>
      </w:r>
      <w:proofErr w:type="spellEnd"/>
      <w:r w:rsidRPr="00742AF4">
        <w:rPr>
          <w:color w:val="000000" w:themeColor="text1"/>
          <w:sz w:val="20"/>
          <w:szCs w:val="20"/>
          <w:lang w:val="en-US" w:eastAsia="en-US"/>
        </w:rPr>
        <w:t xml:space="preserve"> in Rush and </w:t>
      </w:r>
      <w:proofErr w:type="spellStart"/>
      <w:r w:rsidRPr="00742AF4">
        <w:rPr>
          <w:color w:val="000000" w:themeColor="text1"/>
          <w:sz w:val="20"/>
          <w:szCs w:val="20"/>
          <w:lang w:val="en-US" w:eastAsia="en-US"/>
        </w:rPr>
        <w:t>Simić</w:t>
      </w:r>
      <w:proofErr w:type="spellEnd"/>
      <w:r w:rsidRPr="00742AF4">
        <w:rPr>
          <w:color w:val="000000" w:themeColor="text1"/>
          <w:sz w:val="20"/>
          <w:szCs w:val="20"/>
          <w:lang w:val="en-US" w:eastAsia="en-US"/>
        </w:rPr>
        <w:t xml:space="preserve"> (eds), </w:t>
      </w:r>
      <w:r w:rsidRPr="00742AF4">
        <w:rPr>
          <w:i/>
          <w:iCs/>
          <w:color w:val="000000" w:themeColor="text1"/>
          <w:sz w:val="20"/>
          <w:szCs w:val="20"/>
          <w:lang w:val="en-US" w:eastAsia="en-US"/>
        </w:rPr>
        <w:t>supra</w:t>
      </w:r>
      <w:r w:rsidRPr="00742AF4">
        <w:rPr>
          <w:color w:val="000000" w:themeColor="text1"/>
          <w:sz w:val="20"/>
          <w:szCs w:val="20"/>
          <w:lang w:val="en-US" w:eastAsia="en-US"/>
        </w:rPr>
        <w:t xml:space="preserve"> note 40, p. 107.</w:t>
      </w:r>
    </w:p>
  </w:footnote>
  <w:footnote w:id="91">
    <w:p w14:paraId="2FFEC742" w14:textId="54AE7200" w:rsidR="00CA0596" w:rsidRPr="00742AF4" w:rsidRDefault="00CA0596">
      <w:pPr>
        <w:pStyle w:val="NormalWeb"/>
        <w:spacing w:before="0" w:beforeAutospacing="0" w:after="0" w:afterAutospacing="0"/>
        <w:rPr>
          <w:rFonts w:eastAsia="Times New Roman"/>
          <w:color w:val="000000" w:themeColor="text1"/>
          <w:sz w:val="20"/>
          <w:szCs w:val="20"/>
          <w:lang w:val="en-US" w:eastAsia="en-US"/>
        </w:rPr>
      </w:pPr>
      <w:r w:rsidRPr="00742AF4">
        <w:rPr>
          <w:rStyle w:val="FootnoteReference"/>
          <w:color w:val="000000" w:themeColor="text1"/>
          <w:sz w:val="20"/>
          <w:szCs w:val="20"/>
        </w:rPr>
        <w:footnoteRef/>
      </w:r>
      <w:r w:rsidRPr="00742AF4">
        <w:rPr>
          <w:color w:val="000000" w:themeColor="text1"/>
          <w:sz w:val="20"/>
          <w:szCs w:val="20"/>
        </w:rPr>
        <w:t xml:space="preserve"> </w:t>
      </w:r>
      <w:r w:rsidRPr="00742AF4">
        <w:rPr>
          <w:rFonts w:eastAsia="Times New Roman"/>
          <w:i/>
          <w:iCs/>
          <w:color w:val="000000" w:themeColor="text1"/>
          <w:sz w:val="20"/>
          <w:szCs w:val="20"/>
          <w:lang w:val="en-US" w:eastAsia="en-US"/>
        </w:rPr>
        <w:t xml:space="preserve">Prosecutor v. KAING </w:t>
      </w:r>
      <w:proofErr w:type="spellStart"/>
      <w:r w:rsidRPr="00742AF4">
        <w:rPr>
          <w:rFonts w:eastAsia="Times New Roman"/>
          <w:i/>
          <w:iCs/>
          <w:color w:val="000000" w:themeColor="text1"/>
          <w:sz w:val="20"/>
          <w:szCs w:val="20"/>
          <w:lang w:val="en-US" w:eastAsia="en-US"/>
        </w:rPr>
        <w:t>Guek</w:t>
      </w:r>
      <w:proofErr w:type="spellEnd"/>
      <w:r w:rsidRPr="00742AF4">
        <w:rPr>
          <w:rFonts w:eastAsia="Times New Roman"/>
          <w:i/>
          <w:iCs/>
          <w:color w:val="000000" w:themeColor="text1"/>
          <w:sz w:val="20"/>
          <w:szCs w:val="20"/>
          <w:lang w:val="en-US" w:eastAsia="en-US"/>
        </w:rPr>
        <w:t xml:space="preserve"> </w:t>
      </w:r>
      <w:proofErr w:type="spellStart"/>
      <w:r w:rsidRPr="00742AF4">
        <w:rPr>
          <w:rFonts w:eastAsia="Times New Roman"/>
          <w:i/>
          <w:iCs/>
          <w:color w:val="000000" w:themeColor="text1"/>
          <w:sz w:val="20"/>
          <w:szCs w:val="20"/>
          <w:lang w:val="en-US" w:eastAsia="en-US"/>
        </w:rPr>
        <w:t>Eav</w:t>
      </w:r>
      <w:proofErr w:type="spellEnd"/>
      <w:r w:rsidRPr="00742AF4">
        <w:rPr>
          <w:rFonts w:eastAsia="Times New Roman"/>
          <w:i/>
          <w:iCs/>
          <w:color w:val="000000" w:themeColor="text1"/>
          <w:sz w:val="20"/>
          <w:szCs w:val="20"/>
          <w:lang w:val="en-US" w:eastAsia="en-US"/>
        </w:rPr>
        <w:t xml:space="preserve"> alias </w:t>
      </w:r>
      <w:proofErr w:type="spellStart"/>
      <w:r w:rsidRPr="00742AF4">
        <w:rPr>
          <w:rFonts w:eastAsia="Times New Roman"/>
          <w:i/>
          <w:iCs/>
          <w:color w:val="000000" w:themeColor="text1"/>
          <w:sz w:val="20"/>
          <w:szCs w:val="20"/>
          <w:lang w:val="en-US" w:eastAsia="en-US"/>
        </w:rPr>
        <w:t>Duch</w:t>
      </w:r>
      <w:proofErr w:type="spellEnd"/>
      <w:r w:rsidRPr="00742AF4">
        <w:rPr>
          <w:rFonts w:eastAsia="Times New Roman"/>
          <w:color w:val="000000" w:themeColor="text1"/>
          <w:sz w:val="20"/>
          <w:szCs w:val="20"/>
          <w:lang w:val="en-US" w:eastAsia="en-US"/>
        </w:rPr>
        <w:t>, ECCC Case No 001/18-07-2007/ECCC/TC, Trial Judgment, 20 March 2012 (‘</w:t>
      </w:r>
      <w:proofErr w:type="spellStart"/>
      <w:r w:rsidRPr="00742AF4">
        <w:rPr>
          <w:rFonts w:eastAsia="Times New Roman"/>
          <w:iCs/>
          <w:color w:val="000000" w:themeColor="text1"/>
          <w:sz w:val="20"/>
          <w:szCs w:val="20"/>
          <w:lang w:val="en-US" w:eastAsia="en-US"/>
        </w:rPr>
        <w:t>Duch</w:t>
      </w:r>
      <w:proofErr w:type="spellEnd"/>
      <w:r w:rsidRPr="00742AF4">
        <w:rPr>
          <w:rFonts w:eastAsia="Times New Roman"/>
          <w:iCs/>
          <w:color w:val="000000" w:themeColor="text1"/>
          <w:sz w:val="20"/>
          <w:szCs w:val="20"/>
          <w:lang w:val="en-US" w:eastAsia="en-US"/>
        </w:rPr>
        <w:t xml:space="preserve"> </w:t>
      </w:r>
      <w:r w:rsidRPr="00742AF4">
        <w:rPr>
          <w:rFonts w:eastAsia="Times New Roman"/>
          <w:color w:val="000000" w:themeColor="text1"/>
          <w:sz w:val="20"/>
          <w:szCs w:val="20"/>
          <w:lang w:val="en-US" w:eastAsia="en-US"/>
        </w:rPr>
        <w:t>Trial Judgment’), para. 660.</w:t>
      </w:r>
    </w:p>
  </w:footnote>
  <w:footnote w:id="92">
    <w:p w14:paraId="59D5D7BC" w14:textId="7D5337E2" w:rsidR="00CA0596" w:rsidRPr="00742AF4" w:rsidRDefault="00CA0596">
      <w:pPr>
        <w:pStyle w:val="NormalWeb"/>
        <w:spacing w:before="0" w:beforeAutospacing="0" w:after="0" w:afterAutospacing="0"/>
        <w:rPr>
          <w:rFonts w:eastAsia="Times New Roman"/>
          <w:color w:val="000000" w:themeColor="text1"/>
          <w:sz w:val="20"/>
          <w:szCs w:val="20"/>
          <w:lang w:val="en-US" w:eastAsia="en-US"/>
        </w:rPr>
      </w:pPr>
      <w:r w:rsidRPr="00742AF4">
        <w:rPr>
          <w:rStyle w:val="FootnoteReference"/>
          <w:color w:val="000000" w:themeColor="text1"/>
          <w:sz w:val="20"/>
          <w:szCs w:val="20"/>
        </w:rPr>
        <w:footnoteRef/>
      </w:r>
      <w:r w:rsidRPr="00742AF4">
        <w:rPr>
          <w:color w:val="000000" w:themeColor="text1"/>
          <w:sz w:val="20"/>
          <w:szCs w:val="20"/>
        </w:rPr>
        <w:t xml:space="preserve"> </w:t>
      </w:r>
      <w:r w:rsidRPr="00742AF4">
        <w:rPr>
          <w:color w:val="000000" w:themeColor="text1"/>
          <w:sz w:val="20"/>
          <w:szCs w:val="20"/>
          <w:lang w:val="en-US"/>
        </w:rPr>
        <w:t xml:space="preserve">Case 002/02, Civil Party Lead Co-Lawyers Final Claim for Reparation, </w:t>
      </w:r>
      <w:r w:rsidRPr="00742AF4">
        <w:rPr>
          <w:color w:val="000000" w:themeColor="text1"/>
          <w:sz w:val="20"/>
          <w:szCs w:val="20"/>
        </w:rPr>
        <w:t xml:space="preserve">002 19 09 2007 ECCC TC, </w:t>
      </w:r>
      <w:r w:rsidRPr="00742AF4">
        <w:rPr>
          <w:color w:val="000000" w:themeColor="text1"/>
          <w:sz w:val="20"/>
          <w:szCs w:val="20"/>
          <w:lang w:val="en-US"/>
        </w:rPr>
        <w:t xml:space="preserve">30 May 2017, para. 30; Case 002/02, Trial Chamber, Summary Judgement, </w:t>
      </w:r>
      <w:r w:rsidRPr="00742AF4">
        <w:rPr>
          <w:rFonts w:eastAsia="Times New Roman"/>
          <w:color w:val="000000" w:themeColor="text1"/>
          <w:sz w:val="20"/>
          <w:szCs w:val="20"/>
          <w:lang w:val="en-US" w:eastAsia="en-US"/>
        </w:rPr>
        <w:t xml:space="preserve">Case File No. 002/19-09-2007/ECCC/TC, 16 November 2018, </w:t>
      </w:r>
      <w:r w:rsidRPr="00742AF4">
        <w:rPr>
          <w:color w:val="000000" w:themeColor="text1"/>
          <w:sz w:val="20"/>
          <w:szCs w:val="20"/>
          <w:lang w:val="en-US"/>
        </w:rPr>
        <w:t xml:space="preserve">para. 66. </w:t>
      </w:r>
    </w:p>
  </w:footnote>
  <w:footnote w:id="93">
    <w:p w14:paraId="41661217" w14:textId="2EA2DEB1"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More information available at https://www.khmertimeskh.com/news/34376/---</w:t>
      </w:r>
      <w:proofErr w:type="spellStart"/>
      <w:r w:rsidRPr="00742AF4">
        <w:rPr>
          <w:rFonts w:ascii="Times New Roman" w:hAnsi="Times New Roman" w:cs="Times New Roman"/>
          <w:color w:val="000000" w:themeColor="text1"/>
        </w:rPr>
        <w:t>phka-sla</w:t>
      </w:r>
      <w:proofErr w:type="spellEnd"/>
      <w:r w:rsidRPr="00742AF4">
        <w:rPr>
          <w:rFonts w:ascii="Times New Roman" w:hAnsi="Times New Roman" w:cs="Times New Roman"/>
          <w:color w:val="000000" w:themeColor="text1"/>
        </w:rPr>
        <w:t>----dance-to-help-</w:t>
      </w:r>
      <w:proofErr w:type="spellStart"/>
      <w:r w:rsidRPr="00742AF4">
        <w:rPr>
          <w:rFonts w:ascii="Times New Roman" w:hAnsi="Times New Roman" w:cs="Times New Roman"/>
          <w:color w:val="000000" w:themeColor="text1"/>
        </w:rPr>
        <w:t>kr</w:t>
      </w:r>
      <w:proofErr w:type="spellEnd"/>
      <w:r w:rsidRPr="00742AF4">
        <w:rPr>
          <w:rFonts w:ascii="Times New Roman" w:hAnsi="Times New Roman" w:cs="Times New Roman"/>
          <w:color w:val="000000" w:themeColor="text1"/>
        </w:rPr>
        <w:t>---s-forced-marriage-victims-heal/, last accessed 24 November 2018.</w:t>
      </w:r>
    </w:p>
  </w:footnote>
  <w:footnote w:id="94">
    <w:p w14:paraId="704F66BA" w14:textId="3F63364D" w:rsidR="00CA0596" w:rsidRPr="00742AF4" w:rsidRDefault="00CA0596">
      <w:pPr>
        <w:pStyle w:val="Heading2"/>
        <w:spacing w:before="0"/>
        <w:rPr>
          <w:rFonts w:ascii="Times New Roman" w:hAnsi="Times New Roman" w:cs="Times New Roman"/>
          <w:color w:val="000000" w:themeColor="text1"/>
          <w:sz w:val="20"/>
          <w:szCs w:val="20"/>
        </w:rPr>
      </w:pPr>
      <w:r w:rsidRPr="00742AF4">
        <w:rPr>
          <w:rStyle w:val="FootnoteReference"/>
          <w:rFonts w:ascii="Times New Roman" w:hAnsi="Times New Roman" w:cs="Times New Roman"/>
          <w:color w:val="000000" w:themeColor="text1"/>
          <w:sz w:val="20"/>
          <w:szCs w:val="20"/>
        </w:rPr>
        <w:footnoteRef/>
      </w:r>
      <w:r w:rsidRPr="00742AF4">
        <w:rPr>
          <w:rFonts w:ascii="Times New Roman" w:hAnsi="Times New Roman" w:cs="Times New Roman"/>
          <w:color w:val="000000" w:themeColor="text1"/>
          <w:sz w:val="20"/>
          <w:szCs w:val="20"/>
        </w:rPr>
        <w:t xml:space="preserve"> </w:t>
      </w:r>
      <w:r w:rsidRPr="00742AF4">
        <w:rPr>
          <w:rFonts w:ascii="Times New Roman" w:hAnsi="Times New Roman" w:cs="Times New Roman"/>
          <w:color w:val="000000" w:themeColor="text1"/>
          <w:sz w:val="20"/>
          <w:szCs w:val="20"/>
          <w:lang w:val="en-US"/>
        </w:rPr>
        <w:t xml:space="preserve">A. M. Sassoon, ‘A moving show on forced marriage’, Phnom </w:t>
      </w:r>
      <w:proofErr w:type="spellStart"/>
      <w:r w:rsidRPr="00742AF4">
        <w:rPr>
          <w:rFonts w:ascii="Times New Roman" w:hAnsi="Times New Roman" w:cs="Times New Roman"/>
          <w:color w:val="000000" w:themeColor="text1"/>
          <w:sz w:val="20"/>
          <w:szCs w:val="20"/>
          <w:lang w:val="en-US"/>
        </w:rPr>
        <w:t>Pehn</w:t>
      </w:r>
      <w:proofErr w:type="spellEnd"/>
      <w:r w:rsidRPr="00742AF4">
        <w:rPr>
          <w:rFonts w:ascii="Times New Roman" w:hAnsi="Times New Roman" w:cs="Times New Roman"/>
          <w:color w:val="000000" w:themeColor="text1"/>
          <w:sz w:val="20"/>
          <w:szCs w:val="20"/>
          <w:lang w:val="en-US"/>
        </w:rPr>
        <w:t xml:space="preserve"> Post, 27 January 2017, available at https://www</w:t>
      </w:r>
      <w:r w:rsidRPr="00742AF4">
        <w:rPr>
          <w:rFonts w:ascii="Times New Roman" w:hAnsi="Times New Roman" w:cs="Times New Roman"/>
          <w:color w:val="000000" w:themeColor="text1"/>
          <w:sz w:val="20"/>
          <w:szCs w:val="20"/>
        </w:rPr>
        <w:t>.phnompenhpost.com/lifestyle/moving-show-forced-marriage</w:t>
      </w:r>
      <w:r w:rsidRPr="00742AF4">
        <w:rPr>
          <w:rFonts w:ascii="Times New Roman" w:hAnsi="Times New Roman" w:cs="Times New Roman"/>
          <w:color w:val="000000" w:themeColor="text1"/>
          <w:sz w:val="20"/>
          <w:szCs w:val="20"/>
          <w:lang w:val="en-US"/>
        </w:rPr>
        <w:t>, last accessed 22 July 2019.</w:t>
      </w:r>
    </w:p>
  </w:footnote>
  <w:footnote w:id="95">
    <w:p w14:paraId="3DCF402E" w14:textId="1C5E52BB"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Ibid.</w:t>
      </w:r>
    </w:p>
  </w:footnote>
  <w:footnote w:id="96">
    <w:p w14:paraId="33051D86" w14:textId="65643FC2"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Ibid.</w:t>
      </w:r>
    </w:p>
  </w:footnote>
  <w:footnote w:id="97">
    <w:p w14:paraId="5D055EB3" w14:textId="61386F25" w:rsidR="00CA0596" w:rsidRPr="00742AF4" w:rsidRDefault="00CA0596">
      <w:pPr>
        <w:jc w:val="both"/>
        <w:rPr>
          <w:color w:val="000000" w:themeColor="text1"/>
          <w:sz w:val="20"/>
          <w:szCs w:val="20"/>
          <w:lang w:val="en-US"/>
        </w:rPr>
      </w:pPr>
      <w:r w:rsidRPr="00742AF4">
        <w:rPr>
          <w:rStyle w:val="FootnoteReference"/>
          <w:color w:val="000000" w:themeColor="text1"/>
          <w:sz w:val="20"/>
          <w:szCs w:val="20"/>
          <w:lang w:val="en-US"/>
        </w:rPr>
        <w:footnoteRef/>
      </w:r>
      <w:r w:rsidRPr="00742AF4">
        <w:rPr>
          <w:color w:val="000000" w:themeColor="text1"/>
          <w:sz w:val="20"/>
          <w:szCs w:val="20"/>
          <w:lang w:val="en-US"/>
        </w:rPr>
        <w:t xml:space="preserve"> A. </w:t>
      </w:r>
      <w:proofErr w:type="spellStart"/>
      <w:r w:rsidRPr="00742AF4">
        <w:rPr>
          <w:iCs/>
          <w:color w:val="000000" w:themeColor="text1"/>
          <w:sz w:val="20"/>
          <w:szCs w:val="20"/>
          <w:lang w:val="en-US"/>
        </w:rPr>
        <w:t>Huneeus</w:t>
      </w:r>
      <w:proofErr w:type="spellEnd"/>
      <w:r w:rsidRPr="00742AF4">
        <w:rPr>
          <w:iCs/>
          <w:color w:val="000000" w:themeColor="text1"/>
          <w:sz w:val="20"/>
          <w:szCs w:val="20"/>
          <w:lang w:val="en-US"/>
        </w:rPr>
        <w:t xml:space="preserve">, ‘International Criminal Law by Other Means: The Quasi-Criminal Jurisdiction of the Human Rights Courts’, 107 </w:t>
      </w:r>
      <w:r w:rsidRPr="00742AF4">
        <w:rPr>
          <w:i/>
          <w:iCs/>
          <w:color w:val="000000" w:themeColor="text1"/>
          <w:sz w:val="20"/>
          <w:szCs w:val="20"/>
          <w:lang w:val="en-US"/>
        </w:rPr>
        <w:t>American Journal of International Law</w:t>
      </w:r>
      <w:r w:rsidRPr="00742AF4">
        <w:rPr>
          <w:iCs/>
          <w:color w:val="000000" w:themeColor="text1"/>
          <w:sz w:val="20"/>
          <w:szCs w:val="20"/>
          <w:lang w:val="en-US"/>
        </w:rPr>
        <w:t xml:space="preserve"> (2013), 1-44, 5.</w:t>
      </w:r>
    </w:p>
  </w:footnote>
  <w:footnote w:id="98">
    <w:p w14:paraId="19AA8560" w14:textId="77777777" w:rsidR="00CA0596" w:rsidRPr="00742AF4" w:rsidRDefault="00CA0596">
      <w:pPr>
        <w:jc w:val="both"/>
        <w:rPr>
          <w:color w:val="000000" w:themeColor="text1"/>
          <w:sz w:val="20"/>
          <w:szCs w:val="20"/>
          <w:lang w:val="en-US"/>
        </w:rPr>
      </w:pPr>
      <w:r w:rsidRPr="00742AF4">
        <w:rPr>
          <w:rStyle w:val="FootnoteReference"/>
          <w:color w:val="000000" w:themeColor="text1"/>
          <w:sz w:val="20"/>
          <w:szCs w:val="20"/>
          <w:lang w:val="en-US"/>
        </w:rPr>
        <w:footnoteRef/>
      </w:r>
      <w:r w:rsidRPr="00742AF4">
        <w:rPr>
          <w:color w:val="000000" w:themeColor="text1"/>
          <w:sz w:val="20"/>
          <w:szCs w:val="20"/>
          <w:lang w:val="en-US"/>
        </w:rPr>
        <w:t xml:space="preserve"> Ibid.</w:t>
      </w:r>
    </w:p>
  </w:footnote>
  <w:footnote w:id="99">
    <w:p w14:paraId="5E1EC161" w14:textId="6791A252" w:rsidR="00CA0596" w:rsidRPr="00742AF4" w:rsidRDefault="00CA0596">
      <w:pPr>
        <w:rPr>
          <w:color w:val="000000" w:themeColor="text1"/>
          <w:sz w:val="20"/>
          <w:szCs w:val="20"/>
          <w:lang w:val="en-US"/>
        </w:rPr>
      </w:pPr>
      <w:r w:rsidRPr="00742AF4">
        <w:rPr>
          <w:rStyle w:val="FootnoteReference"/>
          <w:color w:val="000000" w:themeColor="text1"/>
          <w:sz w:val="20"/>
          <w:szCs w:val="20"/>
          <w:lang w:val="en-US"/>
        </w:rPr>
        <w:footnoteRef/>
      </w:r>
      <w:r w:rsidRPr="00742AF4">
        <w:rPr>
          <w:color w:val="000000" w:themeColor="text1"/>
          <w:sz w:val="20"/>
          <w:szCs w:val="20"/>
          <w:lang w:val="en-US"/>
        </w:rPr>
        <w:t xml:space="preserve"> </w:t>
      </w:r>
      <w:r w:rsidRPr="00742AF4">
        <w:rPr>
          <w:rFonts w:eastAsia="Calibri"/>
          <w:i/>
          <w:color w:val="000000" w:themeColor="text1"/>
          <w:sz w:val="20"/>
          <w:szCs w:val="20"/>
          <w:lang w:val="en-US"/>
        </w:rPr>
        <w:t xml:space="preserve">Castillo </w:t>
      </w:r>
      <w:proofErr w:type="spellStart"/>
      <w:r w:rsidRPr="00742AF4">
        <w:rPr>
          <w:rFonts w:eastAsia="Calibri"/>
          <w:i/>
          <w:color w:val="000000" w:themeColor="text1"/>
          <w:sz w:val="20"/>
          <w:szCs w:val="20"/>
          <w:lang w:val="en-US"/>
        </w:rPr>
        <w:t>Páez</w:t>
      </w:r>
      <w:proofErr w:type="spellEnd"/>
      <w:r w:rsidRPr="00742AF4">
        <w:rPr>
          <w:rFonts w:eastAsia="Calibri"/>
          <w:i/>
          <w:color w:val="000000" w:themeColor="text1"/>
          <w:sz w:val="20"/>
          <w:szCs w:val="20"/>
          <w:lang w:val="en-US"/>
        </w:rPr>
        <w:t xml:space="preserve"> v. Peru</w:t>
      </w:r>
      <w:r w:rsidRPr="00742AF4">
        <w:rPr>
          <w:rFonts w:eastAsia="Calibri"/>
          <w:color w:val="000000" w:themeColor="text1"/>
          <w:sz w:val="20"/>
          <w:szCs w:val="20"/>
          <w:lang w:val="en-US"/>
        </w:rPr>
        <w:t>, </w:t>
      </w:r>
      <w:r w:rsidRPr="00742AF4">
        <w:rPr>
          <w:rFonts w:eastAsia="Calibri"/>
          <w:i/>
          <w:color w:val="000000" w:themeColor="text1"/>
          <w:sz w:val="20"/>
          <w:szCs w:val="20"/>
          <w:lang w:val="en-US"/>
        </w:rPr>
        <w:t xml:space="preserve">Castillo </w:t>
      </w:r>
      <w:proofErr w:type="spellStart"/>
      <w:r w:rsidRPr="00742AF4">
        <w:rPr>
          <w:rFonts w:eastAsia="Calibri"/>
          <w:i/>
          <w:color w:val="000000" w:themeColor="text1"/>
          <w:sz w:val="20"/>
          <w:szCs w:val="20"/>
          <w:lang w:val="en-US"/>
        </w:rPr>
        <w:t>Páez</w:t>
      </w:r>
      <w:proofErr w:type="spellEnd"/>
      <w:r w:rsidRPr="00742AF4">
        <w:rPr>
          <w:rFonts w:eastAsia="Calibri"/>
          <w:i/>
          <w:color w:val="000000" w:themeColor="text1"/>
          <w:sz w:val="20"/>
          <w:szCs w:val="20"/>
          <w:lang w:val="en-US"/>
        </w:rPr>
        <w:t xml:space="preserve"> v. Peru</w:t>
      </w:r>
      <w:r w:rsidRPr="00742AF4">
        <w:rPr>
          <w:rFonts w:eastAsia="Calibri"/>
          <w:color w:val="000000" w:themeColor="text1"/>
          <w:sz w:val="20"/>
          <w:szCs w:val="20"/>
          <w:lang w:val="en-US"/>
        </w:rPr>
        <w:t>, Reparations and Costs, [1998] IACHR 8, IACHR Series C No 43, IHRL 1426 (IACHR 1998), para. 48.</w:t>
      </w:r>
    </w:p>
  </w:footnote>
  <w:footnote w:id="100">
    <w:p w14:paraId="26720198" w14:textId="22DB2EB5" w:rsidR="00CA0596" w:rsidRPr="00742AF4" w:rsidRDefault="00CA0596">
      <w:pPr>
        <w:rPr>
          <w:color w:val="000000" w:themeColor="text1"/>
          <w:sz w:val="20"/>
          <w:szCs w:val="20"/>
          <w:lang w:val="en-US"/>
        </w:rPr>
      </w:pPr>
      <w:r w:rsidRPr="00742AF4">
        <w:rPr>
          <w:rStyle w:val="FootnoteReference"/>
          <w:color w:val="000000" w:themeColor="text1"/>
          <w:sz w:val="20"/>
          <w:szCs w:val="20"/>
          <w:lang w:val="en-US"/>
        </w:rPr>
        <w:footnoteRef/>
      </w:r>
      <w:r w:rsidRPr="00742AF4">
        <w:rPr>
          <w:color w:val="000000" w:themeColor="text1"/>
          <w:sz w:val="20"/>
          <w:szCs w:val="20"/>
          <w:lang w:val="en-US"/>
        </w:rPr>
        <w:t xml:space="preserve"> </w:t>
      </w:r>
      <w:proofErr w:type="spellStart"/>
      <w:r w:rsidRPr="00742AF4">
        <w:rPr>
          <w:color w:val="000000" w:themeColor="text1"/>
          <w:sz w:val="20"/>
          <w:szCs w:val="20"/>
          <w:lang w:val="en-US"/>
        </w:rPr>
        <w:t>Eg.</w:t>
      </w:r>
      <w:proofErr w:type="spellEnd"/>
      <w:r w:rsidRPr="00742AF4">
        <w:rPr>
          <w:color w:val="000000" w:themeColor="text1"/>
          <w:sz w:val="20"/>
          <w:szCs w:val="20"/>
          <w:lang w:val="en-US"/>
        </w:rPr>
        <w:t xml:space="preserve"> </w:t>
      </w:r>
      <w:r w:rsidRPr="00742AF4">
        <w:rPr>
          <w:rFonts w:eastAsia="Calibri"/>
          <w:i/>
          <w:color w:val="000000" w:themeColor="text1"/>
          <w:sz w:val="20"/>
          <w:szCs w:val="20"/>
          <w:lang w:val="en-US"/>
        </w:rPr>
        <w:t>Barrios Altos v. Peru</w:t>
      </w:r>
      <w:r w:rsidRPr="00742AF4">
        <w:rPr>
          <w:rFonts w:eastAsia="Calibri"/>
          <w:color w:val="000000" w:themeColor="text1"/>
          <w:sz w:val="20"/>
          <w:szCs w:val="20"/>
          <w:lang w:val="en-US"/>
        </w:rPr>
        <w:t xml:space="preserve">, </w:t>
      </w:r>
      <w:proofErr w:type="spellStart"/>
      <w:r w:rsidRPr="00742AF4">
        <w:rPr>
          <w:rFonts w:eastAsia="Calibri"/>
          <w:color w:val="000000" w:themeColor="text1"/>
          <w:sz w:val="20"/>
          <w:szCs w:val="20"/>
          <w:lang w:val="en-US"/>
        </w:rPr>
        <w:t>IACtHR</w:t>
      </w:r>
      <w:proofErr w:type="spellEnd"/>
      <w:r w:rsidRPr="00742AF4">
        <w:rPr>
          <w:rFonts w:eastAsia="Calibri"/>
          <w:color w:val="000000" w:themeColor="text1"/>
          <w:sz w:val="20"/>
          <w:szCs w:val="20"/>
          <w:lang w:val="en-US"/>
        </w:rPr>
        <w:t xml:space="preserve"> Judgment of November 30, 2001, para 5; </w:t>
      </w:r>
      <w:proofErr w:type="spellStart"/>
      <w:r w:rsidRPr="00742AF4">
        <w:rPr>
          <w:rFonts w:eastAsia="Calibri"/>
          <w:i/>
          <w:color w:val="000000" w:themeColor="text1"/>
          <w:sz w:val="20"/>
          <w:szCs w:val="20"/>
          <w:lang w:val="en-US"/>
        </w:rPr>
        <w:t>Mapiripán</w:t>
      </w:r>
      <w:proofErr w:type="spellEnd"/>
      <w:r w:rsidRPr="00742AF4">
        <w:rPr>
          <w:rFonts w:eastAsia="Calibri"/>
          <w:i/>
          <w:color w:val="000000" w:themeColor="text1"/>
          <w:sz w:val="20"/>
          <w:szCs w:val="20"/>
          <w:lang w:val="en-US"/>
        </w:rPr>
        <w:t xml:space="preserve"> Massacre v. Colombia</w:t>
      </w:r>
      <w:r w:rsidRPr="00742AF4">
        <w:rPr>
          <w:rFonts w:eastAsia="Calibri"/>
          <w:color w:val="000000" w:themeColor="text1"/>
          <w:sz w:val="20"/>
          <w:szCs w:val="20"/>
          <w:lang w:val="en-US"/>
        </w:rPr>
        <w:t xml:space="preserve">, </w:t>
      </w:r>
      <w:proofErr w:type="spellStart"/>
      <w:r w:rsidRPr="00742AF4">
        <w:rPr>
          <w:rFonts w:eastAsia="Calibri"/>
          <w:color w:val="000000" w:themeColor="text1"/>
          <w:sz w:val="20"/>
          <w:szCs w:val="20"/>
          <w:lang w:val="en-US"/>
        </w:rPr>
        <w:t>IACtHR</w:t>
      </w:r>
      <w:proofErr w:type="spellEnd"/>
      <w:r w:rsidRPr="00742AF4">
        <w:rPr>
          <w:rFonts w:eastAsia="Calibri"/>
          <w:color w:val="000000" w:themeColor="text1"/>
          <w:sz w:val="20"/>
          <w:szCs w:val="20"/>
          <w:lang w:val="en-US"/>
        </w:rPr>
        <w:t>, Judgment of 15 September 2005, paras 10-13; Suriname. </w:t>
      </w:r>
      <w:proofErr w:type="spellStart"/>
      <w:r w:rsidRPr="00742AF4">
        <w:rPr>
          <w:rFonts w:eastAsia="Calibri"/>
          <w:i/>
          <w:color w:val="000000" w:themeColor="text1"/>
          <w:sz w:val="20"/>
          <w:szCs w:val="20"/>
          <w:lang w:val="en-US"/>
        </w:rPr>
        <w:t>Moiwana</w:t>
      </w:r>
      <w:proofErr w:type="spellEnd"/>
      <w:r w:rsidRPr="00742AF4">
        <w:rPr>
          <w:rFonts w:eastAsia="Calibri"/>
          <w:i/>
          <w:color w:val="000000" w:themeColor="text1"/>
          <w:sz w:val="20"/>
          <w:szCs w:val="20"/>
          <w:lang w:val="en-US"/>
        </w:rPr>
        <w:t xml:space="preserve"> Community v. </w:t>
      </w:r>
      <w:proofErr w:type="spellStart"/>
      <w:r w:rsidRPr="00742AF4">
        <w:rPr>
          <w:rFonts w:eastAsia="Calibri"/>
          <w:i/>
          <w:color w:val="000000" w:themeColor="text1"/>
          <w:sz w:val="20"/>
          <w:szCs w:val="20"/>
          <w:lang w:val="en-US"/>
        </w:rPr>
        <w:t>Surin</w:t>
      </w:r>
      <w:proofErr w:type="spellEnd"/>
      <w:r w:rsidRPr="00742AF4">
        <w:rPr>
          <w:rFonts w:eastAsia="Calibri"/>
          <w:color w:val="000000" w:themeColor="text1"/>
          <w:sz w:val="20"/>
          <w:szCs w:val="20"/>
          <w:lang w:val="en-US"/>
        </w:rPr>
        <w:t>., Preliminary Objections, Merits, Reparations and Costs, Judgment, Inter-Am. Ct. H.R. (ser. C) No. 124 (June 15, 2005), paras 2-7.</w:t>
      </w:r>
    </w:p>
  </w:footnote>
  <w:footnote w:id="101">
    <w:p w14:paraId="2CF01FF3" w14:textId="199943AB"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w:t>
      </w:r>
      <w:proofErr w:type="spellStart"/>
      <w:r w:rsidRPr="00742AF4">
        <w:rPr>
          <w:rFonts w:ascii="Times New Roman" w:hAnsi="Times New Roman" w:cs="Times New Roman"/>
          <w:color w:val="000000" w:themeColor="text1"/>
          <w:lang w:val="en-US"/>
        </w:rPr>
        <w:t>Eg.</w:t>
      </w:r>
      <w:proofErr w:type="spellEnd"/>
      <w:r w:rsidRPr="00742AF4">
        <w:rPr>
          <w:rFonts w:ascii="Times New Roman" w:hAnsi="Times New Roman" w:cs="Times New Roman"/>
          <w:color w:val="000000" w:themeColor="text1"/>
          <w:lang w:val="en-US"/>
        </w:rPr>
        <w:t xml:space="preserve"> </w:t>
      </w:r>
      <w:proofErr w:type="spellStart"/>
      <w:r w:rsidRPr="00742AF4">
        <w:rPr>
          <w:rFonts w:ascii="Times New Roman" w:hAnsi="Times New Roman" w:cs="Times New Roman"/>
          <w:i/>
          <w:color w:val="000000" w:themeColor="text1"/>
          <w:lang w:val="en-US"/>
        </w:rPr>
        <w:t>Cantoral</w:t>
      </w:r>
      <w:proofErr w:type="spellEnd"/>
      <w:r w:rsidRPr="00742AF4">
        <w:rPr>
          <w:rFonts w:ascii="Times New Roman" w:hAnsi="Times New Roman" w:cs="Times New Roman"/>
          <w:i/>
          <w:color w:val="000000" w:themeColor="text1"/>
          <w:lang w:val="en-US"/>
        </w:rPr>
        <w:t xml:space="preserve"> Benavides v. Peru</w:t>
      </w:r>
      <w:r w:rsidRPr="00742AF4">
        <w:rPr>
          <w:rFonts w:ascii="Times New Roman" w:hAnsi="Times New Roman" w:cs="Times New Roman"/>
          <w:color w:val="000000" w:themeColor="text1"/>
          <w:lang w:val="en-US"/>
        </w:rPr>
        <w:t xml:space="preserve"> (Reparations, 2001), Inter-Am. Ct. HR, 29 September 1999, Ser. C., No. 56, para. </w:t>
      </w:r>
      <w:r w:rsidRPr="00742AF4">
        <w:rPr>
          <w:rFonts w:ascii="Times New Roman" w:hAnsi="Times New Roman" w:cs="Times New Roman"/>
          <w:color w:val="000000" w:themeColor="text1"/>
        </w:rPr>
        <w:t>81.</w:t>
      </w:r>
    </w:p>
  </w:footnote>
  <w:footnote w:id="102">
    <w:p w14:paraId="26AED09D" w14:textId="2448A62D"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w:t>
      </w:r>
      <w:r w:rsidRPr="00742AF4">
        <w:rPr>
          <w:rFonts w:ascii="Times New Roman" w:eastAsiaTheme="majorEastAsia" w:hAnsi="Times New Roman" w:cs="Times New Roman"/>
          <w:bCs/>
          <w:color w:val="000000" w:themeColor="text1"/>
        </w:rPr>
        <w:t xml:space="preserve">R. </w:t>
      </w:r>
      <w:proofErr w:type="spellStart"/>
      <w:r w:rsidRPr="00742AF4">
        <w:rPr>
          <w:rFonts w:ascii="Times New Roman" w:eastAsiaTheme="majorEastAsia" w:hAnsi="Times New Roman" w:cs="Times New Roman"/>
          <w:bCs/>
          <w:color w:val="000000" w:themeColor="text1"/>
        </w:rPr>
        <w:t>Hodžić</w:t>
      </w:r>
      <w:proofErr w:type="spellEnd"/>
      <w:r w:rsidRPr="00742AF4">
        <w:rPr>
          <w:rFonts w:ascii="Times New Roman" w:eastAsiaTheme="majorEastAsia" w:hAnsi="Times New Roman" w:cs="Times New Roman"/>
          <w:bCs/>
          <w:color w:val="000000" w:themeColor="text1"/>
        </w:rPr>
        <w:t xml:space="preserve">, </w:t>
      </w:r>
      <w:r w:rsidRPr="00742AF4">
        <w:rPr>
          <w:rFonts w:ascii="Times New Roman" w:hAnsi="Times New Roman" w:cs="Times New Roman"/>
          <w:color w:val="000000" w:themeColor="text1"/>
          <w:shd w:val="clear" w:color="auto" w:fill="FFFFFF"/>
        </w:rPr>
        <w:t>‘</w:t>
      </w:r>
      <w:r w:rsidRPr="00742AF4">
        <w:rPr>
          <w:rFonts w:ascii="Times New Roman" w:hAnsi="Times New Roman" w:cs="Times New Roman"/>
          <w:bCs/>
          <w:color w:val="000000" w:themeColor="text1"/>
          <w:shd w:val="clear" w:color="auto" w:fill="FFFFFF"/>
        </w:rPr>
        <w:t>Living the Legacy of Mass Atrocities</w:t>
      </w:r>
      <w:r w:rsidRPr="00742AF4">
        <w:rPr>
          <w:rFonts w:ascii="Times New Roman" w:hAnsi="Times New Roman" w:cs="Times New Roman"/>
          <w:color w:val="000000" w:themeColor="text1"/>
          <w:shd w:val="clear" w:color="auto" w:fill="FFFFFF"/>
        </w:rPr>
        <w:t>. </w:t>
      </w:r>
      <w:r w:rsidRPr="00742AF4">
        <w:rPr>
          <w:rFonts w:ascii="Times New Roman" w:hAnsi="Times New Roman" w:cs="Times New Roman"/>
          <w:bCs/>
          <w:color w:val="000000" w:themeColor="text1"/>
          <w:shd w:val="clear" w:color="auto" w:fill="FFFFFF"/>
        </w:rPr>
        <w:t>Victim's Perspectives on War Crimes Trials</w:t>
      </w:r>
      <w:r w:rsidRPr="00742AF4">
        <w:rPr>
          <w:rFonts w:ascii="Times New Roman" w:hAnsi="Times New Roman" w:cs="Times New Roman"/>
          <w:color w:val="000000" w:themeColor="text1"/>
          <w:shd w:val="clear" w:color="auto" w:fill="FFFFFF"/>
        </w:rPr>
        <w:t xml:space="preserve">’, 8 </w:t>
      </w:r>
      <w:r w:rsidRPr="00742AF4">
        <w:rPr>
          <w:rFonts w:ascii="Times New Roman" w:hAnsi="Times New Roman" w:cs="Times New Roman"/>
          <w:i/>
          <w:color w:val="000000" w:themeColor="text1"/>
        </w:rPr>
        <w:t>Journal of International Criminal Justice</w:t>
      </w:r>
      <w:r w:rsidRPr="00742AF4">
        <w:rPr>
          <w:rFonts w:ascii="Times New Roman" w:hAnsi="Times New Roman" w:cs="Times New Roman"/>
          <w:color w:val="000000" w:themeColor="text1"/>
        </w:rPr>
        <w:t xml:space="preserve"> (2010), </w:t>
      </w:r>
      <w:r w:rsidRPr="00742AF4">
        <w:rPr>
          <w:rFonts w:ascii="Times New Roman" w:hAnsi="Times New Roman" w:cs="Times New Roman"/>
          <w:color w:val="000000" w:themeColor="text1"/>
          <w:shd w:val="clear" w:color="auto" w:fill="FFFFFF"/>
          <w:lang w:val="en-US"/>
        </w:rPr>
        <w:t xml:space="preserve">113. </w:t>
      </w:r>
    </w:p>
  </w:footnote>
  <w:footnote w:id="103">
    <w:p w14:paraId="065AAD82" w14:textId="5C26F1DA"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w:t>
      </w:r>
      <w:proofErr w:type="spellStart"/>
      <w:r w:rsidRPr="00742AF4">
        <w:rPr>
          <w:rFonts w:ascii="Times New Roman" w:hAnsi="Times New Roman" w:cs="Times New Roman"/>
          <w:color w:val="000000" w:themeColor="text1"/>
          <w:lang w:val="en-US"/>
        </w:rPr>
        <w:t>Elander</w:t>
      </w:r>
      <w:proofErr w:type="spell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color w:val="000000" w:themeColor="text1"/>
          <w:lang w:val="en-US"/>
        </w:rPr>
        <w:t>supra</w:t>
      </w:r>
      <w:r w:rsidRPr="00742AF4">
        <w:rPr>
          <w:rFonts w:ascii="Times New Roman" w:hAnsi="Times New Roman" w:cs="Times New Roman"/>
          <w:color w:val="000000" w:themeColor="text1"/>
          <w:lang w:val="en-US"/>
        </w:rPr>
        <w:t xml:space="preserve"> note 24, p. 149.</w:t>
      </w:r>
    </w:p>
  </w:footnote>
  <w:footnote w:id="104">
    <w:p w14:paraId="17EC1BE2" w14:textId="12EF8BBD"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ICC website at </w:t>
      </w:r>
      <w:hyperlink r:id="rId8" w:history="1">
        <w:r w:rsidRPr="00742AF4">
          <w:rPr>
            <w:rStyle w:val="Hyperlink"/>
            <w:rFonts w:ascii="Times New Roman" w:hAnsi="Times New Roman" w:cs="Times New Roman"/>
            <w:color w:val="000000" w:themeColor="text1"/>
            <w:u w:val="none"/>
          </w:rPr>
          <w:t>https://www.icc-cpi.int/about/interacting-with-communities</w:t>
        </w:r>
      </w:hyperlink>
      <w:r w:rsidRPr="00742AF4">
        <w:rPr>
          <w:rFonts w:ascii="Times New Roman" w:hAnsi="Times New Roman" w:cs="Times New Roman"/>
          <w:color w:val="000000" w:themeColor="text1"/>
        </w:rPr>
        <w:t>, last accessed 10 December 2018.</w:t>
      </w:r>
    </w:p>
  </w:footnote>
  <w:footnote w:id="105">
    <w:p w14:paraId="51BC5AD2" w14:textId="5F505D52"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hyperlink r:id="rId9" w:history="1">
        <w:r w:rsidRPr="00742AF4">
          <w:rPr>
            <w:rStyle w:val="Hyperlink"/>
            <w:rFonts w:ascii="Times New Roman" w:hAnsi="Times New Roman" w:cs="Times New Roman"/>
            <w:color w:val="000000" w:themeColor="text1"/>
          </w:rPr>
          <w:t>https://www.icc-cpi.int/traumahealinghope/index.html</w:t>
        </w:r>
      </w:hyperlink>
      <w:r w:rsidRPr="00742AF4">
        <w:rPr>
          <w:rFonts w:ascii="Times New Roman" w:hAnsi="Times New Roman" w:cs="Times New Roman"/>
          <w:color w:val="000000" w:themeColor="text1"/>
        </w:rPr>
        <w:t>, last accessed 13 July 2019.</w:t>
      </w:r>
    </w:p>
  </w:footnote>
  <w:footnote w:id="106">
    <w:p w14:paraId="2900C7F1" w14:textId="3C86D4BA" w:rsidR="00CA0596" w:rsidRPr="00742AF4" w:rsidRDefault="00CA0596" w:rsidP="009D7898">
      <w:pPr>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F. </w:t>
      </w:r>
      <w:proofErr w:type="spellStart"/>
      <w:r w:rsidRPr="00742AF4">
        <w:rPr>
          <w:color w:val="000000" w:themeColor="text1"/>
          <w:sz w:val="20"/>
          <w:szCs w:val="20"/>
          <w:lang w:val="en-US"/>
        </w:rPr>
        <w:t>Gantheret</w:t>
      </w:r>
      <w:proofErr w:type="spellEnd"/>
      <w:r w:rsidRPr="00742AF4">
        <w:rPr>
          <w:color w:val="000000" w:themeColor="text1"/>
          <w:sz w:val="20"/>
          <w:szCs w:val="20"/>
          <w:lang w:val="en-US"/>
        </w:rPr>
        <w:t xml:space="preserve">, ‘The Use of Artistic Productions as a Transitional Justice Mechanism in the Context of International Criminal Justice and the Misuse of International Tribunals’ Mandates’, ARTIJ Blog, published 1 July 2019, available at </w:t>
      </w:r>
      <w:hyperlink r:id="rId10" w:history="1">
        <w:r w:rsidRPr="00742AF4">
          <w:rPr>
            <w:rStyle w:val="Hyperlink"/>
            <w:color w:val="000000" w:themeColor="text1"/>
            <w:sz w:val="20"/>
            <w:szCs w:val="20"/>
            <w:lang w:val="en-US"/>
          </w:rPr>
          <w:t>https://artij.org/en/blog.html</w:t>
        </w:r>
      </w:hyperlink>
      <w:r w:rsidRPr="00742AF4">
        <w:rPr>
          <w:color w:val="000000" w:themeColor="text1"/>
          <w:sz w:val="20"/>
          <w:szCs w:val="20"/>
          <w:lang w:val="en-US"/>
        </w:rPr>
        <w:t>, last accessed 13 July 2019.</w:t>
      </w:r>
    </w:p>
  </w:footnote>
  <w:footnote w:id="107">
    <w:p w14:paraId="47176546" w14:textId="6CCA63B1" w:rsidR="00CA0596" w:rsidRPr="00742AF4" w:rsidRDefault="00CA0596" w:rsidP="009D7898">
      <w:pPr>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Ibid. For an analysis of the role of photography in international criminal justice, see also contribution by R. </w:t>
      </w:r>
      <w:proofErr w:type="spellStart"/>
      <w:r w:rsidRPr="00742AF4">
        <w:rPr>
          <w:color w:val="000000" w:themeColor="text1"/>
          <w:sz w:val="20"/>
          <w:szCs w:val="20"/>
          <w:lang w:val="en-US"/>
        </w:rPr>
        <w:t>Oidtmann</w:t>
      </w:r>
      <w:proofErr w:type="spellEnd"/>
      <w:r w:rsidRPr="00742AF4">
        <w:rPr>
          <w:color w:val="000000" w:themeColor="text1"/>
          <w:sz w:val="20"/>
          <w:szCs w:val="20"/>
          <w:lang w:val="en-US"/>
        </w:rPr>
        <w:t xml:space="preserve">, ‘International Justice Through the Kaleidoscope of Photography – Thoughts on the Exhibition ‘Trauma, Healing and Hope’ at the International Criminal Court,’ ARTIJ Blog, published 2 July 2019, available at </w:t>
      </w:r>
      <w:hyperlink r:id="rId11" w:history="1">
        <w:r w:rsidRPr="00742AF4">
          <w:rPr>
            <w:rStyle w:val="Hyperlink"/>
            <w:color w:val="000000" w:themeColor="text1"/>
            <w:sz w:val="20"/>
            <w:szCs w:val="20"/>
            <w:lang w:val="en-US"/>
          </w:rPr>
          <w:t>https://artij.org/en/blog.html</w:t>
        </w:r>
      </w:hyperlink>
      <w:r w:rsidRPr="00742AF4">
        <w:rPr>
          <w:color w:val="000000" w:themeColor="text1"/>
          <w:sz w:val="20"/>
          <w:szCs w:val="20"/>
          <w:lang w:val="en-US"/>
        </w:rPr>
        <w:t>, last accessed 13 July 2019.</w:t>
      </w:r>
    </w:p>
  </w:footnote>
  <w:footnote w:id="108">
    <w:p w14:paraId="48B25E07" w14:textId="4085902D"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J. Lincoln, Transitional Justice, Peace and Accountability: Outreach and the Role of International Courts after Conflict (Routledge, 2011), p. 105. See also M. </w:t>
      </w:r>
      <w:proofErr w:type="spellStart"/>
      <w:r w:rsidRPr="00742AF4">
        <w:rPr>
          <w:rFonts w:ascii="Times New Roman" w:hAnsi="Times New Roman" w:cs="Times New Roman"/>
          <w:color w:val="000000" w:themeColor="text1"/>
          <w:lang w:val="en-US"/>
        </w:rPr>
        <w:t>Karwande</w:t>
      </w:r>
      <w:proofErr w:type="spellEnd"/>
      <w:r w:rsidRPr="00742AF4">
        <w:rPr>
          <w:rFonts w:ascii="Times New Roman" w:hAnsi="Times New Roman" w:cs="Times New Roman"/>
          <w:color w:val="000000" w:themeColor="text1"/>
          <w:lang w:val="en-US"/>
        </w:rPr>
        <w:t xml:space="preserve">, ‘Implementing an Engagement Model: Outreach at the Special Court for Sierra Leone’ in C. Ramírez-Barat (ed) </w:t>
      </w:r>
      <w:r w:rsidRPr="00742AF4">
        <w:rPr>
          <w:rFonts w:ascii="Times New Roman" w:hAnsi="Times New Roman" w:cs="Times New Roman"/>
          <w:i/>
          <w:iCs/>
          <w:color w:val="000000" w:themeColor="text1"/>
          <w:lang w:val="en-US"/>
        </w:rPr>
        <w:t>Transitional Justice, Culture, and Society. Beyond Outreach</w:t>
      </w:r>
      <w:r w:rsidRPr="00742AF4">
        <w:rPr>
          <w:rFonts w:ascii="Times New Roman" w:hAnsi="Times New Roman" w:cs="Times New Roman"/>
          <w:color w:val="000000" w:themeColor="text1"/>
          <w:lang w:val="en-US"/>
        </w:rPr>
        <w:t xml:space="preserve"> (ICTJ, 2014), p. 49.</w:t>
      </w:r>
    </w:p>
  </w:footnote>
  <w:footnote w:id="109">
    <w:p w14:paraId="5C525975" w14:textId="5F376F92"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Ibid, p. 117.</w:t>
      </w:r>
    </w:p>
  </w:footnote>
  <w:footnote w:id="110">
    <w:p w14:paraId="345DC8CA" w14:textId="5D1915C8"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w:t>
      </w:r>
      <w:proofErr w:type="spellStart"/>
      <w:r w:rsidRPr="00742AF4">
        <w:rPr>
          <w:rFonts w:ascii="Times New Roman" w:hAnsi="Times New Roman" w:cs="Times New Roman"/>
          <w:color w:val="000000" w:themeColor="text1"/>
          <w:lang w:val="en-US"/>
        </w:rPr>
        <w:t>Elander</w:t>
      </w:r>
      <w:proofErr w:type="spell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color w:val="000000" w:themeColor="text1"/>
          <w:lang w:val="en-US"/>
        </w:rPr>
        <w:t>supra</w:t>
      </w:r>
      <w:r w:rsidRPr="00742AF4">
        <w:rPr>
          <w:rFonts w:ascii="Times New Roman" w:hAnsi="Times New Roman" w:cs="Times New Roman"/>
          <w:color w:val="000000" w:themeColor="text1"/>
          <w:lang w:val="en-US"/>
        </w:rPr>
        <w:t xml:space="preserve"> note 24, 150.</w:t>
      </w:r>
    </w:p>
  </w:footnote>
  <w:footnote w:id="111">
    <w:p w14:paraId="7985271A" w14:textId="043CC55C"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Ibid, p. 157.</w:t>
      </w:r>
    </w:p>
  </w:footnote>
  <w:footnote w:id="112">
    <w:p w14:paraId="5501E094" w14:textId="717BBE61" w:rsidR="00CA0596" w:rsidRPr="00742AF4" w:rsidRDefault="00CA0596">
      <w:pPr>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Ibid, p. 159.</w:t>
      </w:r>
    </w:p>
  </w:footnote>
  <w:footnote w:id="113">
    <w:p w14:paraId="77E79F96" w14:textId="494DA3D6"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Ibid, p. 165.</w:t>
      </w:r>
    </w:p>
  </w:footnote>
  <w:footnote w:id="114">
    <w:p w14:paraId="4BE60DB7" w14:textId="0CA67029" w:rsidR="00CA0596" w:rsidRPr="00742AF4" w:rsidRDefault="00CA0596">
      <w:pPr>
        <w:pStyle w:val="FootnoteText"/>
        <w:jc w:val="both"/>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See </w:t>
      </w:r>
      <w:r w:rsidRPr="00742AF4">
        <w:rPr>
          <w:rFonts w:ascii="Times New Roman" w:hAnsi="Times New Roman" w:cs="Times New Roman"/>
          <w:color w:val="000000" w:themeColor="text1"/>
        </w:rPr>
        <w:t xml:space="preserve">M. Aksenova, “The ICC Involvement in Colombia: Walking the Fine Line Between Peace and Justice”, in </w:t>
      </w:r>
      <w:proofErr w:type="spellStart"/>
      <w:r w:rsidRPr="00742AF4">
        <w:rPr>
          <w:rFonts w:ascii="Times New Roman" w:hAnsi="Times New Roman" w:cs="Times New Roman"/>
          <w:color w:val="000000" w:themeColor="text1"/>
        </w:rPr>
        <w:t>Bergsmo</w:t>
      </w:r>
      <w:proofErr w:type="spellEnd"/>
      <w:r w:rsidRPr="00742AF4">
        <w:rPr>
          <w:rFonts w:ascii="Times New Roman" w:hAnsi="Times New Roman" w:cs="Times New Roman"/>
          <w:color w:val="000000" w:themeColor="text1"/>
        </w:rPr>
        <w:t xml:space="preserve"> and </w:t>
      </w:r>
      <w:proofErr w:type="spellStart"/>
      <w:r w:rsidRPr="00742AF4">
        <w:rPr>
          <w:rFonts w:ascii="Times New Roman" w:hAnsi="Times New Roman" w:cs="Times New Roman"/>
          <w:color w:val="000000" w:themeColor="text1"/>
        </w:rPr>
        <w:t>Stahn</w:t>
      </w:r>
      <w:proofErr w:type="spellEnd"/>
      <w:r w:rsidRPr="00742AF4">
        <w:rPr>
          <w:rFonts w:ascii="Times New Roman" w:hAnsi="Times New Roman" w:cs="Times New Roman"/>
          <w:color w:val="000000" w:themeColor="text1"/>
        </w:rPr>
        <w:t xml:space="preserve"> (eds), Quality Control in Preliminary Examination: Volume 1 (</w:t>
      </w:r>
      <w:proofErr w:type="spellStart"/>
      <w:r w:rsidRPr="00742AF4">
        <w:rPr>
          <w:rFonts w:ascii="Times New Roman" w:hAnsi="Times New Roman" w:cs="Times New Roman"/>
          <w:color w:val="000000" w:themeColor="text1"/>
        </w:rPr>
        <w:t>Torkel</w:t>
      </w:r>
      <w:proofErr w:type="spellEnd"/>
      <w:r w:rsidRPr="00742AF4">
        <w:rPr>
          <w:rFonts w:ascii="Times New Roman" w:hAnsi="Times New Roman" w:cs="Times New Roman"/>
          <w:color w:val="000000" w:themeColor="text1"/>
        </w:rPr>
        <w:t xml:space="preserve"> </w:t>
      </w:r>
      <w:proofErr w:type="spellStart"/>
      <w:r w:rsidRPr="00742AF4">
        <w:rPr>
          <w:rFonts w:ascii="Times New Roman" w:hAnsi="Times New Roman" w:cs="Times New Roman"/>
          <w:color w:val="000000" w:themeColor="text1"/>
        </w:rPr>
        <w:t>Opsahl</w:t>
      </w:r>
      <w:proofErr w:type="spellEnd"/>
      <w:r w:rsidRPr="00742AF4">
        <w:rPr>
          <w:rFonts w:ascii="Times New Roman" w:hAnsi="Times New Roman" w:cs="Times New Roman"/>
          <w:color w:val="000000" w:themeColor="text1"/>
        </w:rPr>
        <w:t xml:space="preserve"> Academic </w:t>
      </w:r>
      <w:proofErr w:type="spellStart"/>
      <w:r w:rsidRPr="00742AF4">
        <w:rPr>
          <w:rFonts w:ascii="Times New Roman" w:hAnsi="Times New Roman" w:cs="Times New Roman"/>
          <w:color w:val="000000" w:themeColor="text1"/>
        </w:rPr>
        <w:t>EPublisher</w:t>
      </w:r>
      <w:proofErr w:type="spellEnd"/>
      <w:r w:rsidRPr="00742AF4">
        <w:rPr>
          <w:rFonts w:ascii="Times New Roman" w:hAnsi="Times New Roman" w:cs="Times New Roman"/>
          <w:color w:val="000000" w:themeColor="text1"/>
        </w:rPr>
        <w:t>, 2018).</w:t>
      </w:r>
    </w:p>
  </w:footnote>
  <w:footnote w:id="115">
    <w:p w14:paraId="068D5BBA" w14:textId="1C4C097A" w:rsidR="00CA0596" w:rsidRPr="00742AF4" w:rsidRDefault="00CA0596">
      <w:pPr>
        <w:pStyle w:val="NormalWeb"/>
        <w:spacing w:before="0" w:beforeAutospacing="0" w:after="0" w:afterAutospacing="0"/>
        <w:rPr>
          <w:rFonts w:eastAsia="Times New Roman"/>
          <w:color w:val="000000" w:themeColor="text1"/>
          <w:sz w:val="20"/>
          <w:szCs w:val="20"/>
          <w:lang w:val="es-ES" w:eastAsia="en-US"/>
        </w:rPr>
      </w:pPr>
      <w:r w:rsidRPr="00742AF4">
        <w:rPr>
          <w:rStyle w:val="FootnoteReference"/>
          <w:rFonts w:eastAsiaTheme="minorEastAsia"/>
          <w:color w:val="000000" w:themeColor="text1"/>
          <w:sz w:val="20"/>
          <w:szCs w:val="20"/>
        </w:rPr>
        <w:footnoteRef/>
      </w:r>
      <w:r w:rsidRPr="00742AF4">
        <w:rPr>
          <w:color w:val="000000" w:themeColor="text1"/>
          <w:sz w:val="20"/>
          <w:szCs w:val="20"/>
        </w:rPr>
        <w:t xml:space="preserve"> The preamble to peace deal speaks about the rights of victims to truth, justice and reparation. Section 5 of the peace deal elaborates on the mechanisms whereby these goals are attained. </w:t>
      </w:r>
      <w:proofErr w:type="spellStart"/>
      <w:r w:rsidRPr="00742AF4">
        <w:rPr>
          <w:color w:val="000000" w:themeColor="text1"/>
          <w:sz w:val="20"/>
          <w:szCs w:val="20"/>
          <w:lang w:val="es-ES"/>
        </w:rPr>
        <w:t>See</w:t>
      </w:r>
      <w:proofErr w:type="spellEnd"/>
      <w:r w:rsidRPr="00742AF4">
        <w:rPr>
          <w:color w:val="000000" w:themeColor="text1"/>
          <w:sz w:val="20"/>
          <w:szCs w:val="20"/>
          <w:lang w:val="es-ES"/>
        </w:rPr>
        <w:t xml:space="preserve"> </w:t>
      </w:r>
      <w:proofErr w:type="spellStart"/>
      <w:r w:rsidRPr="00742AF4">
        <w:rPr>
          <w:rFonts w:eastAsia="Times New Roman"/>
          <w:color w:val="000000" w:themeColor="text1"/>
          <w:sz w:val="20"/>
          <w:szCs w:val="20"/>
          <w:lang w:val="es-ES" w:eastAsia="en-US"/>
        </w:rPr>
        <w:t>Peace</w:t>
      </w:r>
      <w:proofErr w:type="spellEnd"/>
      <w:r w:rsidRPr="00742AF4">
        <w:rPr>
          <w:rFonts w:eastAsia="Times New Roman"/>
          <w:color w:val="000000" w:themeColor="text1"/>
          <w:sz w:val="20"/>
          <w:szCs w:val="20"/>
          <w:lang w:val="es-ES" w:eastAsia="en-US"/>
        </w:rPr>
        <w:t xml:space="preserve"> </w:t>
      </w:r>
      <w:proofErr w:type="spellStart"/>
      <w:r w:rsidRPr="00742AF4">
        <w:rPr>
          <w:rFonts w:eastAsia="Times New Roman"/>
          <w:color w:val="000000" w:themeColor="text1"/>
          <w:sz w:val="20"/>
          <w:szCs w:val="20"/>
          <w:lang w:val="es-ES" w:eastAsia="en-US"/>
        </w:rPr>
        <w:t>deal</w:t>
      </w:r>
      <w:proofErr w:type="spellEnd"/>
      <w:r w:rsidRPr="00742AF4">
        <w:rPr>
          <w:rFonts w:eastAsia="Times New Roman"/>
          <w:color w:val="000000" w:themeColor="text1"/>
          <w:sz w:val="20"/>
          <w:szCs w:val="20"/>
          <w:lang w:val="es-ES" w:eastAsia="en-US"/>
        </w:rPr>
        <w:t xml:space="preserve">, </w:t>
      </w:r>
      <w:r w:rsidRPr="00742AF4">
        <w:rPr>
          <w:rFonts w:eastAsia="Times New Roman"/>
          <w:i/>
          <w:iCs/>
          <w:color w:val="000000" w:themeColor="text1"/>
          <w:sz w:val="20"/>
          <w:szCs w:val="20"/>
          <w:lang w:val="es-ES" w:eastAsia="en-US"/>
        </w:rPr>
        <w:t xml:space="preserve">Acuerdo Final para la </w:t>
      </w:r>
      <w:proofErr w:type="spellStart"/>
      <w:r w:rsidRPr="00742AF4">
        <w:rPr>
          <w:rFonts w:eastAsia="Times New Roman"/>
          <w:i/>
          <w:iCs/>
          <w:color w:val="000000" w:themeColor="text1"/>
          <w:sz w:val="20"/>
          <w:szCs w:val="20"/>
          <w:lang w:val="es-ES" w:eastAsia="en-US"/>
        </w:rPr>
        <w:t>Terminación</w:t>
      </w:r>
      <w:proofErr w:type="spellEnd"/>
      <w:r w:rsidRPr="00742AF4">
        <w:rPr>
          <w:rFonts w:eastAsia="Times New Roman"/>
          <w:i/>
          <w:iCs/>
          <w:color w:val="000000" w:themeColor="text1"/>
          <w:sz w:val="20"/>
          <w:szCs w:val="20"/>
          <w:lang w:val="es-ES" w:eastAsia="en-US"/>
        </w:rPr>
        <w:t xml:space="preserve"> del Conflicto y la </w:t>
      </w:r>
      <w:proofErr w:type="spellStart"/>
      <w:r w:rsidRPr="00742AF4">
        <w:rPr>
          <w:rFonts w:eastAsia="Times New Roman"/>
          <w:i/>
          <w:iCs/>
          <w:color w:val="000000" w:themeColor="text1"/>
          <w:sz w:val="20"/>
          <w:szCs w:val="20"/>
          <w:lang w:val="es-ES" w:eastAsia="en-US"/>
        </w:rPr>
        <w:t>Construcción</w:t>
      </w:r>
      <w:proofErr w:type="spellEnd"/>
      <w:r w:rsidRPr="00742AF4">
        <w:rPr>
          <w:rFonts w:eastAsia="Times New Roman"/>
          <w:i/>
          <w:iCs/>
          <w:color w:val="000000" w:themeColor="text1"/>
          <w:sz w:val="20"/>
          <w:szCs w:val="20"/>
          <w:lang w:val="es-ES" w:eastAsia="en-US"/>
        </w:rPr>
        <w:t xml:space="preserve"> de una Paz Estable y Duradera</w:t>
      </w:r>
      <w:r w:rsidRPr="00742AF4">
        <w:rPr>
          <w:rFonts w:eastAsia="Times New Roman"/>
          <w:color w:val="000000" w:themeColor="text1"/>
          <w:sz w:val="20"/>
          <w:szCs w:val="20"/>
          <w:lang w:val="es-ES" w:eastAsia="en-US"/>
        </w:rPr>
        <w:t xml:space="preserve">, </w:t>
      </w:r>
      <w:r w:rsidRPr="00742AF4">
        <w:rPr>
          <w:rFonts w:eastAsia="Times New Roman"/>
          <w:color w:val="000000" w:themeColor="text1"/>
          <w:sz w:val="20"/>
          <w:szCs w:val="20"/>
          <w:shd w:val="clear" w:color="auto" w:fill="FFFFFF"/>
          <w:lang w:val="es-ES" w:eastAsia="en-US"/>
        </w:rPr>
        <w:t xml:space="preserve">24 </w:t>
      </w:r>
      <w:proofErr w:type="spellStart"/>
      <w:r w:rsidRPr="00742AF4">
        <w:rPr>
          <w:rFonts w:eastAsia="Times New Roman"/>
          <w:color w:val="000000" w:themeColor="text1"/>
          <w:sz w:val="20"/>
          <w:szCs w:val="20"/>
          <w:shd w:val="clear" w:color="auto" w:fill="FFFFFF"/>
          <w:lang w:val="es-ES" w:eastAsia="en-US"/>
        </w:rPr>
        <w:t>November</w:t>
      </w:r>
      <w:proofErr w:type="spellEnd"/>
      <w:r w:rsidRPr="00742AF4">
        <w:rPr>
          <w:rFonts w:eastAsia="Times New Roman"/>
          <w:color w:val="000000" w:themeColor="text1"/>
          <w:sz w:val="20"/>
          <w:szCs w:val="20"/>
          <w:shd w:val="clear" w:color="auto" w:fill="FFFFFF"/>
          <w:lang w:val="es-ES" w:eastAsia="en-US"/>
        </w:rPr>
        <w:t xml:space="preserve"> 2016, </w:t>
      </w:r>
      <w:proofErr w:type="spellStart"/>
      <w:r w:rsidRPr="00742AF4">
        <w:rPr>
          <w:rFonts w:eastAsia="Times New Roman"/>
          <w:color w:val="000000" w:themeColor="text1"/>
          <w:sz w:val="20"/>
          <w:szCs w:val="20"/>
          <w:lang w:val="es-ES" w:eastAsia="en-US"/>
        </w:rPr>
        <w:t>section</w:t>
      </w:r>
      <w:proofErr w:type="spellEnd"/>
      <w:r w:rsidRPr="00742AF4">
        <w:rPr>
          <w:rFonts w:eastAsia="Times New Roman"/>
          <w:color w:val="000000" w:themeColor="text1"/>
          <w:sz w:val="20"/>
          <w:szCs w:val="20"/>
          <w:lang w:val="es-ES" w:eastAsia="en-US"/>
        </w:rPr>
        <w:t xml:space="preserve"> 5, </w:t>
      </w:r>
      <w:proofErr w:type="spellStart"/>
      <w:r w:rsidRPr="00742AF4">
        <w:rPr>
          <w:rFonts w:eastAsia="Times New Roman"/>
          <w:color w:val="000000" w:themeColor="text1"/>
          <w:sz w:val="20"/>
          <w:szCs w:val="20"/>
          <w:lang w:val="es-ES" w:eastAsia="en-US"/>
        </w:rPr>
        <w:t>available</w:t>
      </w:r>
      <w:proofErr w:type="spellEnd"/>
      <w:r w:rsidRPr="00742AF4">
        <w:rPr>
          <w:rFonts w:eastAsia="Times New Roman"/>
          <w:color w:val="000000" w:themeColor="text1"/>
          <w:sz w:val="20"/>
          <w:szCs w:val="20"/>
          <w:lang w:val="es-ES" w:eastAsia="en-US"/>
        </w:rPr>
        <w:t xml:space="preserve"> at http://www.altocomisionadoparalapaz.gov.co/procesos-y- conversaciones/Documentos%20compartidos/24-11-2016NuevoAcuerdoFinal.pdf, </w:t>
      </w:r>
      <w:proofErr w:type="spellStart"/>
      <w:r w:rsidRPr="00742AF4">
        <w:rPr>
          <w:rFonts w:eastAsia="Times New Roman"/>
          <w:color w:val="000000" w:themeColor="text1"/>
          <w:sz w:val="20"/>
          <w:szCs w:val="20"/>
          <w:lang w:val="es-ES" w:eastAsia="en-US"/>
        </w:rPr>
        <w:t>last</w:t>
      </w:r>
      <w:proofErr w:type="spellEnd"/>
      <w:r w:rsidRPr="00742AF4">
        <w:rPr>
          <w:rFonts w:eastAsia="Times New Roman"/>
          <w:color w:val="000000" w:themeColor="text1"/>
          <w:sz w:val="20"/>
          <w:szCs w:val="20"/>
          <w:lang w:val="es-ES" w:eastAsia="en-US"/>
        </w:rPr>
        <w:t xml:space="preserve"> </w:t>
      </w:r>
      <w:proofErr w:type="spellStart"/>
      <w:r w:rsidRPr="00742AF4">
        <w:rPr>
          <w:rFonts w:eastAsia="Times New Roman"/>
          <w:color w:val="000000" w:themeColor="text1"/>
          <w:sz w:val="20"/>
          <w:szCs w:val="20"/>
          <w:lang w:val="es-ES" w:eastAsia="en-US"/>
        </w:rPr>
        <w:t>accessed</w:t>
      </w:r>
      <w:proofErr w:type="spellEnd"/>
      <w:r w:rsidRPr="00742AF4">
        <w:rPr>
          <w:rFonts w:eastAsia="Times New Roman"/>
          <w:color w:val="000000" w:themeColor="text1"/>
          <w:sz w:val="20"/>
          <w:szCs w:val="20"/>
          <w:lang w:val="es-ES" w:eastAsia="en-US"/>
        </w:rPr>
        <w:t xml:space="preserve"> 22 </w:t>
      </w:r>
      <w:proofErr w:type="spellStart"/>
      <w:r w:rsidRPr="00742AF4">
        <w:rPr>
          <w:rFonts w:eastAsia="Times New Roman"/>
          <w:color w:val="000000" w:themeColor="text1"/>
          <w:sz w:val="20"/>
          <w:szCs w:val="20"/>
          <w:lang w:val="es-ES" w:eastAsia="en-US"/>
        </w:rPr>
        <w:t>July</w:t>
      </w:r>
      <w:proofErr w:type="spellEnd"/>
      <w:r w:rsidRPr="00742AF4">
        <w:rPr>
          <w:rFonts w:eastAsia="Times New Roman"/>
          <w:color w:val="000000" w:themeColor="text1"/>
          <w:sz w:val="20"/>
          <w:szCs w:val="20"/>
          <w:lang w:val="es-ES" w:eastAsia="en-US"/>
        </w:rPr>
        <w:t xml:space="preserve"> 2019.</w:t>
      </w:r>
    </w:p>
  </w:footnote>
  <w:footnote w:id="116">
    <w:p w14:paraId="7804A9E9" w14:textId="2C1447EA" w:rsidR="00CA0596" w:rsidRPr="00742AF4" w:rsidRDefault="00CA0596">
      <w:pPr>
        <w:jc w:val="both"/>
        <w:rPr>
          <w:color w:val="000000" w:themeColor="text1"/>
          <w:sz w:val="20"/>
          <w:szCs w:val="20"/>
          <w:lang w:val="en-US"/>
        </w:rPr>
      </w:pPr>
      <w:r w:rsidRPr="00742AF4">
        <w:rPr>
          <w:rStyle w:val="FootnoteReference"/>
          <w:rFonts w:eastAsiaTheme="minorEastAsia"/>
          <w:color w:val="000000" w:themeColor="text1"/>
          <w:sz w:val="20"/>
          <w:szCs w:val="20"/>
        </w:rPr>
        <w:footnoteRef/>
      </w:r>
      <w:r w:rsidRPr="00742AF4">
        <w:rPr>
          <w:color w:val="000000" w:themeColor="text1"/>
          <w:sz w:val="20"/>
          <w:szCs w:val="20"/>
          <w:lang w:val="en-US"/>
        </w:rPr>
        <w:t xml:space="preserve"> Article 18 of the law No. 1</w:t>
      </w:r>
      <w:r w:rsidRPr="00742AF4">
        <w:rPr>
          <w:color w:val="000000" w:themeColor="text1"/>
          <w:sz w:val="20"/>
          <w:szCs w:val="20"/>
          <w:shd w:val="clear" w:color="auto" w:fill="FFFFFF"/>
          <w:lang w:val="en-US"/>
        </w:rPr>
        <w:t xml:space="preserve"> on the creation of the ‘Integral System of Truth, Justice, Reparation and Non-repetition</w:t>
      </w:r>
      <w:r w:rsidRPr="00742AF4">
        <w:rPr>
          <w:color w:val="000000" w:themeColor="text1"/>
          <w:sz w:val="20"/>
          <w:szCs w:val="20"/>
          <w:lang w:val="en-US"/>
        </w:rPr>
        <w:t xml:space="preserve">, </w:t>
      </w:r>
      <w:r w:rsidRPr="00742AF4">
        <w:rPr>
          <w:bCs/>
          <w:color w:val="000000" w:themeColor="text1"/>
          <w:sz w:val="20"/>
          <w:szCs w:val="20"/>
          <w:lang w:val="en-US"/>
        </w:rPr>
        <w:t xml:space="preserve">4 April 2017, available at </w:t>
      </w:r>
      <w:hyperlink r:id="rId12" w:history="1">
        <w:r w:rsidRPr="00742AF4">
          <w:rPr>
            <w:rStyle w:val="Hyperlink"/>
            <w:color w:val="000000" w:themeColor="text1"/>
            <w:sz w:val="20"/>
            <w:szCs w:val="20"/>
            <w:u w:val="none"/>
            <w:lang w:val="en-US"/>
          </w:rPr>
          <w:t>http://es.presidencia.gov.co/normativa/normativa/ACTO%20LEGISLATIVO%20N%C2%B0%2001%20DE%204%20DE%20ABRIL%20DE%202017.pdf</w:t>
        </w:r>
      </w:hyperlink>
      <w:r w:rsidRPr="00742AF4">
        <w:rPr>
          <w:color w:val="000000" w:themeColor="text1"/>
          <w:sz w:val="20"/>
          <w:szCs w:val="20"/>
          <w:lang w:val="en-US"/>
        </w:rPr>
        <w:t>, last accessed 22 July 2019.</w:t>
      </w:r>
    </w:p>
  </w:footnote>
  <w:footnote w:id="117">
    <w:p w14:paraId="65F74A73" w14:textId="44B78346" w:rsidR="00CA0596" w:rsidRPr="00742AF4" w:rsidRDefault="00CA0596">
      <w:pPr>
        <w:shd w:val="clear" w:color="auto" w:fill="FFFFFF"/>
        <w:jc w:val="both"/>
        <w:textAlignment w:val="baseline"/>
        <w:outlineLvl w:val="0"/>
        <w:rPr>
          <w:rFonts w:eastAsia="Calibri"/>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w:t>
      </w:r>
      <w:r w:rsidRPr="00742AF4">
        <w:rPr>
          <w:rFonts w:eastAsia="Calibri"/>
          <w:color w:val="000000" w:themeColor="text1"/>
          <w:sz w:val="20"/>
          <w:szCs w:val="20"/>
          <w:lang w:val="en-US"/>
        </w:rPr>
        <w:t xml:space="preserve">‘Colombia's FARC concludes weapons disarmament’, BBC News, available at </w:t>
      </w:r>
      <w:hyperlink r:id="rId13" w:history="1">
        <w:r w:rsidRPr="00742AF4">
          <w:rPr>
            <w:rStyle w:val="Hyperlink"/>
            <w:rFonts w:eastAsia="Calibri"/>
            <w:color w:val="000000" w:themeColor="text1"/>
            <w:sz w:val="20"/>
            <w:szCs w:val="20"/>
            <w:u w:val="none"/>
            <w:lang w:val="en-US"/>
          </w:rPr>
          <w:t>http://www.bbc.com/news/world-latin-america-40944329</w:t>
        </w:r>
      </w:hyperlink>
      <w:r w:rsidRPr="00742AF4">
        <w:rPr>
          <w:rFonts w:eastAsia="Calibri"/>
          <w:color w:val="000000" w:themeColor="text1"/>
          <w:sz w:val="20"/>
          <w:szCs w:val="20"/>
          <w:lang w:val="en-US"/>
        </w:rPr>
        <w:t>, last accessed 10 December 2018.</w:t>
      </w:r>
    </w:p>
  </w:footnote>
  <w:footnote w:id="118">
    <w:p w14:paraId="54E7A6EC" w14:textId="27C63963" w:rsidR="00CA0596" w:rsidRPr="00742AF4" w:rsidRDefault="00CA0596">
      <w:pPr>
        <w:pStyle w:val="FootnoteText"/>
        <w:jc w:val="both"/>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More information is available on the website of the university: </w:t>
      </w:r>
      <w:hyperlink r:id="rId14" w:history="1">
        <w:r w:rsidRPr="00742AF4">
          <w:rPr>
            <w:rStyle w:val="Hyperlink"/>
            <w:rFonts w:ascii="Times New Roman" w:hAnsi="Times New Roman" w:cs="Times New Roman"/>
            <w:color w:val="000000" w:themeColor="text1"/>
            <w:u w:val="none"/>
            <w:lang w:val="en-US"/>
          </w:rPr>
          <w:t>http://www.uwindsor.ca/dailynews/2017-10-10/putting-reconciliation-practice-aim-arts-project</w:t>
        </w:r>
      </w:hyperlink>
      <w:r w:rsidRPr="00742AF4">
        <w:rPr>
          <w:rFonts w:ascii="Times New Roman" w:hAnsi="Times New Roman" w:cs="Times New Roman"/>
          <w:color w:val="000000" w:themeColor="text1"/>
          <w:lang w:val="en-US"/>
        </w:rPr>
        <w:t>, last accessed 23 March 2019.</w:t>
      </w:r>
    </w:p>
  </w:footnote>
  <w:footnote w:id="119">
    <w:p w14:paraId="03954C46" w14:textId="0C06EFB1"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Information available at </w:t>
      </w:r>
      <w:hyperlink r:id="rId15" w:history="1">
        <w:r w:rsidRPr="00742AF4">
          <w:rPr>
            <w:rStyle w:val="Hyperlink"/>
            <w:rFonts w:ascii="Times New Roman" w:hAnsi="Times New Roman" w:cs="Times New Roman"/>
            <w:color w:val="000000" w:themeColor="text1"/>
            <w:u w:val="none"/>
            <w:lang w:val="en-US"/>
          </w:rPr>
          <w:t>https://www.kcl.ac.uk/sspp/departments/warstudies/news/newsrecords/Art-and-Reconciliation.aspx</w:t>
        </w:r>
      </w:hyperlink>
      <w:r w:rsidRPr="00742AF4">
        <w:rPr>
          <w:rFonts w:ascii="Times New Roman" w:hAnsi="Times New Roman" w:cs="Times New Roman"/>
          <w:color w:val="000000" w:themeColor="text1"/>
          <w:lang w:val="en-US"/>
        </w:rPr>
        <w:t>, last accessed 23 March 2019.</w:t>
      </w:r>
    </w:p>
  </w:footnote>
  <w:footnote w:id="120">
    <w:p w14:paraId="4F2C7926" w14:textId="540668D8"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More information is available at </w:t>
      </w:r>
      <w:hyperlink r:id="rId16" w:history="1">
        <w:r w:rsidRPr="00742AF4">
          <w:rPr>
            <w:rStyle w:val="Hyperlink"/>
            <w:rFonts w:ascii="Times New Roman" w:hAnsi="Times New Roman" w:cs="Times New Roman"/>
            <w:color w:val="000000" w:themeColor="text1"/>
            <w:u w:val="none"/>
          </w:rPr>
          <w:t>http://www.artij.org</w:t>
        </w:r>
      </w:hyperlink>
      <w:r w:rsidRPr="00742AF4">
        <w:rPr>
          <w:rFonts w:ascii="Times New Roman" w:hAnsi="Times New Roman" w:cs="Times New Roman"/>
          <w:color w:val="000000" w:themeColor="text1"/>
        </w:rPr>
        <w:t xml:space="preserve">, last accessed </w:t>
      </w:r>
      <w:r w:rsidRPr="00742AF4">
        <w:rPr>
          <w:rFonts w:ascii="Times New Roman" w:hAnsi="Times New Roman" w:cs="Times New Roman"/>
          <w:color w:val="000000" w:themeColor="text1"/>
          <w:lang w:val="en-US"/>
        </w:rPr>
        <w:t>23 July 2019.</w:t>
      </w:r>
    </w:p>
  </w:footnote>
  <w:footnote w:id="121">
    <w:p w14:paraId="74EA8ECB" w14:textId="7A1932D0"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ARTIJ Symposium ‘Art and International Courts’, published 25 June – 4 July 2019, available at </w:t>
      </w:r>
      <w:hyperlink r:id="rId17" w:anchor="12" w:history="1">
        <w:r w:rsidRPr="00742AF4">
          <w:rPr>
            <w:rStyle w:val="Hyperlink"/>
            <w:rFonts w:ascii="Times New Roman" w:hAnsi="Times New Roman" w:cs="Times New Roman"/>
            <w:color w:val="000000" w:themeColor="text1"/>
          </w:rPr>
          <w:t>https://artij.org/en/blog.html#12</w:t>
        </w:r>
      </w:hyperlink>
      <w:r w:rsidRPr="00742AF4">
        <w:rPr>
          <w:rFonts w:ascii="Times New Roman" w:hAnsi="Times New Roman" w:cs="Times New Roman"/>
          <w:color w:val="000000" w:themeColor="text1"/>
        </w:rPr>
        <w:t>, last accessed 13 July 2019.</w:t>
      </w:r>
    </w:p>
  </w:footnote>
  <w:footnote w:id="122">
    <w:p w14:paraId="55FB7DDB" w14:textId="7956A0CA" w:rsidR="00CA0596" w:rsidRPr="00742AF4" w:rsidRDefault="00CA0596">
      <w:pPr>
        <w:pStyle w:val="Heading1"/>
        <w:shd w:val="clear" w:color="auto" w:fill="FFFFFF"/>
        <w:spacing w:before="0"/>
        <w:ind w:right="119"/>
        <w:jc w:val="both"/>
        <w:textAlignment w:val="baseline"/>
        <w:rPr>
          <w:rFonts w:ascii="Times New Roman" w:hAnsi="Times New Roman" w:cs="Times New Roman"/>
          <w:bCs/>
          <w:color w:val="000000" w:themeColor="text1"/>
          <w:sz w:val="20"/>
          <w:szCs w:val="20"/>
          <w:lang w:eastAsia="en-GB"/>
        </w:rPr>
      </w:pPr>
      <w:r w:rsidRPr="00742AF4">
        <w:rPr>
          <w:rStyle w:val="FootnoteReference"/>
          <w:rFonts w:ascii="Times New Roman" w:hAnsi="Times New Roman" w:cs="Times New Roman"/>
          <w:color w:val="000000" w:themeColor="text1"/>
          <w:sz w:val="20"/>
          <w:szCs w:val="20"/>
        </w:rPr>
        <w:footnoteRef/>
      </w:r>
      <w:r w:rsidRPr="00742AF4">
        <w:rPr>
          <w:rFonts w:ascii="Times New Roman" w:hAnsi="Times New Roman" w:cs="Times New Roman"/>
          <w:color w:val="000000" w:themeColor="text1"/>
          <w:sz w:val="20"/>
          <w:szCs w:val="20"/>
        </w:rPr>
        <w:t xml:space="preserve"> </w:t>
      </w:r>
      <w:r w:rsidRPr="00742AF4">
        <w:rPr>
          <w:rFonts w:ascii="Times New Roman" w:hAnsi="Times New Roman" w:cs="Times New Roman"/>
          <w:color w:val="000000" w:themeColor="text1"/>
          <w:sz w:val="20"/>
          <w:szCs w:val="20"/>
          <w:lang w:eastAsia="en-GB"/>
        </w:rPr>
        <w:t xml:space="preserve">J. </w:t>
      </w:r>
      <w:proofErr w:type="spellStart"/>
      <w:r w:rsidRPr="00742AF4">
        <w:rPr>
          <w:rFonts w:ascii="Times New Roman" w:hAnsi="Times New Roman" w:cs="Times New Roman"/>
          <w:color w:val="000000" w:themeColor="text1"/>
          <w:sz w:val="20"/>
          <w:szCs w:val="20"/>
          <w:lang w:eastAsia="en-GB"/>
        </w:rPr>
        <w:t>Carr</w:t>
      </w:r>
      <w:proofErr w:type="spellEnd"/>
      <w:r w:rsidRPr="00742AF4">
        <w:rPr>
          <w:rFonts w:ascii="Times New Roman" w:hAnsi="Times New Roman" w:cs="Times New Roman"/>
          <w:color w:val="000000" w:themeColor="text1"/>
          <w:sz w:val="20"/>
          <w:szCs w:val="20"/>
          <w:lang w:eastAsia="en-GB"/>
        </w:rPr>
        <w:t xml:space="preserve">, ‘On “Legislative Art”: Laurie Jo Reynolds and </w:t>
      </w:r>
      <w:proofErr w:type="spellStart"/>
      <w:r w:rsidRPr="00742AF4">
        <w:rPr>
          <w:rFonts w:ascii="Times New Roman" w:hAnsi="Times New Roman" w:cs="Times New Roman"/>
          <w:color w:val="000000" w:themeColor="text1"/>
          <w:sz w:val="20"/>
          <w:szCs w:val="20"/>
          <w:lang w:eastAsia="en-GB"/>
        </w:rPr>
        <w:t>Tamms</w:t>
      </w:r>
      <w:proofErr w:type="spellEnd"/>
      <w:r w:rsidRPr="00742AF4">
        <w:rPr>
          <w:rFonts w:ascii="Times New Roman" w:hAnsi="Times New Roman" w:cs="Times New Roman"/>
          <w:color w:val="000000" w:themeColor="text1"/>
          <w:sz w:val="20"/>
          <w:szCs w:val="20"/>
          <w:lang w:eastAsia="en-GB"/>
        </w:rPr>
        <w:t xml:space="preserve"> Year Ten’, </w:t>
      </w:r>
      <w:r w:rsidRPr="00742AF4">
        <w:rPr>
          <w:rFonts w:ascii="Times New Roman" w:hAnsi="Times New Roman" w:cs="Times New Roman"/>
          <w:i/>
          <w:color w:val="000000" w:themeColor="text1"/>
          <w:sz w:val="20"/>
          <w:szCs w:val="20"/>
          <w:lang w:eastAsia="en-GB"/>
        </w:rPr>
        <w:t>The Brooklyn Quarterly</w:t>
      </w:r>
      <w:r w:rsidRPr="00742AF4">
        <w:rPr>
          <w:rFonts w:ascii="Times New Roman" w:hAnsi="Times New Roman" w:cs="Times New Roman"/>
          <w:color w:val="000000" w:themeColor="text1"/>
          <w:sz w:val="20"/>
          <w:szCs w:val="20"/>
          <w:lang w:eastAsia="en-GB"/>
        </w:rPr>
        <w:t xml:space="preserve">, issue 8, available at </w:t>
      </w:r>
      <w:r w:rsidRPr="00742AF4">
        <w:rPr>
          <w:rStyle w:val="Hyperlink"/>
          <w:rFonts w:ascii="Times New Roman" w:hAnsi="Times New Roman" w:cs="Times New Roman"/>
          <w:color w:val="000000" w:themeColor="text1"/>
          <w:sz w:val="20"/>
          <w:szCs w:val="20"/>
          <w:u w:val="none"/>
          <w:lang w:eastAsia="en-GB"/>
        </w:rPr>
        <w:t>http://brooklynquarterly.org/on-legislative-art-laurie-jo-reynolds-and-tamms-year-ten</w:t>
      </w:r>
      <w:r w:rsidRPr="00742AF4">
        <w:rPr>
          <w:rFonts w:ascii="Times New Roman" w:hAnsi="Times New Roman" w:cs="Times New Roman"/>
          <w:color w:val="000000" w:themeColor="text1"/>
          <w:sz w:val="20"/>
          <w:szCs w:val="20"/>
          <w:lang w:eastAsia="en-GB"/>
        </w:rPr>
        <w:t xml:space="preserve">/, last accessed </w:t>
      </w:r>
      <w:r w:rsidRPr="00742AF4">
        <w:rPr>
          <w:rFonts w:ascii="Times New Roman" w:eastAsiaTheme="minorHAnsi" w:hAnsi="Times New Roman" w:cs="Times New Roman"/>
          <w:color w:val="000000" w:themeColor="text1"/>
          <w:sz w:val="20"/>
          <w:szCs w:val="20"/>
        </w:rPr>
        <w:t>23 March 2019.</w:t>
      </w:r>
    </w:p>
  </w:footnote>
  <w:footnote w:id="123">
    <w:p w14:paraId="17839924" w14:textId="598FF40F"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i/>
          <w:color w:val="000000" w:themeColor="text1"/>
          <w:lang w:val="en-US"/>
        </w:rPr>
        <w:t>Prosecutor v. Lubanga</w:t>
      </w:r>
      <w:r w:rsidRPr="00742AF4">
        <w:rPr>
          <w:rFonts w:ascii="Times New Roman" w:hAnsi="Times New Roman" w:cs="Times New Roman"/>
          <w:color w:val="000000" w:themeColor="text1"/>
          <w:lang w:val="en-US"/>
        </w:rPr>
        <w:t xml:space="preserve">, Filing regarding symbolic collective reparations projects, </w:t>
      </w:r>
      <w:r w:rsidRPr="00742AF4">
        <w:rPr>
          <w:rFonts w:ascii="Times New Roman" w:hAnsi="Times New Roman" w:cs="Times New Roman"/>
          <w:bCs/>
          <w:color w:val="000000" w:themeColor="text1"/>
          <w:lang w:val="en-US" w:eastAsia="es-ES"/>
        </w:rPr>
        <w:t>ICC-01/04-01/06, 19 September 2016, paras. 22 et sq.</w:t>
      </w:r>
    </w:p>
  </w:footnote>
  <w:footnote w:id="124">
    <w:p w14:paraId="4F9ACB13" w14:textId="77777777" w:rsidR="00CA0596" w:rsidRPr="00742AF4" w:rsidRDefault="00CA0596">
      <w:pPr>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w:t>
      </w:r>
      <w:r w:rsidRPr="00742AF4">
        <w:rPr>
          <w:iCs/>
          <w:color w:val="000000" w:themeColor="text1"/>
          <w:sz w:val="20"/>
          <w:szCs w:val="20"/>
          <w:lang w:val="en-US"/>
        </w:rPr>
        <w:t>Promotion of National Unity and Reconciliation Act</w:t>
      </w:r>
      <w:r w:rsidRPr="00742AF4">
        <w:rPr>
          <w:color w:val="000000" w:themeColor="text1"/>
          <w:sz w:val="20"/>
          <w:szCs w:val="20"/>
          <w:shd w:val="clear" w:color="auto" w:fill="FFFFFF"/>
          <w:lang w:val="en-US"/>
        </w:rPr>
        <w:t>, No. 34 of 1995.</w:t>
      </w:r>
    </w:p>
  </w:footnote>
  <w:footnote w:id="125">
    <w:p w14:paraId="1B03E777" w14:textId="77777777" w:rsidR="00CA0596" w:rsidRPr="00742AF4" w:rsidRDefault="00CA0596" w:rsidP="00711706">
      <w:pPr>
        <w:pStyle w:val="Heading1"/>
        <w:spacing w:before="0"/>
        <w:rPr>
          <w:rFonts w:ascii="Times New Roman" w:eastAsiaTheme="minorHAnsi" w:hAnsi="Times New Roman" w:cs="Times New Roman"/>
          <w:color w:val="000000" w:themeColor="text1"/>
          <w:sz w:val="20"/>
          <w:szCs w:val="20"/>
        </w:rPr>
      </w:pPr>
      <w:r w:rsidRPr="00742AF4">
        <w:rPr>
          <w:rStyle w:val="FootnoteReference"/>
          <w:rFonts w:ascii="Times New Roman" w:eastAsiaTheme="minorHAnsi" w:hAnsi="Times New Roman" w:cs="Times New Roman"/>
          <w:color w:val="000000" w:themeColor="text1"/>
          <w:sz w:val="20"/>
          <w:szCs w:val="20"/>
        </w:rPr>
        <w:footnoteRef/>
      </w:r>
      <w:r w:rsidRPr="00742AF4">
        <w:rPr>
          <w:rStyle w:val="FootnoteReference"/>
          <w:rFonts w:ascii="Times New Roman" w:eastAsiaTheme="minorHAnsi" w:hAnsi="Times New Roman" w:cs="Times New Roman"/>
          <w:color w:val="000000" w:themeColor="text1"/>
          <w:sz w:val="20"/>
          <w:szCs w:val="20"/>
        </w:rPr>
        <w:t xml:space="preserve"> </w:t>
      </w:r>
      <w:r w:rsidRPr="00742AF4">
        <w:rPr>
          <w:rFonts w:ascii="Times New Roman" w:eastAsia="Times New Roman" w:hAnsi="Times New Roman" w:cs="Times New Roman"/>
          <w:color w:val="000000" w:themeColor="text1"/>
          <w:sz w:val="20"/>
          <w:szCs w:val="20"/>
          <w:shd w:val="clear" w:color="auto" w:fill="FFFFFF"/>
          <w:lang w:val="en-US"/>
        </w:rPr>
        <w:t> </w:t>
      </w:r>
      <w:r w:rsidRPr="00742AF4">
        <w:rPr>
          <w:rFonts w:ascii="Times New Roman" w:eastAsiaTheme="minorHAnsi" w:hAnsi="Times New Roman" w:cs="Times New Roman"/>
          <w:color w:val="000000" w:themeColor="text1"/>
          <w:sz w:val="20"/>
          <w:szCs w:val="20"/>
        </w:rPr>
        <w:t xml:space="preserve">B. McIntyre, ‘Art Inspired by the Truth and Reconciliation Commission’, 7 December 2012, available at </w:t>
      </w:r>
      <w:hyperlink r:id="rId18" w:history="1">
        <w:r w:rsidRPr="00742AF4">
          <w:rPr>
            <w:rFonts w:ascii="Times New Roman" w:eastAsiaTheme="minorHAnsi" w:hAnsi="Times New Roman" w:cs="Times New Roman"/>
            <w:color w:val="000000" w:themeColor="text1"/>
            <w:sz w:val="20"/>
            <w:szCs w:val="20"/>
          </w:rPr>
          <w:t>https://www.sahistory.org.za/archive/art-inspired-truth-and-reconciliation-commission</w:t>
        </w:r>
      </w:hyperlink>
      <w:r w:rsidRPr="00742AF4">
        <w:rPr>
          <w:rFonts w:ascii="Times New Roman" w:eastAsiaTheme="minorHAnsi" w:hAnsi="Times New Roman" w:cs="Times New Roman"/>
          <w:color w:val="000000" w:themeColor="text1"/>
          <w:sz w:val="20"/>
          <w:szCs w:val="20"/>
        </w:rPr>
        <w:t>, last accessed 23 March 2019.</w:t>
      </w:r>
    </w:p>
  </w:footnote>
  <w:footnote w:id="126">
    <w:p w14:paraId="5804D9D4" w14:textId="25E754A9"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M. K. </w:t>
      </w:r>
      <w:proofErr w:type="spellStart"/>
      <w:r w:rsidRPr="00742AF4">
        <w:rPr>
          <w:rFonts w:ascii="Times New Roman" w:hAnsi="Times New Roman" w:cs="Times New Roman"/>
          <w:color w:val="000000" w:themeColor="text1"/>
        </w:rPr>
        <w:t>Magistad</w:t>
      </w:r>
      <w:proofErr w:type="spellEnd"/>
      <w:r w:rsidRPr="00742AF4">
        <w:rPr>
          <w:rFonts w:ascii="Times New Roman" w:hAnsi="Times New Roman" w:cs="Times New Roman"/>
          <w:color w:val="000000" w:themeColor="text1"/>
        </w:rPr>
        <w:t>, ‘</w:t>
      </w:r>
      <w:r w:rsidRPr="00742AF4">
        <w:rPr>
          <w:rFonts w:ascii="Times New Roman" w:eastAsia="MS Mincho" w:hAnsi="Times New Roman" w:cs="Times New Roman"/>
          <w:color w:val="000000" w:themeColor="text1"/>
          <w:lang w:val="en-US"/>
        </w:rPr>
        <w:t xml:space="preserve">South Africa's imperfect progress, 20 years after the Truth and Reconciliation Commission’, 6 April 2017, available at </w:t>
      </w:r>
      <w:r w:rsidRPr="00742AF4">
        <w:rPr>
          <w:rFonts w:ascii="Times New Roman" w:hAnsi="Times New Roman" w:cs="Times New Roman"/>
          <w:color w:val="000000" w:themeColor="text1"/>
        </w:rPr>
        <w:t>https://www.pri.org/stories/2017-04-06/south-africas-imperfect-progress-20-years-after-truth-reconciliation-commission, last accessed 22 July 2019.</w:t>
      </w:r>
    </w:p>
  </w:footnote>
  <w:footnote w:id="127">
    <w:p w14:paraId="38AADE53" w14:textId="701316EB"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Ibid.</w:t>
      </w:r>
    </w:p>
  </w:footnote>
  <w:footnote w:id="128">
    <w:p w14:paraId="77D71987" w14:textId="6859B053"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Ibid.</w:t>
      </w:r>
    </w:p>
  </w:footnote>
  <w:footnote w:id="129">
    <w:p w14:paraId="0F442166" w14:textId="0A557F07"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Ibid, p. 3.</w:t>
      </w:r>
    </w:p>
  </w:footnote>
  <w:footnote w:id="130">
    <w:p w14:paraId="3763BC81" w14:textId="06D5B22A"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C. M. Cole, ‘Reverberations of Testimony: South Africa’s Truth and Reconciliation Commission in Art and Media’ </w:t>
      </w:r>
      <w:r w:rsidRPr="00742AF4">
        <w:rPr>
          <w:rFonts w:ascii="Times New Roman" w:hAnsi="Times New Roman" w:cs="Times New Roman"/>
          <w:color w:val="000000" w:themeColor="text1"/>
          <w:lang w:val="en-US"/>
        </w:rPr>
        <w:t xml:space="preserve">in Ramírez-Barat (ed), </w:t>
      </w:r>
      <w:r w:rsidRPr="00742AF4">
        <w:rPr>
          <w:rFonts w:ascii="Times New Roman" w:hAnsi="Times New Roman" w:cs="Times New Roman"/>
          <w:i/>
          <w:iCs/>
          <w:color w:val="000000" w:themeColor="text1"/>
          <w:lang w:val="en-US"/>
        </w:rPr>
        <w:t>supra</w:t>
      </w:r>
      <w:r w:rsidRPr="00742AF4">
        <w:rPr>
          <w:rFonts w:ascii="Times New Roman" w:hAnsi="Times New Roman" w:cs="Times New Roman"/>
          <w:color w:val="000000" w:themeColor="text1"/>
          <w:lang w:val="en-US"/>
        </w:rPr>
        <w:t xml:space="preserve"> note 14,</w:t>
      </w:r>
      <w:r w:rsidRPr="00742AF4">
        <w:rPr>
          <w:rFonts w:ascii="Times New Roman" w:hAnsi="Times New Roman" w:cs="Times New Roman"/>
          <w:color w:val="000000" w:themeColor="text1"/>
        </w:rPr>
        <w:t xml:space="preserve"> p. 398.</w:t>
      </w:r>
    </w:p>
  </w:footnote>
  <w:footnote w:id="131">
    <w:p w14:paraId="728441C6" w14:textId="36A7A2D9"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proofErr w:type="spellStart"/>
      <w:r w:rsidRPr="00742AF4">
        <w:rPr>
          <w:rFonts w:ascii="Times New Roman" w:hAnsi="Times New Roman" w:cs="Times New Roman"/>
          <w:color w:val="000000" w:themeColor="text1"/>
        </w:rPr>
        <w:t>Stepakoff</w:t>
      </w:r>
      <w:proofErr w:type="spellEnd"/>
      <w:r w:rsidRPr="00742AF4">
        <w:rPr>
          <w:rFonts w:ascii="Times New Roman" w:hAnsi="Times New Roman" w:cs="Times New Roman"/>
          <w:color w:val="000000" w:themeColor="text1"/>
        </w:rPr>
        <w:t xml:space="preserve">, </w:t>
      </w:r>
      <w:r w:rsidRPr="00742AF4">
        <w:rPr>
          <w:rFonts w:ascii="Times New Roman" w:hAnsi="Times New Roman" w:cs="Times New Roman"/>
          <w:i/>
          <w:color w:val="000000" w:themeColor="text1"/>
        </w:rPr>
        <w:t>supra</w:t>
      </w:r>
      <w:r w:rsidRPr="00742AF4">
        <w:rPr>
          <w:rFonts w:ascii="Times New Roman" w:hAnsi="Times New Roman" w:cs="Times New Roman"/>
          <w:color w:val="000000" w:themeColor="text1"/>
        </w:rPr>
        <w:t xml:space="preserve"> note 31, 412.</w:t>
      </w:r>
    </w:p>
  </w:footnote>
  <w:footnote w:id="132">
    <w:p w14:paraId="116536D0" w14:textId="581F354C"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w:t>
      </w:r>
      <w:proofErr w:type="gramStart"/>
      <w:r w:rsidRPr="00742AF4">
        <w:rPr>
          <w:rFonts w:ascii="Times New Roman" w:hAnsi="Times New Roman" w:cs="Times New Roman"/>
          <w:color w:val="000000" w:themeColor="text1"/>
          <w:lang w:val="en-US"/>
        </w:rPr>
        <w:t>Koch,</w:t>
      </w:r>
      <w:proofErr w:type="gram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color w:val="000000" w:themeColor="text1"/>
          <w:lang w:val="en-US"/>
        </w:rPr>
        <w:t xml:space="preserve">supra </w:t>
      </w:r>
      <w:r w:rsidRPr="00742AF4">
        <w:rPr>
          <w:rFonts w:ascii="Times New Roman" w:hAnsi="Times New Roman" w:cs="Times New Roman"/>
          <w:color w:val="000000" w:themeColor="text1"/>
          <w:lang w:val="en-US"/>
        </w:rPr>
        <w:t>note 47.</w:t>
      </w:r>
    </w:p>
  </w:footnote>
  <w:footnote w:id="133">
    <w:p w14:paraId="3C8135B6" w14:textId="404C95FA"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Ornstein, </w:t>
      </w:r>
      <w:r w:rsidRPr="00742AF4">
        <w:rPr>
          <w:rFonts w:ascii="Times New Roman" w:hAnsi="Times New Roman" w:cs="Times New Roman"/>
          <w:i/>
          <w:color w:val="000000" w:themeColor="text1"/>
          <w:lang w:val="en-US"/>
        </w:rPr>
        <w:t>supra</w:t>
      </w:r>
      <w:r w:rsidRPr="00742AF4">
        <w:rPr>
          <w:rFonts w:ascii="Times New Roman" w:hAnsi="Times New Roman" w:cs="Times New Roman"/>
          <w:color w:val="000000" w:themeColor="text1"/>
          <w:lang w:val="en-US"/>
        </w:rPr>
        <w:t xml:space="preserve"> note 35, 386.</w:t>
      </w:r>
    </w:p>
  </w:footnote>
  <w:footnote w:id="134">
    <w:p w14:paraId="59A5A36A" w14:textId="55226AD7"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w:t>
      </w:r>
      <w:proofErr w:type="gramStart"/>
      <w:r w:rsidRPr="00742AF4">
        <w:rPr>
          <w:rFonts w:ascii="Times New Roman" w:hAnsi="Times New Roman" w:cs="Times New Roman"/>
          <w:color w:val="000000" w:themeColor="text1"/>
          <w:lang w:val="en-US"/>
        </w:rPr>
        <w:t>McIntyre,</w:t>
      </w:r>
      <w:proofErr w:type="gram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color w:val="000000" w:themeColor="text1"/>
          <w:lang w:val="en-US"/>
        </w:rPr>
        <w:t>supra</w:t>
      </w:r>
      <w:r w:rsidRPr="00742AF4">
        <w:rPr>
          <w:rFonts w:ascii="Times New Roman" w:hAnsi="Times New Roman" w:cs="Times New Roman"/>
          <w:color w:val="000000" w:themeColor="text1"/>
          <w:lang w:val="en-US"/>
        </w:rPr>
        <w:t xml:space="preserve"> note 127. </w:t>
      </w:r>
    </w:p>
  </w:footnote>
  <w:footnote w:id="135">
    <w:p w14:paraId="4E61309C" w14:textId="7B04FCD2"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The image is reproduced with the permission of the rights owner. More information available at https://www.studiogeorgette.com/images/shouldItestify2.htm, last accessed 8 July </w:t>
      </w:r>
      <w:proofErr w:type="gramStart"/>
      <w:r w:rsidRPr="00742AF4">
        <w:rPr>
          <w:rFonts w:ascii="Times New Roman" w:hAnsi="Times New Roman" w:cs="Times New Roman"/>
          <w:color w:val="000000" w:themeColor="text1"/>
        </w:rPr>
        <w:t>2019..</w:t>
      </w:r>
      <w:proofErr w:type="gramEnd"/>
      <w:r w:rsidRPr="00742AF4">
        <w:rPr>
          <w:rFonts w:ascii="Times New Roman" w:hAnsi="Times New Roman" w:cs="Times New Roman"/>
          <w:color w:val="000000" w:themeColor="text1"/>
        </w:rPr>
        <w:t xml:space="preserve"> </w:t>
      </w:r>
    </w:p>
  </w:footnote>
  <w:footnote w:id="136">
    <w:p w14:paraId="2AF40BD1" w14:textId="1FB2136B"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A. </w:t>
      </w:r>
      <w:proofErr w:type="spellStart"/>
      <w:r w:rsidRPr="00742AF4">
        <w:rPr>
          <w:rFonts w:ascii="Times New Roman" w:hAnsi="Times New Roman" w:cs="Times New Roman"/>
          <w:color w:val="000000" w:themeColor="text1"/>
        </w:rPr>
        <w:t>Smeulers</w:t>
      </w:r>
      <w:proofErr w:type="spellEnd"/>
      <w:r w:rsidRPr="00742AF4">
        <w:rPr>
          <w:rFonts w:ascii="Times New Roman" w:hAnsi="Times New Roman" w:cs="Times New Roman"/>
          <w:color w:val="000000" w:themeColor="text1"/>
        </w:rPr>
        <w:t xml:space="preserve">, M. </w:t>
      </w:r>
      <w:proofErr w:type="spellStart"/>
      <w:r w:rsidRPr="00742AF4">
        <w:rPr>
          <w:rFonts w:ascii="Times New Roman" w:hAnsi="Times New Roman" w:cs="Times New Roman"/>
          <w:color w:val="000000" w:themeColor="text1"/>
        </w:rPr>
        <w:t>Weerdesteijn</w:t>
      </w:r>
      <w:proofErr w:type="spellEnd"/>
      <w:r w:rsidRPr="00742AF4">
        <w:rPr>
          <w:rFonts w:ascii="Times New Roman" w:hAnsi="Times New Roman" w:cs="Times New Roman"/>
          <w:color w:val="000000" w:themeColor="text1"/>
        </w:rPr>
        <w:t xml:space="preserve"> and B. Hola, </w:t>
      </w:r>
      <w:r w:rsidRPr="00742AF4">
        <w:rPr>
          <w:rFonts w:ascii="Times New Roman" w:hAnsi="Times New Roman" w:cs="Times New Roman"/>
          <w:i/>
          <w:color w:val="000000" w:themeColor="text1"/>
        </w:rPr>
        <w:t>Perpetrators of International Crimes: Theories, Methods, and Evidence</w:t>
      </w:r>
      <w:r w:rsidRPr="00742AF4">
        <w:rPr>
          <w:rFonts w:ascii="Times New Roman" w:hAnsi="Times New Roman" w:cs="Times New Roman"/>
          <w:color w:val="000000" w:themeColor="text1"/>
        </w:rPr>
        <w:t xml:space="preserve"> (Oxford University Press), forthcoming.</w:t>
      </w:r>
    </w:p>
  </w:footnote>
  <w:footnote w:id="137">
    <w:p w14:paraId="7CACEA54" w14:textId="4FA82FAE"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D. Eagleman, ‘The Brain on Trial’, </w:t>
      </w:r>
      <w:r w:rsidRPr="00742AF4">
        <w:rPr>
          <w:rFonts w:ascii="Times New Roman" w:hAnsi="Times New Roman" w:cs="Times New Roman"/>
          <w:i/>
          <w:color w:val="000000" w:themeColor="text1"/>
          <w:lang w:val="en-US"/>
        </w:rPr>
        <w:t>The Atlantic</w:t>
      </w:r>
      <w:r w:rsidRPr="00742AF4">
        <w:rPr>
          <w:rFonts w:ascii="Times New Roman" w:hAnsi="Times New Roman" w:cs="Times New Roman"/>
          <w:color w:val="000000" w:themeColor="text1"/>
          <w:lang w:val="en-US"/>
        </w:rPr>
        <w:t xml:space="preserve">, July/August 2011, available at </w:t>
      </w:r>
      <w:hyperlink r:id="rId19" w:history="1">
        <w:r w:rsidRPr="00742AF4">
          <w:rPr>
            <w:rStyle w:val="Hyperlink"/>
            <w:rFonts w:ascii="Times New Roman" w:hAnsi="Times New Roman" w:cs="Times New Roman"/>
            <w:color w:val="000000" w:themeColor="text1"/>
            <w:lang w:val="en-US"/>
          </w:rPr>
          <w:t>https://www.theatlantic.com/magazine/archive/2011/07/the-brain-on-trial/308520/</w:t>
        </w:r>
      </w:hyperlink>
      <w:r w:rsidRPr="00742AF4">
        <w:rPr>
          <w:rFonts w:ascii="Times New Roman" w:hAnsi="Times New Roman" w:cs="Times New Roman"/>
          <w:color w:val="000000" w:themeColor="text1"/>
          <w:lang w:val="en-US"/>
        </w:rPr>
        <w:t>, last accessed 23 March 2019.</w:t>
      </w:r>
    </w:p>
  </w:footnote>
  <w:footnote w:id="138">
    <w:p w14:paraId="43726300" w14:textId="04C36AE7" w:rsidR="00CA0596" w:rsidRPr="00742AF4" w:rsidRDefault="00CA0596">
      <w:pPr>
        <w:pStyle w:val="FootnoteText"/>
        <w:jc w:val="both"/>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w:t>
      </w:r>
      <w:r w:rsidRPr="00742AF4">
        <w:rPr>
          <w:rFonts w:ascii="Times New Roman" w:hAnsi="Times New Roman" w:cs="Times New Roman"/>
          <w:color w:val="000000" w:themeColor="text1"/>
        </w:rPr>
        <w:t xml:space="preserve">A, </w:t>
      </w:r>
      <w:proofErr w:type="spellStart"/>
      <w:r w:rsidRPr="00742AF4">
        <w:rPr>
          <w:rFonts w:ascii="Times New Roman" w:hAnsi="Times New Roman" w:cs="Times New Roman"/>
          <w:color w:val="000000" w:themeColor="text1"/>
        </w:rPr>
        <w:t>Isasi</w:t>
      </w:r>
      <w:proofErr w:type="spellEnd"/>
      <w:r w:rsidRPr="00742AF4">
        <w:rPr>
          <w:rFonts w:ascii="Times New Roman" w:hAnsi="Times New Roman" w:cs="Times New Roman"/>
          <w:color w:val="000000" w:themeColor="text1"/>
        </w:rPr>
        <w:t xml:space="preserve">-Díaz, </w:t>
      </w:r>
      <w:r w:rsidRPr="00742AF4">
        <w:rPr>
          <w:rFonts w:ascii="Times New Roman" w:hAnsi="Times New Roman" w:cs="Times New Roman"/>
          <w:i/>
          <w:iCs/>
          <w:color w:val="000000" w:themeColor="text1"/>
        </w:rPr>
        <w:t xml:space="preserve">La </w:t>
      </w:r>
      <w:proofErr w:type="spellStart"/>
      <w:r w:rsidRPr="00742AF4">
        <w:rPr>
          <w:rFonts w:ascii="Times New Roman" w:hAnsi="Times New Roman" w:cs="Times New Roman"/>
          <w:i/>
          <w:iCs/>
          <w:color w:val="000000" w:themeColor="text1"/>
        </w:rPr>
        <w:t>Lucha</w:t>
      </w:r>
      <w:proofErr w:type="spellEnd"/>
      <w:r w:rsidRPr="00742AF4">
        <w:rPr>
          <w:rFonts w:ascii="Times New Roman" w:hAnsi="Times New Roman" w:cs="Times New Roman"/>
          <w:i/>
          <w:iCs/>
          <w:color w:val="000000" w:themeColor="text1"/>
        </w:rPr>
        <w:t xml:space="preserve"> Continues: </w:t>
      </w:r>
      <w:proofErr w:type="spellStart"/>
      <w:r w:rsidRPr="00742AF4">
        <w:rPr>
          <w:rFonts w:ascii="Times New Roman" w:hAnsi="Times New Roman" w:cs="Times New Roman"/>
          <w:i/>
          <w:iCs/>
          <w:color w:val="000000" w:themeColor="text1"/>
        </w:rPr>
        <w:t>Mujerista</w:t>
      </w:r>
      <w:proofErr w:type="spellEnd"/>
      <w:r w:rsidRPr="00742AF4">
        <w:rPr>
          <w:rFonts w:ascii="Times New Roman" w:hAnsi="Times New Roman" w:cs="Times New Roman"/>
          <w:i/>
          <w:iCs/>
          <w:color w:val="000000" w:themeColor="text1"/>
        </w:rPr>
        <w:t xml:space="preserve"> Theology</w:t>
      </w:r>
      <w:r w:rsidRPr="00742AF4">
        <w:rPr>
          <w:rFonts w:ascii="Times New Roman" w:hAnsi="Times New Roman" w:cs="Times New Roman"/>
          <w:color w:val="000000" w:themeColor="text1"/>
        </w:rPr>
        <w:t xml:space="preserve"> (Maryknoll NY: Orbis Books, 2004), p. 203.</w:t>
      </w:r>
    </w:p>
  </w:footnote>
  <w:footnote w:id="139">
    <w:p w14:paraId="164CDE2E" w14:textId="296E00DF" w:rsidR="00CA0596" w:rsidRPr="00742AF4" w:rsidRDefault="00CA0596">
      <w:pPr>
        <w:pStyle w:val="FootnoteText"/>
        <w:jc w:val="both"/>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P. Clark, </w:t>
      </w:r>
      <w:r w:rsidRPr="00742AF4">
        <w:rPr>
          <w:rFonts w:ascii="Times New Roman" w:hAnsi="Times New Roman" w:cs="Times New Roman"/>
          <w:i/>
          <w:color w:val="000000" w:themeColor="text1"/>
        </w:rPr>
        <w:t xml:space="preserve">The Gacaca Courts, Post-Genocide Justice and Reconciliation in Rwanda: Justice Without Lawyers, </w:t>
      </w:r>
      <w:r w:rsidRPr="00742AF4">
        <w:rPr>
          <w:rFonts w:ascii="Times New Roman" w:hAnsi="Times New Roman" w:cs="Times New Roman"/>
          <w:color w:val="000000" w:themeColor="text1"/>
        </w:rPr>
        <w:t>(Cambridge University Press, 2010).</w:t>
      </w:r>
    </w:p>
  </w:footnote>
  <w:footnote w:id="140">
    <w:p w14:paraId="6FC36B3C" w14:textId="502A4B85"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w:t>
      </w:r>
      <w:r w:rsidRPr="00742AF4">
        <w:rPr>
          <w:rFonts w:ascii="Times New Roman" w:hAnsi="Times New Roman" w:cs="Times New Roman"/>
          <w:color w:val="000000" w:themeColor="text1"/>
        </w:rPr>
        <w:t xml:space="preserve">E. Baines, </w:t>
      </w:r>
      <w:r w:rsidRPr="00742AF4">
        <w:rPr>
          <w:rFonts w:ascii="Times New Roman" w:eastAsia="Times New Roman" w:hAnsi="Times New Roman" w:cs="Times New Roman"/>
          <w:i/>
          <w:color w:val="000000" w:themeColor="text1"/>
          <w:shd w:val="clear" w:color="auto" w:fill="FFFFFF"/>
        </w:rPr>
        <w:t>Buried in the Heart: Women, Complex Victimhood and the War in Northern Uganda</w:t>
      </w:r>
      <w:r w:rsidRPr="00742AF4">
        <w:rPr>
          <w:rFonts w:ascii="Times New Roman" w:hAnsi="Times New Roman" w:cs="Times New Roman"/>
          <w:i/>
          <w:color w:val="000000" w:themeColor="text1"/>
        </w:rPr>
        <w:t xml:space="preserve"> </w:t>
      </w:r>
      <w:r w:rsidRPr="00742AF4">
        <w:rPr>
          <w:rFonts w:ascii="Times New Roman" w:hAnsi="Times New Roman" w:cs="Times New Roman"/>
          <w:color w:val="000000" w:themeColor="text1"/>
        </w:rPr>
        <w:t>(Cambridge University Press, 2016)</w:t>
      </w:r>
      <w:r w:rsidRPr="00742AF4">
        <w:rPr>
          <w:rFonts w:ascii="Times New Roman" w:hAnsi="Times New Roman" w:cs="Times New Roman"/>
          <w:color w:val="000000" w:themeColor="text1"/>
          <w:lang w:val="en-US"/>
        </w:rPr>
        <w:t>, 4.</w:t>
      </w:r>
    </w:p>
  </w:footnote>
  <w:footnote w:id="141">
    <w:p w14:paraId="5731FEBF" w14:textId="52FF8588"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Ibid, p. 99 et sq.</w:t>
      </w:r>
    </w:p>
  </w:footnote>
  <w:footnote w:id="142">
    <w:p w14:paraId="1999F57A" w14:textId="24699DD6" w:rsidR="00CA0596" w:rsidRPr="00742AF4" w:rsidRDefault="00CA0596">
      <w:pPr>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Werner, </w:t>
      </w:r>
      <w:r w:rsidRPr="00742AF4">
        <w:rPr>
          <w:i/>
          <w:color w:val="000000" w:themeColor="text1"/>
          <w:sz w:val="20"/>
          <w:szCs w:val="20"/>
          <w:lang w:val="en-US"/>
        </w:rPr>
        <w:t>supra</w:t>
      </w:r>
      <w:r w:rsidRPr="00742AF4">
        <w:rPr>
          <w:color w:val="000000" w:themeColor="text1"/>
          <w:sz w:val="20"/>
          <w:szCs w:val="20"/>
          <w:lang w:val="en-US"/>
        </w:rPr>
        <w:t xml:space="preserve"> note 24.</w:t>
      </w:r>
    </w:p>
  </w:footnote>
  <w:footnote w:id="143">
    <w:p w14:paraId="2E9B3A81" w14:textId="30D8526E"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Ibid, pp. 1045-46.</w:t>
      </w:r>
    </w:p>
  </w:footnote>
  <w:footnote w:id="144">
    <w:p w14:paraId="426B19DF" w14:textId="02D8EB85" w:rsidR="00CA0596" w:rsidRPr="00742AF4" w:rsidRDefault="00CA0596">
      <w:pPr>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w:t>
      </w:r>
      <w:proofErr w:type="spellStart"/>
      <w:r w:rsidRPr="00742AF4">
        <w:rPr>
          <w:color w:val="000000" w:themeColor="text1"/>
          <w:sz w:val="20"/>
          <w:szCs w:val="20"/>
          <w:lang w:val="en-US"/>
        </w:rPr>
        <w:t>Tallgren</w:t>
      </w:r>
      <w:proofErr w:type="spellEnd"/>
      <w:r w:rsidRPr="00742AF4">
        <w:rPr>
          <w:color w:val="000000" w:themeColor="text1"/>
          <w:sz w:val="20"/>
          <w:szCs w:val="20"/>
          <w:lang w:val="en-US"/>
        </w:rPr>
        <w:t xml:space="preserve">, </w:t>
      </w:r>
      <w:r w:rsidRPr="00742AF4">
        <w:rPr>
          <w:i/>
          <w:color w:val="000000" w:themeColor="text1"/>
          <w:sz w:val="20"/>
          <w:szCs w:val="20"/>
          <w:lang w:val="en-US"/>
        </w:rPr>
        <w:t>supra</w:t>
      </w:r>
      <w:r w:rsidRPr="00742AF4">
        <w:rPr>
          <w:color w:val="000000" w:themeColor="text1"/>
          <w:sz w:val="20"/>
          <w:szCs w:val="20"/>
          <w:lang w:val="en-US"/>
        </w:rPr>
        <w:t xml:space="preserve"> note 24.</w:t>
      </w:r>
    </w:p>
  </w:footnote>
  <w:footnote w:id="145">
    <w:p w14:paraId="44ACC5E1" w14:textId="566B76FA"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Ibid, 295.</w:t>
      </w:r>
    </w:p>
  </w:footnote>
  <w:footnote w:id="146">
    <w:p w14:paraId="66E9B739" w14:textId="0138E368" w:rsidR="00CA0596" w:rsidRPr="00742AF4" w:rsidRDefault="00CA0596">
      <w:pPr>
        <w:widowControl w:val="0"/>
        <w:autoSpaceDE w:val="0"/>
        <w:autoSpaceDN w:val="0"/>
        <w:adjustRightInd w:val="0"/>
        <w:jc w:val="both"/>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G. Rose, </w:t>
      </w:r>
      <w:r w:rsidRPr="00742AF4">
        <w:rPr>
          <w:i/>
          <w:color w:val="000000" w:themeColor="text1"/>
          <w:sz w:val="20"/>
          <w:szCs w:val="20"/>
          <w:lang w:val="en-US"/>
        </w:rPr>
        <w:t>Visual Methodologies: An Introduction to Researching with Visual Materials</w:t>
      </w:r>
      <w:r w:rsidRPr="00742AF4">
        <w:rPr>
          <w:color w:val="000000" w:themeColor="text1"/>
          <w:sz w:val="20"/>
          <w:szCs w:val="20"/>
          <w:lang w:val="en-US"/>
        </w:rPr>
        <w:t xml:space="preserve"> (3</w:t>
      </w:r>
      <w:r w:rsidRPr="00742AF4">
        <w:rPr>
          <w:color w:val="000000" w:themeColor="text1"/>
          <w:sz w:val="20"/>
          <w:szCs w:val="20"/>
          <w:vertAlign w:val="superscript"/>
          <w:lang w:val="en-US"/>
        </w:rPr>
        <w:t>rd</w:t>
      </w:r>
      <w:r w:rsidRPr="00742AF4">
        <w:rPr>
          <w:color w:val="000000" w:themeColor="text1"/>
          <w:sz w:val="20"/>
          <w:szCs w:val="20"/>
          <w:lang w:val="en-US"/>
        </w:rPr>
        <w:t xml:space="preserve"> ed., Sage, 2012).</w:t>
      </w:r>
    </w:p>
  </w:footnote>
  <w:footnote w:id="147">
    <w:p w14:paraId="2F26FB6C" w14:textId="77777777" w:rsidR="00CA0596" w:rsidRPr="00742AF4" w:rsidRDefault="00CA0596">
      <w:pPr>
        <w:widowControl w:val="0"/>
        <w:autoSpaceDE w:val="0"/>
        <w:autoSpaceDN w:val="0"/>
        <w:adjustRightInd w:val="0"/>
        <w:jc w:val="both"/>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Ibid.</w:t>
      </w:r>
    </w:p>
  </w:footnote>
  <w:footnote w:id="148">
    <w:p w14:paraId="4735C3D4" w14:textId="56CFF973"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Sherwin, </w:t>
      </w:r>
      <w:r w:rsidRPr="00742AF4">
        <w:rPr>
          <w:rFonts w:ascii="Times New Roman" w:hAnsi="Times New Roman" w:cs="Times New Roman"/>
          <w:i/>
          <w:color w:val="000000" w:themeColor="text1"/>
          <w:lang w:val="en-US"/>
        </w:rPr>
        <w:t>supra</w:t>
      </w:r>
      <w:r w:rsidRPr="00742AF4">
        <w:rPr>
          <w:rFonts w:ascii="Times New Roman" w:hAnsi="Times New Roman" w:cs="Times New Roman"/>
          <w:color w:val="000000" w:themeColor="text1"/>
          <w:lang w:val="en-US"/>
        </w:rPr>
        <w:t xml:space="preserve"> note 24, pp. 187. </w:t>
      </w:r>
    </w:p>
  </w:footnote>
  <w:footnote w:id="149">
    <w:p w14:paraId="74A66D59" w14:textId="77777777"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Ibid, p. 174. </w:t>
      </w:r>
    </w:p>
  </w:footnote>
  <w:footnote w:id="150">
    <w:p w14:paraId="2FBDE2DF" w14:textId="77777777"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Ibid, p. 113.</w:t>
      </w:r>
    </w:p>
  </w:footnote>
  <w:footnote w:id="151">
    <w:p w14:paraId="6650126B" w14:textId="77777777"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Ibid, p. 177. </w:t>
      </w:r>
    </w:p>
  </w:footnote>
  <w:footnote w:id="152">
    <w:p w14:paraId="44E766CC" w14:textId="4BD7B249"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See </w:t>
      </w:r>
      <w:proofErr w:type="spellStart"/>
      <w:r w:rsidRPr="00742AF4">
        <w:rPr>
          <w:rFonts w:ascii="Times New Roman" w:hAnsi="Times New Roman" w:cs="Times New Roman"/>
          <w:color w:val="000000" w:themeColor="text1"/>
          <w:lang w:val="en-US"/>
        </w:rPr>
        <w:t>Gantheret</w:t>
      </w:r>
      <w:proofErr w:type="spellEnd"/>
      <w:r w:rsidRPr="00742AF4">
        <w:rPr>
          <w:rFonts w:ascii="Times New Roman" w:hAnsi="Times New Roman" w:cs="Times New Roman"/>
          <w:color w:val="000000" w:themeColor="text1"/>
          <w:lang w:val="en-US"/>
        </w:rPr>
        <w:t xml:space="preserve">, supra note 106; </w:t>
      </w:r>
      <w:proofErr w:type="spellStart"/>
      <w:r w:rsidRPr="00742AF4">
        <w:rPr>
          <w:rFonts w:ascii="Times New Roman" w:hAnsi="Times New Roman" w:cs="Times New Roman"/>
          <w:color w:val="000000" w:themeColor="text1"/>
          <w:lang w:val="en-US"/>
        </w:rPr>
        <w:t>Oidtmann</w:t>
      </w:r>
      <w:proofErr w:type="spellEnd"/>
      <w:r w:rsidRPr="00742AF4">
        <w:rPr>
          <w:rFonts w:ascii="Times New Roman" w:hAnsi="Times New Roman" w:cs="Times New Roman"/>
          <w:color w:val="000000" w:themeColor="text1"/>
          <w:lang w:val="en-US"/>
        </w:rPr>
        <w:t>, supra note 107.</w:t>
      </w:r>
    </w:p>
  </w:footnote>
  <w:footnote w:id="153">
    <w:p w14:paraId="73B4865A" w14:textId="03A18A19" w:rsidR="00CA0596" w:rsidRPr="00742AF4" w:rsidRDefault="00CA0596">
      <w:pPr>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w:t>
      </w:r>
      <w:proofErr w:type="gramStart"/>
      <w:r w:rsidRPr="00742AF4">
        <w:rPr>
          <w:color w:val="000000" w:themeColor="text1"/>
          <w:sz w:val="20"/>
          <w:szCs w:val="20"/>
          <w:lang w:val="en-US"/>
        </w:rPr>
        <w:t>Duffy,</w:t>
      </w:r>
      <w:proofErr w:type="gramEnd"/>
      <w:r w:rsidRPr="00742AF4">
        <w:rPr>
          <w:color w:val="000000" w:themeColor="text1"/>
          <w:sz w:val="20"/>
          <w:szCs w:val="20"/>
          <w:lang w:val="en-US"/>
        </w:rPr>
        <w:t xml:space="preserve"> </w:t>
      </w:r>
      <w:r w:rsidRPr="00742AF4">
        <w:rPr>
          <w:i/>
          <w:color w:val="000000" w:themeColor="text1"/>
          <w:sz w:val="20"/>
          <w:szCs w:val="20"/>
          <w:lang w:val="en-US"/>
        </w:rPr>
        <w:t xml:space="preserve">supra </w:t>
      </w:r>
      <w:r w:rsidRPr="00742AF4">
        <w:rPr>
          <w:color w:val="000000" w:themeColor="text1"/>
          <w:sz w:val="20"/>
          <w:szCs w:val="20"/>
          <w:lang w:val="en-US"/>
        </w:rPr>
        <w:t xml:space="preserve">note 24. </w:t>
      </w:r>
    </w:p>
  </w:footnote>
  <w:footnote w:id="154">
    <w:p w14:paraId="201B92BF" w14:textId="673B98FA" w:rsidR="00CA0596" w:rsidRPr="00742AF4" w:rsidRDefault="00CA0596">
      <w:pPr>
        <w:rPr>
          <w:color w:val="000000" w:themeColor="text1"/>
          <w:sz w:val="20"/>
          <w:szCs w:val="20"/>
          <w:lang w:val="en-US" w:eastAsia="en-GB"/>
        </w:rPr>
      </w:pPr>
      <w:r w:rsidRPr="00742AF4">
        <w:rPr>
          <w:rStyle w:val="FootnoteReference"/>
          <w:color w:val="000000" w:themeColor="text1"/>
          <w:sz w:val="20"/>
          <w:szCs w:val="20"/>
        </w:rPr>
        <w:footnoteRef/>
      </w:r>
      <w:r w:rsidRPr="00742AF4">
        <w:rPr>
          <w:color w:val="000000" w:themeColor="text1"/>
          <w:sz w:val="20"/>
          <w:szCs w:val="20"/>
          <w:lang w:val="en-US"/>
        </w:rPr>
        <w:t xml:space="preserve"> </w:t>
      </w:r>
      <w:r w:rsidRPr="00742AF4">
        <w:rPr>
          <w:color w:val="000000" w:themeColor="text1"/>
          <w:sz w:val="20"/>
          <w:szCs w:val="20"/>
          <w:lang w:val="en-US" w:eastAsia="en-GB"/>
        </w:rPr>
        <w:t>T. Adorno, </w:t>
      </w:r>
      <w:r w:rsidRPr="00742AF4">
        <w:rPr>
          <w:i/>
          <w:color w:val="000000" w:themeColor="text1"/>
          <w:sz w:val="20"/>
          <w:szCs w:val="20"/>
          <w:lang w:val="en-US" w:eastAsia="en-GB"/>
        </w:rPr>
        <w:t>Can One Live after Auschwitz? A Philosophical Reade</w:t>
      </w:r>
      <w:r w:rsidRPr="00742AF4">
        <w:rPr>
          <w:color w:val="000000" w:themeColor="text1"/>
          <w:sz w:val="20"/>
          <w:szCs w:val="20"/>
          <w:lang w:val="en-US" w:eastAsia="en-GB"/>
        </w:rPr>
        <w:t xml:space="preserve">r (Stanford University Press, 2003), p. 252 as cited by Duffy </w:t>
      </w:r>
      <w:r w:rsidRPr="00742AF4">
        <w:rPr>
          <w:i/>
          <w:color w:val="000000" w:themeColor="text1"/>
          <w:sz w:val="20"/>
          <w:szCs w:val="20"/>
          <w:lang w:val="en-US" w:eastAsia="en-GB"/>
        </w:rPr>
        <w:t>supra</w:t>
      </w:r>
      <w:r w:rsidRPr="00742AF4">
        <w:rPr>
          <w:color w:val="000000" w:themeColor="text1"/>
          <w:sz w:val="20"/>
          <w:szCs w:val="20"/>
          <w:lang w:val="en-US" w:eastAsia="en-GB"/>
        </w:rPr>
        <w:t xml:space="preserve"> note 24.</w:t>
      </w:r>
    </w:p>
  </w:footnote>
  <w:footnote w:id="155">
    <w:p w14:paraId="582AEE53" w14:textId="74689BFD"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proofErr w:type="spellStart"/>
      <w:r w:rsidRPr="00742AF4">
        <w:rPr>
          <w:rFonts w:ascii="Times New Roman" w:hAnsi="Times New Roman" w:cs="Times New Roman"/>
          <w:color w:val="000000" w:themeColor="text1"/>
        </w:rPr>
        <w:t>Elander</w:t>
      </w:r>
      <w:proofErr w:type="spellEnd"/>
      <w:r w:rsidRPr="00742AF4">
        <w:rPr>
          <w:rFonts w:ascii="Times New Roman" w:hAnsi="Times New Roman" w:cs="Times New Roman"/>
          <w:i/>
          <w:color w:val="000000" w:themeColor="text1"/>
        </w:rPr>
        <w:t>, supra</w:t>
      </w:r>
      <w:r w:rsidRPr="00742AF4">
        <w:rPr>
          <w:rFonts w:ascii="Times New Roman" w:hAnsi="Times New Roman" w:cs="Times New Roman"/>
          <w:color w:val="000000" w:themeColor="text1"/>
        </w:rPr>
        <w:t xml:space="preserve"> note 24, p. 170.</w:t>
      </w:r>
    </w:p>
  </w:footnote>
  <w:footnote w:id="156">
    <w:p w14:paraId="0205C9E3" w14:textId="36290892"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T. De Duve, ‘Art in the Face of Radical Evil’ (2008) 125 October 3 as cited by </w:t>
      </w:r>
      <w:proofErr w:type="spellStart"/>
      <w:r w:rsidRPr="00742AF4">
        <w:rPr>
          <w:rFonts w:ascii="Times New Roman" w:hAnsi="Times New Roman" w:cs="Times New Roman"/>
          <w:color w:val="000000" w:themeColor="text1"/>
        </w:rPr>
        <w:t>Elander</w:t>
      </w:r>
      <w:proofErr w:type="spellEnd"/>
      <w:r w:rsidRPr="00742AF4">
        <w:rPr>
          <w:rFonts w:ascii="Times New Roman" w:hAnsi="Times New Roman" w:cs="Times New Roman"/>
          <w:color w:val="000000" w:themeColor="text1"/>
        </w:rPr>
        <w:t xml:space="preserve">, </w:t>
      </w:r>
      <w:r w:rsidRPr="00742AF4">
        <w:rPr>
          <w:rFonts w:ascii="Times New Roman" w:hAnsi="Times New Roman" w:cs="Times New Roman"/>
          <w:i/>
          <w:iCs/>
          <w:color w:val="000000" w:themeColor="text1"/>
        </w:rPr>
        <w:t>supra</w:t>
      </w:r>
      <w:r w:rsidRPr="00742AF4">
        <w:rPr>
          <w:rFonts w:ascii="Times New Roman" w:hAnsi="Times New Roman" w:cs="Times New Roman"/>
          <w:color w:val="000000" w:themeColor="text1"/>
        </w:rPr>
        <w:t xml:space="preserve"> note 24, p. 173.</w:t>
      </w:r>
    </w:p>
  </w:footnote>
  <w:footnote w:id="157">
    <w:p w14:paraId="172473EB" w14:textId="4EBC7710"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E. </w:t>
      </w:r>
      <w:proofErr w:type="spellStart"/>
      <w:r w:rsidRPr="00742AF4">
        <w:rPr>
          <w:rFonts w:ascii="Times New Roman" w:hAnsi="Times New Roman" w:cs="Times New Roman"/>
          <w:color w:val="000000" w:themeColor="text1"/>
          <w:lang w:val="en-US"/>
        </w:rPr>
        <w:t>González</w:t>
      </w:r>
      <w:proofErr w:type="spellEnd"/>
      <w:r w:rsidRPr="00742AF4">
        <w:rPr>
          <w:rFonts w:ascii="Times New Roman" w:hAnsi="Times New Roman" w:cs="Times New Roman"/>
          <w:color w:val="000000" w:themeColor="text1"/>
          <w:lang w:val="en-US"/>
        </w:rPr>
        <w:t xml:space="preserve"> Cueva and M. F. </w:t>
      </w:r>
      <w:proofErr w:type="spellStart"/>
      <w:r w:rsidRPr="00742AF4">
        <w:rPr>
          <w:rFonts w:ascii="Times New Roman" w:hAnsi="Times New Roman" w:cs="Times New Roman"/>
          <w:color w:val="000000" w:themeColor="text1"/>
          <w:lang w:val="en-US"/>
        </w:rPr>
        <w:t>Librizzi</w:t>
      </w:r>
      <w:proofErr w:type="spellEnd"/>
      <w:r w:rsidRPr="00742AF4">
        <w:rPr>
          <w:rFonts w:ascii="Times New Roman" w:hAnsi="Times New Roman" w:cs="Times New Roman"/>
          <w:color w:val="000000" w:themeColor="text1"/>
          <w:lang w:val="en-US"/>
        </w:rPr>
        <w:t xml:space="preserve">, Photography and Transitional Justice: Evidence, Postcard, Placard, Token of Absence in Ramírez-Barat (ed), </w:t>
      </w:r>
      <w:r w:rsidRPr="00742AF4">
        <w:rPr>
          <w:rFonts w:ascii="Times New Roman" w:hAnsi="Times New Roman" w:cs="Times New Roman"/>
          <w:i/>
          <w:iCs/>
          <w:color w:val="000000" w:themeColor="text1"/>
          <w:lang w:val="en-US"/>
        </w:rPr>
        <w:t>supra</w:t>
      </w:r>
      <w:r w:rsidRPr="00742AF4">
        <w:rPr>
          <w:rFonts w:ascii="Times New Roman" w:hAnsi="Times New Roman" w:cs="Times New Roman"/>
          <w:color w:val="000000" w:themeColor="text1"/>
          <w:lang w:val="en-US"/>
        </w:rPr>
        <w:t xml:space="preserve"> note 14, p. 433.</w:t>
      </w:r>
    </w:p>
  </w:footnote>
  <w:footnote w:id="158">
    <w:p w14:paraId="331EB3E0" w14:textId="03D99EC3"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Ibid, p. 22. </w:t>
      </w:r>
    </w:p>
  </w:footnote>
  <w:footnote w:id="159">
    <w:p w14:paraId="415C7A1C" w14:textId="6C352BB3"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C. </w:t>
      </w:r>
      <w:proofErr w:type="spellStart"/>
      <w:r w:rsidRPr="00742AF4">
        <w:rPr>
          <w:rFonts w:ascii="Times New Roman" w:hAnsi="Times New Roman" w:cs="Times New Roman"/>
          <w:color w:val="000000" w:themeColor="text1"/>
        </w:rPr>
        <w:t>Schwöbel</w:t>
      </w:r>
      <w:proofErr w:type="spellEnd"/>
      <w:r w:rsidRPr="00742AF4" w:rsidDel="00D512C1">
        <w:rPr>
          <w:rFonts w:ascii="Times New Roman" w:hAnsi="Times New Roman" w:cs="Times New Roman"/>
          <w:color w:val="000000" w:themeColor="text1"/>
          <w:lang w:val="en-US"/>
        </w:rPr>
        <w:t xml:space="preserve"> </w:t>
      </w:r>
      <w:r w:rsidRPr="00742AF4">
        <w:rPr>
          <w:rFonts w:ascii="Times New Roman" w:hAnsi="Times New Roman" w:cs="Times New Roman"/>
          <w:color w:val="000000" w:themeColor="text1"/>
          <w:lang w:val="en-US"/>
        </w:rPr>
        <w:t xml:space="preserve">-Patel, ‘The ‘Ideal’ Victim of International Criminal Law,’ 29 </w:t>
      </w:r>
      <w:r w:rsidRPr="00742AF4">
        <w:rPr>
          <w:rFonts w:ascii="Times New Roman" w:hAnsi="Times New Roman" w:cs="Times New Roman"/>
          <w:i/>
          <w:color w:val="000000" w:themeColor="text1"/>
          <w:lang w:val="en-US"/>
        </w:rPr>
        <w:t>The European Journal of International Law</w:t>
      </w:r>
      <w:r w:rsidRPr="00742AF4">
        <w:rPr>
          <w:rFonts w:ascii="Times New Roman" w:hAnsi="Times New Roman" w:cs="Times New Roman"/>
          <w:color w:val="000000" w:themeColor="text1"/>
          <w:lang w:val="en-US"/>
        </w:rPr>
        <w:t>, (2018) 703, 724.</w:t>
      </w:r>
    </w:p>
  </w:footnote>
  <w:footnote w:id="160">
    <w:p w14:paraId="190F7642" w14:textId="77777777" w:rsidR="00CA0596" w:rsidRPr="00742AF4" w:rsidRDefault="00CA0596">
      <w:pPr>
        <w:widowControl w:val="0"/>
        <w:autoSpaceDE w:val="0"/>
        <w:autoSpaceDN w:val="0"/>
        <w:adjustRightInd w:val="0"/>
        <w:jc w:val="both"/>
        <w:rPr>
          <w:color w:val="000000" w:themeColor="text1"/>
          <w:sz w:val="20"/>
          <w:szCs w:val="20"/>
          <w:lang w:val="en-US"/>
        </w:rPr>
      </w:pPr>
      <w:r w:rsidRPr="00742AF4">
        <w:rPr>
          <w:rStyle w:val="FootnoteReference"/>
          <w:rFonts w:eastAsiaTheme="minorEastAsia"/>
          <w:color w:val="000000" w:themeColor="text1"/>
          <w:sz w:val="20"/>
          <w:szCs w:val="20"/>
        </w:rPr>
        <w:footnoteRef/>
      </w:r>
      <w:r w:rsidRPr="00742AF4">
        <w:rPr>
          <w:color w:val="000000" w:themeColor="text1"/>
          <w:sz w:val="20"/>
          <w:szCs w:val="20"/>
          <w:lang w:val="en-US"/>
        </w:rPr>
        <w:t xml:space="preserve"> M. Milanovic, ‘Establishing the Facts about Mass Atrocities: Accounting for the Failure of the ICTY to Persuade Target Audiences,’ 47 </w:t>
      </w:r>
      <w:r w:rsidRPr="00742AF4">
        <w:rPr>
          <w:i/>
          <w:color w:val="000000" w:themeColor="text1"/>
          <w:sz w:val="20"/>
          <w:szCs w:val="20"/>
          <w:lang w:val="en-US"/>
        </w:rPr>
        <w:t>Georgetown Journal of International Law</w:t>
      </w:r>
      <w:r w:rsidRPr="00742AF4">
        <w:rPr>
          <w:color w:val="000000" w:themeColor="text1"/>
          <w:sz w:val="20"/>
          <w:szCs w:val="20"/>
          <w:lang w:val="en-US"/>
        </w:rPr>
        <w:t xml:space="preserve"> (2016), 1321.</w:t>
      </w:r>
    </w:p>
  </w:footnote>
  <w:footnote w:id="161">
    <w:p w14:paraId="71597FBF" w14:textId="77777777" w:rsidR="00CA0596" w:rsidRPr="00742AF4" w:rsidRDefault="00CA0596">
      <w:pPr>
        <w:jc w:val="both"/>
        <w:rPr>
          <w:color w:val="000000" w:themeColor="text1"/>
          <w:sz w:val="20"/>
          <w:szCs w:val="20"/>
        </w:rPr>
      </w:pPr>
      <w:r w:rsidRPr="00742AF4">
        <w:rPr>
          <w:rStyle w:val="FootnoteReference"/>
          <w:color w:val="000000" w:themeColor="text1"/>
          <w:sz w:val="20"/>
          <w:szCs w:val="20"/>
        </w:rPr>
        <w:footnoteRef/>
      </w:r>
      <w:r w:rsidRPr="00742AF4">
        <w:rPr>
          <w:color w:val="000000" w:themeColor="text1"/>
          <w:sz w:val="20"/>
          <w:szCs w:val="20"/>
          <w:lang w:val="en-US"/>
        </w:rPr>
        <w:t xml:space="preserve">  </w:t>
      </w:r>
      <w:proofErr w:type="spellStart"/>
      <w:r w:rsidRPr="00742AF4">
        <w:rPr>
          <w:bCs/>
          <w:i/>
          <w:color w:val="000000" w:themeColor="text1"/>
          <w:sz w:val="20"/>
          <w:szCs w:val="20"/>
          <w:lang w:val="en-US"/>
        </w:rPr>
        <w:t>Mapiripán</w:t>
      </w:r>
      <w:proofErr w:type="spellEnd"/>
      <w:r w:rsidRPr="00742AF4">
        <w:rPr>
          <w:bCs/>
          <w:i/>
          <w:color w:val="000000" w:themeColor="text1"/>
          <w:sz w:val="20"/>
          <w:szCs w:val="20"/>
          <w:lang w:val="en-US"/>
        </w:rPr>
        <w:t xml:space="preserve"> Massacre v</w:t>
      </w:r>
      <w:r w:rsidRPr="00742AF4">
        <w:rPr>
          <w:i/>
          <w:color w:val="000000" w:themeColor="text1"/>
          <w:sz w:val="20"/>
          <w:szCs w:val="20"/>
          <w:shd w:val="clear" w:color="auto" w:fill="FFFFFF"/>
          <w:lang w:val="en-US"/>
        </w:rPr>
        <w:t>. </w:t>
      </w:r>
      <w:r w:rsidRPr="00742AF4">
        <w:rPr>
          <w:bCs/>
          <w:i/>
          <w:color w:val="000000" w:themeColor="text1"/>
          <w:sz w:val="20"/>
          <w:szCs w:val="20"/>
          <w:lang w:val="en-US"/>
        </w:rPr>
        <w:t>Colombia</w:t>
      </w:r>
      <w:r w:rsidRPr="00742AF4">
        <w:rPr>
          <w:color w:val="000000" w:themeColor="text1"/>
          <w:sz w:val="20"/>
          <w:szCs w:val="20"/>
          <w:shd w:val="clear" w:color="auto" w:fill="FFFFFF"/>
          <w:lang w:val="en-US"/>
        </w:rPr>
        <w:t xml:space="preserve">, Merits, reparations and costs, Inter-Am. </w:t>
      </w:r>
      <w:proofErr w:type="spellStart"/>
      <w:r w:rsidRPr="00742AF4">
        <w:rPr>
          <w:color w:val="000000" w:themeColor="text1"/>
          <w:sz w:val="20"/>
          <w:szCs w:val="20"/>
          <w:shd w:val="clear" w:color="auto" w:fill="FFFFFF"/>
        </w:rPr>
        <w:t>Ct</w:t>
      </w:r>
      <w:proofErr w:type="spellEnd"/>
      <w:r w:rsidRPr="00742AF4">
        <w:rPr>
          <w:color w:val="000000" w:themeColor="text1"/>
          <w:sz w:val="20"/>
          <w:szCs w:val="20"/>
          <w:shd w:val="clear" w:color="auto" w:fill="FFFFFF"/>
        </w:rPr>
        <w:t>. H.R., Series C No. </w:t>
      </w:r>
      <w:r w:rsidRPr="00742AF4">
        <w:rPr>
          <w:bCs/>
          <w:color w:val="000000" w:themeColor="text1"/>
          <w:sz w:val="20"/>
          <w:szCs w:val="20"/>
        </w:rPr>
        <w:t>134</w:t>
      </w:r>
      <w:r w:rsidRPr="00742AF4">
        <w:rPr>
          <w:color w:val="000000" w:themeColor="text1"/>
          <w:sz w:val="20"/>
          <w:szCs w:val="20"/>
          <w:shd w:val="clear" w:color="auto" w:fill="FFFFFF"/>
        </w:rPr>
        <w:t> (Sept. 15, </w:t>
      </w:r>
      <w:r w:rsidRPr="00742AF4">
        <w:rPr>
          <w:bCs/>
          <w:color w:val="000000" w:themeColor="text1"/>
          <w:sz w:val="20"/>
          <w:szCs w:val="20"/>
        </w:rPr>
        <w:t>2005</w:t>
      </w:r>
      <w:r w:rsidRPr="00742AF4">
        <w:rPr>
          <w:color w:val="000000" w:themeColor="text1"/>
          <w:sz w:val="20"/>
          <w:szCs w:val="20"/>
          <w:shd w:val="clear" w:color="auto" w:fill="FFFFFF"/>
        </w:rPr>
        <w:t>); IHRL 1518 (IACHR </w:t>
      </w:r>
      <w:r w:rsidRPr="00742AF4">
        <w:rPr>
          <w:bCs/>
          <w:color w:val="000000" w:themeColor="text1"/>
          <w:sz w:val="20"/>
          <w:szCs w:val="20"/>
        </w:rPr>
        <w:t>2005</w:t>
      </w:r>
      <w:r w:rsidRPr="00742AF4">
        <w:rPr>
          <w:color w:val="000000" w:themeColor="text1"/>
          <w:sz w:val="20"/>
          <w:szCs w:val="20"/>
          <w:shd w:val="clear" w:color="auto" w:fill="FFFFFF"/>
        </w:rPr>
        <w:t>).</w:t>
      </w:r>
    </w:p>
  </w:footnote>
  <w:footnote w:id="162">
    <w:p w14:paraId="1186B854" w14:textId="7CA1B92E" w:rsidR="00CA0596" w:rsidRPr="00742AF4" w:rsidRDefault="00CA0596">
      <w:pPr>
        <w:jc w:val="both"/>
        <w:rPr>
          <w:color w:val="000000" w:themeColor="text1"/>
          <w:sz w:val="20"/>
          <w:szCs w:val="20"/>
        </w:rPr>
      </w:pPr>
      <w:r w:rsidRPr="00742AF4">
        <w:rPr>
          <w:rStyle w:val="FootnoteReference"/>
          <w:color w:val="000000" w:themeColor="text1"/>
          <w:sz w:val="20"/>
          <w:szCs w:val="20"/>
        </w:rPr>
        <w:footnoteRef/>
      </w:r>
      <w:r w:rsidRPr="00742AF4">
        <w:rPr>
          <w:color w:val="000000" w:themeColor="text1"/>
          <w:sz w:val="20"/>
          <w:szCs w:val="20"/>
        </w:rPr>
        <w:t xml:space="preserve"> Destruyen el monumento de las víctimas de la masacre de </w:t>
      </w:r>
      <w:proofErr w:type="spellStart"/>
      <w:r w:rsidRPr="00742AF4">
        <w:rPr>
          <w:color w:val="000000" w:themeColor="text1"/>
          <w:sz w:val="20"/>
          <w:szCs w:val="20"/>
        </w:rPr>
        <w:t>Mapiripán</w:t>
      </w:r>
      <w:proofErr w:type="spellEnd"/>
      <w:r w:rsidRPr="00742AF4">
        <w:rPr>
          <w:color w:val="000000" w:themeColor="text1"/>
          <w:sz w:val="20"/>
          <w:szCs w:val="20"/>
        </w:rPr>
        <w:t xml:space="preserve">, 12 </w:t>
      </w:r>
      <w:proofErr w:type="spellStart"/>
      <w:r w:rsidRPr="00742AF4">
        <w:rPr>
          <w:color w:val="000000" w:themeColor="text1"/>
          <w:sz w:val="20"/>
          <w:szCs w:val="20"/>
        </w:rPr>
        <w:t>October</w:t>
      </w:r>
      <w:proofErr w:type="spellEnd"/>
      <w:r w:rsidRPr="00742AF4">
        <w:rPr>
          <w:color w:val="000000" w:themeColor="text1"/>
          <w:sz w:val="20"/>
          <w:szCs w:val="20"/>
        </w:rPr>
        <w:t xml:space="preserve"> 2017, </w:t>
      </w:r>
      <w:proofErr w:type="spellStart"/>
      <w:r w:rsidRPr="00742AF4">
        <w:rPr>
          <w:color w:val="000000" w:themeColor="text1"/>
          <w:sz w:val="20"/>
          <w:szCs w:val="20"/>
        </w:rPr>
        <w:t>available</w:t>
      </w:r>
      <w:proofErr w:type="spellEnd"/>
      <w:r w:rsidRPr="00742AF4">
        <w:rPr>
          <w:color w:val="000000" w:themeColor="text1"/>
          <w:sz w:val="20"/>
          <w:szCs w:val="20"/>
        </w:rPr>
        <w:t xml:space="preserve"> at </w:t>
      </w:r>
      <w:hyperlink r:id="rId20" w:history="1">
        <w:r w:rsidRPr="00742AF4">
          <w:rPr>
            <w:rStyle w:val="Hyperlink"/>
            <w:color w:val="000000" w:themeColor="text1"/>
            <w:sz w:val="20"/>
            <w:szCs w:val="20"/>
            <w:u w:val="none"/>
          </w:rPr>
          <w:t>http://www.eltiempo.com/justicia/investigacion/ataque-a-monumento-de-las-victimas-de-la-masacre-de-mapiripan-140566</w:t>
        </w:r>
      </w:hyperlink>
      <w:r w:rsidRPr="00742AF4">
        <w:rPr>
          <w:color w:val="000000" w:themeColor="text1"/>
          <w:sz w:val="20"/>
          <w:szCs w:val="20"/>
        </w:rPr>
        <w:t xml:space="preserve">, </w:t>
      </w:r>
      <w:proofErr w:type="spellStart"/>
      <w:r w:rsidRPr="00742AF4">
        <w:rPr>
          <w:color w:val="000000" w:themeColor="text1"/>
          <w:sz w:val="20"/>
          <w:szCs w:val="20"/>
        </w:rPr>
        <w:t>last</w:t>
      </w:r>
      <w:proofErr w:type="spellEnd"/>
      <w:r w:rsidRPr="00742AF4">
        <w:rPr>
          <w:color w:val="000000" w:themeColor="text1"/>
          <w:sz w:val="20"/>
          <w:szCs w:val="20"/>
        </w:rPr>
        <w:t xml:space="preserve"> </w:t>
      </w:r>
      <w:proofErr w:type="spellStart"/>
      <w:r w:rsidRPr="00742AF4">
        <w:rPr>
          <w:color w:val="000000" w:themeColor="text1"/>
          <w:sz w:val="20"/>
          <w:szCs w:val="20"/>
        </w:rPr>
        <w:t>accessed</w:t>
      </w:r>
      <w:proofErr w:type="spellEnd"/>
      <w:r w:rsidRPr="00742AF4">
        <w:rPr>
          <w:color w:val="000000" w:themeColor="text1"/>
          <w:sz w:val="20"/>
          <w:szCs w:val="20"/>
        </w:rPr>
        <w:t xml:space="preserve"> 23 </w:t>
      </w:r>
      <w:proofErr w:type="spellStart"/>
      <w:r w:rsidRPr="00742AF4">
        <w:rPr>
          <w:color w:val="000000" w:themeColor="text1"/>
          <w:sz w:val="20"/>
          <w:szCs w:val="20"/>
        </w:rPr>
        <w:t>March</w:t>
      </w:r>
      <w:proofErr w:type="spellEnd"/>
      <w:r w:rsidRPr="00742AF4">
        <w:rPr>
          <w:color w:val="000000" w:themeColor="text1"/>
          <w:sz w:val="20"/>
          <w:szCs w:val="20"/>
        </w:rPr>
        <w:t xml:space="preserve"> 2019.</w:t>
      </w:r>
    </w:p>
  </w:footnote>
  <w:footnote w:id="163">
    <w:p w14:paraId="53CA72E2" w14:textId="2917107F"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Style w:val="Hyperlink"/>
          <w:rFonts w:ascii="Times New Roman" w:hAnsi="Times New Roman" w:cs="Times New Roman"/>
          <w:color w:val="000000" w:themeColor="text1"/>
          <w:u w:val="none"/>
        </w:rPr>
        <w:t xml:space="preserve">See also Garnsey, </w:t>
      </w:r>
      <w:r w:rsidRPr="00742AF4">
        <w:rPr>
          <w:rStyle w:val="Hyperlink"/>
          <w:rFonts w:ascii="Times New Roman" w:hAnsi="Times New Roman" w:cs="Times New Roman"/>
          <w:i/>
          <w:iCs/>
          <w:color w:val="000000" w:themeColor="text1"/>
          <w:u w:val="none"/>
        </w:rPr>
        <w:t>supra</w:t>
      </w:r>
      <w:r w:rsidRPr="00742AF4">
        <w:rPr>
          <w:rStyle w:val="Hyperlink"/>
          <w:rFonts w:ascii="Times New Roman" w:hAnsi="Times New Roman" w:cs="Times New Roman"/>
          <w:color w:val="000000" w:themeColor="text1"/>
          <w:u w:val="none"/>
        </w:rPr>
        <w:t xml:space="preserve"> note 14</w:t>
      </w:r>
      <w:r w:rsidRPr="00742AF4">
        <w:rPr>
          <w:rStyle w:val="Hyperlink"/>
          <w:rFonts w:ascii="Times New Roman" w:hAnsi="Times New Roman" w:cs="Times New Roman"/>
          <w:color w:val="000000" w:themeColor="text1"/>
          <w:u w:val="none"/>
          <w:lang w:val="en-US"/>
        </w:rPr>
        <w:t>,</w:t>
      </w:r>
      <w:r w:rsidRPr="00742AF4">
        <w:rPr>
          <w:rStyle w:val="Hyperlink"/>
          <w:rFonts w:ascii="Times New Roman" w:hAnsi="Times New Roman" w:cs="Times New Roman"/>
          <w:color w:val="000000" w:themeColor="text1"/>
          <w:u w:val="none"/>
        </w:rPr>
        <w:t xml:space="preserve"> 476.</w:t>
      </w:r>
    </w:p>
  </w:footnote>
  <w:footnote w:id="164">
    <w:p w14:paraId="7CD2F4E3" w14:textId="6E09E516"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lang w:val="en-US"/>
        </w:rPr>
        <w:t xml:space="preserve"> M. Aksenova, E. Van </w:t>
      </w:r>
      <w:proofErr w:type="spellStart"/>
      <w:r w:rsidRPr="00742AF4">
        <w:rPr>
          <w:rFonts w:ascii="Times New Roman" w:hAnsi="Times New Roman" w:cs="Times New Roman"/>
          <w:color w:val="000000" w:themeColor="text1"/>
          <w:lang w:val="en-US"/>
        </w:rPr>
        <w:t>Sliedregt</w:t>
      </w:r>
      <w:proofErr w:type="spellEnd"/>
      <w:r w:rsidRPr="00742AF4">
        <w:rPr>
          <w:rFonts w:ascii="Times New Roman" w:hAnsi="Times New Roman" w:cs="Times New Roman"/>
          <w:color w:val="000000" w:themeColor="text1"/>
          <w:lang w:val="en-US"/>
        </w:rPr>
        <w:t xml:space="preserve"> and S. </w:t>
      </w:r>
      <w:proofErr w:type="spellStart"/>
      <w:r w:rsidRPr="00742AF4">
        <w:rPr>
          <w:rFonts w:ascii="Times New Roman" w:hAnsi="Times New Roman" w:cs="Times New Roman"/>
          <w:color w:val="000000" w:themeColor="text1"/>
          <w:lang w:val="en-US"/>
        </w:rPr>
        <w:t>Parmentier</w:t>
      </w:r>
      <w:proofErr w:type="spell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iCs/>
          <w:color w:val="000000" w:themeColor="text1"/>
          <w:lang w:val="en-US"/>
        </w:rPr>
        <w:t>Breaking the Cycle of Mass Atrocities: Criminological and Socio-Legal Approaches in International Criminal Law</w:t>
      </w:r>
      <w:r w:rsidRPr="00742AF4">
        <w:rPr>
          <w:rFonts w:ascii="Times New Roman" w:hAnsi="Times New Roman" w:cs="Times New Roman"/>
          <w:color w:val="000000" w:themeColor="text1"/>
          <w:lang w:val="en-US"/>
        </w:rPr>
        <w:t xml:space="preserve"> (Hart, 2019).</w:t>
      </w:r>
    </w:p>
  </w:footnote>
  <w:footnote w:id="165">
    <w:p w14:paraId="4EFD4C29" w14:textId="11080188" w:rsidR="00CA0596" w:rsidRPr="00742AF4" w:rsidRDefault="00CA0596">
      <w:pPr>
        <w:pStyle w:val="FootnoteText"/>
        <w:jc w:val="both"/>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A. </w:t>
      </w:r>
      <w:proofErr w:type="spellStart"/>
      <w:r w:rsidRPr="00742AF4">
        <w:rPr>
          <w:rFonts w:ascii="Times New Roman" w:hAnsi="Times New Roman" w:cs="Times New Roman"/>
          <w:color w:val="000000" w:themeColor="text1"/>
        </w:rPr>
        <w:t>Crombach</w:t>
      </w:r>
      <w:proofErr w:type="spellEnd"/>
      <w:r w:rsidRPr="00742AF4">
        <w:rPr>
          <w:rFonts w:ascii="Times New Roman" w:hAnsi="Times New Roman" w:cs="Times New Roman"/>
          <w:color w:val="000000" w:themeColor="text1"/>
        </w:rPr>
        <w:t xml:space="preserve">, </w:t>
      </w:r>
      <w:r w:rsidRPr="00742AF4">
        <w:rPr>
          <w:rFonts w:ascii="Times New Roman" w:hAnsi="Times New Roman" w:cs="Times New Roman"/>
          <w:i/>
          <w:color w:val="000000" w:themeColor="text1"/>
        </w:rPr>
        <w:t>Children and the Cycle of Violence in Post-Conflict Settings: Mental Health, Aggression, and Interventions in Burundi</w:t>
      </w:r>
      <w:r w:rsidRPr="00742AF4">
        <w:rPr>
          <w:rFonts w:ascii="Times New Roman" w:hAnsi="Times New Roman" w:cs="Times New Roman"/>
          <w:color w:val="000000" w:themeColor="text1"/>
        </w:rPr>
        <w:t>, PhD. Dissertation (University of Konstanz, 2013); xxx</w:t>
      </w:r>
    </w:p>
  </w:footnote>
  <w:footnote w:id="166">
    <w:p w14:paraId="0E700824" w14:textId="3E3E8C00"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M. Humphrey, ‘From Victim to Victimhood: Truth Commissions and Trails as Rituals of Political Transition and Individual Healing’, 2 </w:t>
      </w:r>
      <w:r w:rsidRPr="00742AF4">
        <w:rPr>
          <w:rFonts w:ascii="Times New Roman" w:hAnsi="Times New Roman" w:cs="Times New Roman"/>
          <w:i/>
          <w:color w:val="000000" w:themeColor="text1"/>
          <w:lang w:val="en-US"/>
        </w:rPr>
        <w:t xml:space="preserve">The Australian Journal of Anthropology </w:t>
      </w:r>
      <w:r w:rsidRPr="00742AF4">
        <w:rPr>
          <w:rFonts w:ascii="Times New Roman" w:hAnsi="Times New Roman" w:cs="Times New Roman"/>
          <w:color w:val="000000" w:themeColor="text1"/>
          <w:lang w:val="en-US"/>
        </w:rPr>
        <w:t>(2010), 171-187, 171</w:t>
      </w:r>
    </w:p>
  </w:footnote>
  <w:footnote w:id="167">
    <w:p w14:paraId="703E0366" w14:textId="2C77B0D6" w:rsidR="00CA0596" w:rsidRPr="00742AF4" w:rsidRDefault="00CA0596">
      <w:pPr>
        <w:pStyle w:val="FootnoteText"/>
        <w:rPr>
          <w:rFonts w:ascii="Times New Roman" w:hAnsi="Times New Roman" w:cs="Times New Roman"/>
          <w:color w:val="000000" w:themeColor="text1"/>
          <w:lang w:val="en-US"/>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w:t>
      </w:r>
      <w:r w:rsidRPr="00742AF4">
        <w:rPr>
          <w:rFonts w:ascii="Times New Roman" w:hAnsi="Times New Roman" w:cs="Times New Roman"/>
          <w:color w:val="000000" w:themeColor="text1"/>
          <w:lang w:val="en-US"/>
        </w:rPr>
        <w:t xml:space="preserve">See </w:t>
      </w:r>
      <w:proofErr w:type="spellStart"/>
      <w:r w:rsidRPr="00742AF4">
        <w:rPr>
          <w:rFonts w:ascii="Times New Roman" w:hAnsi="Times New Roman" w:cs="Times New Roman"/>
          <w:color w:val="000000" w:themeColor="text1"/>
          <w:lang w:val="en-US"/>
        </w:rPr>
        <w:t>Gantheret</w:t>
      </w:r>
      <w:proofErr w:type="spellEnd"/>
      <w:r w:rsidRPr="00742AF4">
        <w:rPr>
          <w:rFonts w:ascii="Times New Roman" w:hAnsi="Times New Roman" w:cs="Times New Roman"/>
          <w:color w:val="000000" w:themeColor="text1"/>
          <w:lang w:val="en-US"/>
        </w:rPr>
        <w:t xml:space="preserve">, </w:t>
      </w:r>
      <w:r w:rsidRPr="00742AF4">
        <w:rPr>
          <w:rFonts w:ascii="Times New Roman" w:hAnsi="Times New Roman" w:cs="Times New Roman"/>
          <w:i/>
          <w:iCs/>
          <w:color w:val="000000" w:themeColor="text1"/>
          <w:lang w:val="en-US"/>
        </w:rPr>
        <w:t>supra</w:t>
      </w:r>
      <w:r w:rsidRPr="00742AF4">
        <w:rPr>
          <w:rFonts w:ascii="Times New Roman" w:hAnsi="Times New Roman" w:cs="Times New Roman"/>
          <w:color w:val="000000" w:themeColor="text1"/>
          <w:lang w:val="en-US"/>
        </w:rPr>
        <w:t xml:space="preserve"> note 106. </w:t>
      </w:r>
    </w:p>
  </w:footnote>
  <w:footnote w:id="168">
    <w:p w14:paraId="4B84F914" w14:textId="4EDA565B" w:rsidR="00CA0596" w:rsidRPr="00742AF4" w:rsidRDefault="00CA0596">
      <w:pPr>
        <w:pStyle w:val="FootnoteText"/>
        <w:rPr>
          <w:rFonts w:ascii="Times New Roman" w:hAnsi="Times New Roman" w:cs="Times New Roman"/>
          <w:color w:val="000000" w:themeColor="text1"/>
        </w:rPr>
      </w:pPr>
      <w:r w:rsidRPr="00742AF4">
        <w:rPr>
          <w:rStyle w:val="FootnoteReference"/>
          <w:rFonts w:ascii="Times New Roman" w:hAnsi="Times New Roman" w:cs="Times New Roman"/>
          <w:color w:val="000000" w:themeColor="text1"/>
        </w:rPr>
        <w:footnoteRef/>
      </w:r>
      <w:r w:rsidRPr="00742AF4">
        <w:rPr>
          <w:rFonts w:ascii="Times New Roman" w:hAnsi="Times New Roman" w:cs="Times New Roman"/>
          <w:color w:val="000000" w:themeColor="text1"/>
        </w:rPr>
        <w:t xml:space="preserve"> Bal, </w:t>
      </w:r>
      <w:r w:rsidRPr="00742AF4">
        <w:rPr>
          <w:rFonts w:ascii="Times New Roman" w:hAnsi="Times New Roman" w:cs="Times New Roman"/>
          <w:i/>
          <w:color w:val="000000" w:themeColor="text1"/>
        </w:rPr>
        <w:t>supra</w:t>
      </w:r>
      <w:r w:rsidRPr="00742AF4">
        <w:rPr>
          <w:rFonts w:ascii="Times New Roman" w:hAnsi="Times New Roman" w:cs="Times New Roman"/>
          <w:color w:val="000000" w:themeColor="text1"/>
        </w:rPr>
        <w:t xml:space="preserve"> note 65, 253.</w:t>
      </w:r>
    </w:p>
  </w:footnote>
  <w:footnote w:id="169">
    <w:p w14:paraId="73FF9932" w14:textId="0A080293" w:rsidR="00CA0596" w:rsidRPr="00742AF4" w:rsidRDefault="00CA0596">
      <w:pPr>
        <w:widowControl w:val="0"/>
        <w:autoSpaceDE w:val="0"/>
        <w:autoSpaceDN w:val="0"/>
        <w:adjustRightInd w:val="0"/>
        <w:rPr>
          <w:color w:val="000000" w:themeColor="text1"/>
          <w:sz w:val="20"/>
          <w:szCs w:val="20"/>
          <w:lang w:val="en-US"/>
        </w:rPr>
      </w:pPr>
      <w:r w:rsidRPr="00742AF4">
        <w:rPr>
          <w:rStyle w:val="FootnoteReference"/>
          <w:color w:val="000000" w:themeColor="text1"/>
          <w:sz w:val="20"/>
          <w:szCs w:val="20"/>
        </w:rPr>
        <w:footnoteRef/>
      </w:r>
      <w:r w:rsidRPr="00742AF4">
        <w:rPr>
          <w:color w:val="000000" w:themeColor="text1"/>
          <w:sz w:val="20"/>
          <w:szCs w:val="20"/>
          <w:lang w:val="en-US"/>
        </w:rPr>
        <w:t xml:space="preserve"> A. </w:t>
      </w:r>
      <w:proofErr w:type="spellStart"/>
      <w:r w:rsidRPr="00742AF4">
        <w:rPr>
          <w:color w:val="000000" w:themeColor="text1"/>
          <w:sz w:val="20"/>
          <w:szCs w:val="20"/>
          <w:lang w:val="en-US"/>
        </w:rPr>
        <w:t>Leebaw</w:t>
      </w:r>
      <w:proofErr w:type="spellEnd"/>
      <w:r w:rsidRPr="00742AF4">
        <w:rPr>
          <w:color w:val="000000" w:themeColor="text1"/>
          <w:sz w:val="20"/>
          <w:szCs w:val="20"/>
          <w:lang w:val="en-US"/>
        </w:rPr>
        <w:t xml:space="preserve">, ‘The Irreconcilable Goals of Transitional Justice,’ </w:t>
      </w:r>
      <w:r w:rsidRPr="00742AF4">
        <w:rPr>
          <w:i/>
          <w:color w:val="000000" w:themeColor="text1"/>
          <w:sz w:val="20"/>
          <w:szCs w:val="20"/>
          <w:lang w:val="en-US"/>
        </w:rPr>
        <w:t>Human Rights Quarterly</w:t>
      </w:r>
      <w:r w:rsidRPr="00742AF4">
        <w:rPr>
          <w:color w:val="000000" w:themeColor="text1"/>
          <w:sz w:val="20"/>
          <w:szCs w:val="20"/>
          <w:lang w:val="en-US"/>
        </w:rPr>
        <w:t>, Volume 30, Number 1, February 2008, 95-118.</w:t>
      </w:r>
    </w:p>
    <w:p w14:paraId="45EF4EC4" w14:textId="02E8869B" w:rsidR="00CA0596" w:rsidRPr="00742AF4" w:rsidRDefault="00CA0596">
      <w:pPr>
        <w:pStyle w:val="FootnoteText"/>
        <w:rPr>
          <w:rFonts w:ascii="Times New Roman" w:hAnsi="Times New Roman" w:cs="Times New Roman"/>
          <w:color w:val="000000" w:themeColor="text1"/>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0533A7"/>
    <w:multiLevelType w:val="multilevel"/>
    <w:tmpl w:val="B4BE5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5A0772"/>
    <w:multiLevelType w:val="hybridMultilevel"/>
    <w:tmpl w:val="80EA35DE"/>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 w15:restartNumberingAfterBreak="0">
    <w:nsid w:val="12CE1659"/>
    <w:multiLevelType w:val="hybridMultilevel"/>
    <w:tmpl w:val="3F6A37F6"/>
    <w:lvl w:ilvl="0" w:tplc="C2A26EE2">
      <w:start w:val="1"/>
      <w:numFmt w:val="upperLetter"/>
      <w:lvlText w:val="%1."/>
      <w:lvlJc w:val="left"/>
      <w:pPr>
        <w:ind w:left="760" w:hanging="40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075AAD"/>
    <w:multiLevelType w:val="multilevel"/>
    <w:tmpl w:val="BF6AE85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73F5A11"/>
    <w:multiLevelType w:val="multilevel"/>
    <w:tmpl w:val="0BBC72E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8A4483B"/>
    <w:multiLevelType w:val="hybridMultilevel"/>
    <w:tmpl w:val="6A26C67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CF582C"/>
    <w:multiLevelType w:val="hybridMultilevel"/>
    <w:tmpl w:val="D760F4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3FC1B37"/>
    <w:multiLevelType w:val="hybridMultilevel"/>
    <w:tmpl w:val="D7FC5E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F5EF464">
      <w:start w:val="1"/>
      <w:numFmt w:val="lowerRoman"/>
      <w:lvlText w:val="%3."/>
      <w:lvlJc w:val="right"/>
      <w:pPr>
        <w:ind w:left="2160" w:hanging="180"/>
      </w:pPr>
      <w:rPr>
        <w:i/>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EBB3A14"/>
    <w:multiLevelType w:val="hybridMultilevel"/>
    <w:tmpl w:val="63369C9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13B3AB5"/>
    <w:multiLevelType w:val="hybridMultilevel"/>
    <w:tmpl w:val="B8DA232C"/>
    <w:lvl w:ilvl="0" w:tplc="5630E2CE">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413E2603"/>
    <w:multiLevelType w:val="hybridMultilevel"/>
    <w:tmpl w:val="911EA90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56F7232"/>
    <w:multiLevelType w:val="hybridMultilevel"/>
    <w:tmpl w:val="5DD07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A6F4569"/>
    <w:multiLevelType w:val="hybridMultilevel"/>
    <w:tmpl w:val="181EBD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3B1E1F"/>
    <w:multiLevelType w:val="hybridMultilevel"/>
    <w:tmpl w:val="4E68773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C83494"/>
    <w:multiLevelType w:val="hybridMultilevel"/>
    <w:tmpl w:val="88C2DB9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56A12824"/>
    <w:multiLevelType w:val="hybridMultilevel"/>
    <w:tmpl w:val="6B1ECD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0D3396F"/>
    <w:multiLevelType w:val="hybridMultilevel"/>
    <w:tmpl w:val="4FF4C1F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6DB05740"/>
    <w:multiLevelType w:val="multilevel"/>
    <w:tmpl w:val="CF0823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0583626"/>
    <w:multiLevelType w:val="multilevel"/>
    <w:tmpl w:val="0AD86898"/>
    <w:lvl w:ilvl="0">
      <w:start w:val="7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9C43479"/>
    <w:multiLevelType w:val="hybridMultilevel"/>
    <w:tmpl w:val="961092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4"/>
  </w:num>
  <w:num w:numId="3">
    <w:abstractNumId w:val="15"/>
  </w:num>
  <w:num w:numId="4">
    <w:abstractNumId w:val="11"/>
  </w:num>
  <w:num w:numId="5">
    <w:abstractNumId w:val="8"/>
  </w:num>
  <w:num w:numId="6">
    <w:abstractNumId w:val="19"/>
  </w:num>
  <w:num w:numId="7">
    <w:abstractNumId w:val="12"/>
  </w:num>
  <w:num w:numId="8">
    <w:abstractNumId w:val="1"/>
  </w:num>
  <w:num w:numId="9">
    <w:abstractNumId w:val="16"/>
  </w:num>
  <w:num w:numId="10">
    <w:abstractNumId w:val="2"/>
  </w:num>
  <w:num w:numId="11">
    <w:abstractNumId w:val="10"/>
  </w:num>
  <w:num w:numId="12">
    <w:abstractNumId w:val="13"/>
  </w:num>
  <w:num w:numId="13">
    <w:abstractNumId w:val="5"/>
  </w:num>
  <w:num w:numId="14">
    <w:abstractNumId w:val="6"/>
  </w:num>
  <w:num w:numId="15">
    <w:abstractNumId w:val="0"/>
  </w:num>
  <w:num w:numId="16">
    <w:abstractNumId w:val="17"/>
  </w:num>
  <w:num w:numId="17">
    <w:abstractNumId w:val="4"/>
  </w:num>
  <w:num w:numId="18">
    <w:abstractNumId w:val="18"/>
  </w:num>
  <w:num w:numId="19">
    <w:abstractNumId w:val="9"/>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oNotDisplayPageBoundaries/>
  <w:activeWritingStyle w:appName="MSWord" w:lang="en-GB" w:vendorID="64" w:dllVersion="6" w:nlCheck="1" w:checkStyle="1"/>
  <w:activeWritingStyle w:appName="MSWord" w:lang="en-US"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es-ES" w:vendorID="64" w:dllVersion="4096" w:nlCheck="1" w:checkStyle="0"/>
  <w:activeWritingStyle w:appName="MSWord" w:lang="nl-NL" w:vendorID="64" w:dllVersion="4096" w:nlCheck="1" w:checkStyle="0"/>
  <w:activeWritingStyle w:appName="MSWord" w:lang="da-DK" w:vendorID="64" w:dllVersion="4096" w:nlCheck="1" w:checkStyle="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52E4"/>
    <w:rsid w:val="00001F6C"/>
    <w:rsid w:val="000021D0"/>
    <w:rsid w:val="00002749"/>
    <w:rsid w:val="00005F3F"/>
    <w:rsid w:val="00005F87"/>
    <w:rsid w:val="00014BE5"/>
    <w:rsid w:val="00017281"/>
    <w:rsid w:val="00017312"/>
    <w:rsid w:val="000202F7"/>
    <w:rsid w:val="00020F15"/>
    <w:rsid w:val="00021375"/>
    <w:rsid w:val="00022407"/>
    <w:rsid w:val="000226BC"/>
    <w:rsid w:val="0002304C"/>
    <w:rsid w:val="00024750"/>
    <w:rsid w:val="00024C61"/>
    <w:rsid w:val="000254FF"/>
    <w:rsid w:val="0002611A"/>
    <w:rsid w:val="000268E8"/>
    <w:rsid w:val="00027D40"/>
    <w:rsid w:val="000300AE"/>
    <w:rsid w:val="00030D9A"/>
    <w:rsid w:val="000342B2"/>
    <w:rsid w:val="00034CA7"/>
    <w:rsid w:val="00034F1D"/>
    <w:rsid w:val="00035334"/>
    <w:rsid w:val="0004137D"/>
    <w:rsid w:val="000424F9"/>
    <w:rsid w:val="000433EC"/>
    <w:rsid w:val="00043A12"/>
    <w:rsid w:val="00044116"/>
    <w:rsid w:val="00044F51"/>
    <w:rsid w:val="00046D58"/>
    <w:rsid w:val="000507DB"/>
    <w:rsid w:val="000509E8"/>
    <w:rsid w:val="00050BB6"/>
    <w:rsid w:val="00056237"/>
    <w:rsid w:val="0005738D"/>
    <w:rsid w:val="00062E80"/>
    <w:rsid w:val="000650B6"/>
    <w:rsid w:val="00066DB6"/>
    <w:rsid w:val="00067634"/>
    <w:rsid w:val="00067B50"/>
    <w:rsid w:val="00067DDE"/>
    <w:rsid w:val="00072B15"/>
    <w:rsid w:val="00073178"/>
    <w:rsid w:val="000733CB"/>
    <w:rsid w:val="00073591"/>
    <w:rsid w:val="00074495"/>
    <w:rsid w:val="000747FE"/>
    <w:rsid w:val="00081AC3"/>
    <w:rsid w:val="00083171"/>
    <w:rsid w:val="00084749"/>
    <w:rsid w:val="000849AA"/>
    <w:rsid w:val="00084D02"/>
    <w:rsid w:val="0008527B"/>
    <w:rsid w:val="00087996"/>
    <w:rsid w:val="0009165A"/>
    <w:rsid w:val="00091914"/>
    <w:rsid w:val="00091A32"/>
    <w:rsid w:val="00091A88"/>
    <w:rsid w:val="0009265B"/>
    <w:rsid w:val="00094028"/>
    <w:rsid w:val="00094AC0"/>
    <w:rsid w:val="0009633A"/>
    <w:rsid w:val="000967A8"/>
    <w:rsid w:val="00096918"/>
    <w:rsid w:val="0009713C"/>
    <w:rsid w:val="00097C62"/>
    <w:rsid w:val="00097CD3"/>
    <w:rsid w:val="000A1BF8"/>
    <w:rsid w:val="000A26E1"/>
    <w:rsid w:val="000A2F28"/>
    <w:rsid w:val="000A3589"/>
    <w:rsid w:val="000A4E96"/>
    <w:rsid w:val="000A59DC"/>
    <w:rsid w:val="000A6742"/>
    <w:rsid w:val="000B00FE"/>
    <w:rsid w:val="000B10F4"/>
    <w:rsid w:val="000B5B23"/>
    <w:rsid w:val="000B7C13"/>
    <w:rsid w:val="000C0069"/>
    <w:rsid w:val="000C0108"/>
    <w:rsid w:val="000C0982"/>
    <w:rsid w:val="000C3127"/>
    <w:rsid w:val="000C3EBD"/>
    <w:rsid w:val="000C44D2"/>
    <w:rsid w:val="000C6335"/>
    <w:rsid w:val="000C65B8"/>
    <w:rsid w:val="000C687F"/>
    <w:rsid w:val="000C7B42"/>
    <w:rsid w:val="000D0133"/>
    <w:rsid w:val="000D0227"/>
    <w:rsid w:val="000D182A"/>
    <w:rsid w:val="000D1A52"/>
    <w:rsid w:val="000D3878"/>
    <w:rsid w:val="000D3E46"/>
    <w:rsid w:val="000D3E47"/>
    <w:rsid w:val="000D5904"/>
    <w:rsid w:val="000D6D9C"/>
    <w:rsid w:val="000E2C0C"/>
    <w:rsid w:val="000E31ED"/>
    <w:rsid w:val="000E5DFE"/>
    <w:rsid w:val="000E74D8"/>
    <w:rsid w:val="000E7EE9"/>
    <w:rsid w:val="000F1765"/>
    <w:rsid w:val="000F1FFA"/>
    <w:rsid w:val="000F21F1"/>
    <w:rsid w:val="000F346A"/>
    <w:rsid w:val="000F3CBC"/>
    <w:rsid w:val="000F502D"/>
    <w:rsid w:val="000F6B25"/>
    <w:rsid w:val="000F7E57"/>
    <w:rsid w:val="00100BF3"/>
    <w:rsid w:val="00101F60"/>
    <w:rsid w:val="00102BF2"/>
    <w:rsid w:val="0010304D"/>
    <w:rsid w:val="00107E8E"/>
    <w:rsid w:val="00110F28"/>
    <w:rsid w:val="00111C96"/>
    <w:rsid w:val="001150BC"/>
    <w:rsid w:val="00115AC5"/>
    <w:rsid w:val="00115E0B"/>
    <w:rsid w:val="00120045"/>
    <w:rsid w:val="0012034A"/>
    <w:rsid w:val="001215B5"/>
    <w:rsid w:val="00121F23"/>
    <w:rsid w:val="00122336"/>
    <w:rsid w:val="001262BB"/>
    <w:rsid w:val="00127CA5"/>
    <w:rsid w:val="00130724"/>
    <w:rsid w:val="001340AE"/>
    <w:rsid w:val="00134AFA"/>
    <w:rsid w:val="00134D5D"/>
    <w:rsid w:val="0013512D"/>
    <w:rsid w:val="001352C0"/>
    <w:rsid w:val="00135C7F"/>
    <w:rsid w:val="00135F79"/>
    <w:rsid w:val="00136195"/>
    <w:rsid w:val="00137B2C"/>
    <w:rsid w:val="00140408"/>
    <w:rsid w:val="00142AFD"/>
    <w:rsid w:val="00142BAF"/>
    <w:rsid w:val="001439E8"/>
    <w:rsid w:val="00143D03"/>
    <w:rsid w:val="00145592"/>
    <w:rsid w:val="0014690E"/>
    <w:rsid w:val="001469EC"/>
    <w:rsid w:val="00151C4B"/>
    <w:rsid w:val="001540CE"/>
    <w:rsid w:val="001542AA"/>
    <w:rsid w:val="00154AFE"/>
    <w:rsid w:val="0015516B"/>
    <w:rsid w:val="00156F63"/>
    <w:rsid w:val="00157791"/>
    <w:rsid w:val="001634B8"/>
    <w:rsid w:val="00164F9E"/>
    <w:rsid w:val="001707FD"/>
    <w:rsid w:val="00171A13"/>
    <w:rsid w:val="00173DFF"/>
    <w:rsid w:val="001752A3"/>
    <w:rsid w:val="00175B1D"/>
    <w:rsid w:val="0017689A"/>
    <w:rsid w:val="0017696F"/>
    <w:rsid w:val="00177970"/>
    <w:rsid w:val="00180E87"/>
    <w:rsid w:val="0018349C"/>
    <w:rsid w:val="001855FE"/>
    <w:rsid w:val="00185E47"/>
    <w:rsid w:val="00186983"/>
    <w:rsid w:val="0019099E"/>
    <w:rsid w:val="0019325C"/>
    <w:rsid w:val="00196ED9"/>
    <w:rsid w:val="001A2BAF"/>
    <w:rsid w:val="001A33F0"/>
    <w:rsid w:val="001A37D5"/>
    <w:rsid w:val="001A4716"/>
    <w:rsid w:val="001A48D4"/>
    <w:rsid w:val="001A5C64"/>
    <w:rsid w:val="001A6AED"/>
    <w:rsid w:val="001A7E57"/>
    <w:rsid w:val="001B0A2D"/>
    <w:rsid w:val="001B24E0"/>
    <w:rsid w:val="001B2E58"/>
    <w:rsid w:val="001B3DEA"/>
    <w:rsid w:val="001B3F8A"/>
    <w:rsid w:val="001B60CB"/>
    <w:rsid w:val="001B7DD3"/>
    <w:rsid w:val="001C0D1F"/>
    <w:rsid w:val="001C32DE"/>
    <w:rsid w:val="001C335C"/>
    <w:rsid w:val="001C480C"/>
    <w:rsid w:val="001C49B9"/>
    <w:rsid w:val="001C5A14"/>
    <w:rsid w:val="001C6842"/>
    <w:rsid w:val="001C72FC"/>
    <w:rsid w:val="001D19ED"/>
    <w:rsid w:val="001D3983"/>
    <w:rsid w:val="001D4DFC"/>
    <w:rsid w:val="001D4F21"/>
    <w:rsid w:val="001D6928"/>
    <w:rsid w:val="001D7188"/>
    <w:rsid w:val="001D7D51"/>
    <w:rsid w:val="001E18A0"/>
    <w:rsid w:val="001E4EF1"/>
    <w:rsid w:val="001E502C"/>
    <w:rsid w:val="001E6680"/>
    <w:rsid w:val="001F102C"/>
    <w:rsid w:val="001F10BC"/>
    <w:rsid w:val="001F1DBF"/>
    <w:rsid w:val="001F3925"/>
    <w:rsid w:val="001F4A9C"/>
    <w:rsid w:val="001F52AD"/>
    <w:rsid w:val="001F5318"/>
    <w:rsid w:val="00200793"/>
    <w:rsid w:val="00200849"/>
    <w:rsid w:val="0020262B"/>
    <w:rsid w:val="00202BBB"/>
    <w:rsid w:val="00204AB9"/>
    <w:rsid w:val="002063C5"/>
    <w:rsid w:val="00207548"/>
    <w:rsid w:val="002111CF"/>
    <w:rsid w:val="002111E3"/>
    <w:rsid w:val="0021137E"/>
    <w:rsid w:val="00215663"/>
    <w:rsid w:val="00215768"/>
    <w:rsid w:val="002205D0"/>
    <w:rsid w:val="00220D93"/>
    <w:rsid w:val="002224B3"/>
    <w:rsid w:val="00224881"/>
    <w:rsid w:val="00224B60"/>
    <w:rsid w:val="00227453"/>
    <w:rsid w:val="002326AC"/>
    <w:rsid w:val="00233999"/>
    <w:rsid w:val="00233C44"/>
    <w:rsid w:val="002340BA"/>
    <w:rsid w:val="00234CD9"/>
    <w:rsid w:val="002353BA"/>
    <w:rsid w:val="00235D09"/>
    <w:rsid w:val="00235D53"/>
    <w:rsid w:val="002362DD"/>
    <w:rsid w:val="0023682E"/>
    <w:rsid w:val="00241F10"/>
    <w:rsid w:val="0024385A"/>
    <w:rsid w:val="00245346"/>
    <w:rsid w:val="00246DFE"/>
    <w:rsid w:val="00247343"/>
    <w:rsid w:val="00250D87"/>
    <w:rsid w:val="00251C3D"/>
    <w:rsid w:val="0025326D"/>
    <w:rsid w:val="00253976"/>
    <w:rsid w:val="00256A0F"/>
    <w:rsid w:val="00256DBA"/>
    <w:rsid w:val="00257AA6"/>
    <w:rsid w:val="00260881"/>
    <w:rsid w:val="00261F38"/>
    <w:rsid w:val="00262618"/>
    <w:rsid w:val="00262845"/>
    <w:rsid w:val="002643D5"/>
    <w:rsid w:val="0026581B"/>
    <w:rsid w:val="0026596E"/>
    <w:rsid w:val="002672A9"/>
    <w:rsid w:val="002700AF"/>
    <w:rsid w:val="00271DF7"/>
    <w:rsid w:val="00271F85"/>
    <w:rsid w:val="00271FF6"/>
    <w:rsid w:val="002743DD"/>
    <w:rsid w:val="0027477E"/>
    <w:rsid w:val="00274FA7"/>
    <w:rsid w:val="00275889"/>
    <w:rsid w:val="002759C2"/>
    <w:rsid w:val="00277525"/>
    <w:rsid w:val="0027762F"/>
    <w:rsid w:val="00280B69"/>
    <w:rsid w:val="00282137"/>
    <w:rsid w:val="002826C7"/>
    <w:rsid w:val="0028479A"/>
    <w:rsid w:val="0028659D"/>
    <w:rsid w:val="00290F77"/>
    <w:rsid w:val="00291431"/>
    <w:rsid w:val="00291FEB"/>
    <w:rsid w:val="002929D5"/>
    <w:rsid w:val="00293C73"/>
    <w:rsid w:val="00294950"/>
    <w:rsid w:val="00294CAA"/>
    <w:rsid w:val="00294F0B"/>
    <w:rsid w:val="00295EFE"/>
    <w:rsid w:val="0029710A"/>
    <w:rsid w:val="002A0D4D"/>
    <w:rsid w:val="002A0F3A"/>
    <w:rsid w:val="002A30DF"/>
    <w:rsid w:val="002A55F2"/>
    <w:rsid w:val="002A6D0F"/>
    <w:rsid w:val="002A7B55"/>
    <w:rsid w:val="002A7D6A"/>
    <w:rsid w:val="002B08DF"/>
    <w:rsid w:val="002B13FF"/>
    <w:rsid w:val="002B1AEB"/>
    <w:rsid w:val="002B21FE"/>
    <w:rsid w:val="002B255B"/>
    <w:rsid w:val="002B4086"/>
    <w:rsid w:val="002B4902"/>
    <w:rsid w:val="002B5849"/>
    <w:rsid w:val="002B67BD"/>
    <w:rsid w:val="002B7ACD"/>
    <w:rsid w:val="002C0ED5"/>
    <w:rsid w:val="002C2804"/>
    <w:rsid w:val="002C41C3"/>
    <w:rsid w:val="002C50D1"/>
    <w:rsid w:val="002D1E9A"/>
    <w:rsid w:val="002D234C"/>
    <w:rsid w:val="002D2A7A"/>
    <w:rsid w:val="002D68E0"/>
    <w:rsid w:val="002D7543"/>
    <w:rsid w:val="002E0E6C"/>
    <w:rsid w:val="002E1056"/>
    <w:rsid w:val="002E13FF"/>
    <w:rsid w:val="002E17E8"/>
    <w:rsid w:val="002E2584"/>
    <w:rsid w:val="002E2D10"/>
    <w:rsid w:val="002E3C65"/>
    <w:rsid w:val="002E45EC"/>
    <w:rsid w:val="002E48F9"/>
    <w:rsid w:val="002E534F"/>
    <w:rsid w:val="002E6514"/>
    <w:rsid w:val="002F0CC5"/>
    <w:rsid w:val="002F19B9"/>
    <w:rsid w:val="002F24D2"/>
    <w:rsid w:val="002F380B"/>
    <w:rsid w:val="002F3DA0"/>
    <w:rsid w:val="002F6102"/>
    <w:rsid w:val="003016F2"/>
    <w:rsid w:val="003022A7"/>
    <w:rsid w:val="003041EF"/>
    <w:rsid w:val="00305BCB"/>
    <w:rsid w:val="00306590"/>
    <w:rsid w:val="00306FB1"/>
    <w:rsid w:val="00310290"/>
    <w:rsid w:val="00313FB1"/>
    <w:rsid w:val="00314571"/>
    <w:rsid w:val="00315D5F"/>
    <w:rsid w:val="0031673A"/>
    <w:rsid w:val="00317E41"/>
    <w:rsid w:val="00317EDE"/>
    <w:rsid w:val="00322F3C"/>
    <w:rsid w:val="00323261"/>
    <w:rsid w:val="00323B97"/>
    <w:rsid w:val="00324853"/>
    <w:rsid w:val="00324F2F"/>
    <w:rsid w:val="00326B25"/>
    <w:rsid w:val="00331218"/>
    <w:rsid w:val="00332D91"/>
    <w:rsid w:val="003340D4"/>
    <w:rsid w:val="00335466"/>
    <w:rsid w:val="00335476"/>
    <w:rsid w:val="00337542"/>
    <w:rsid w:val="00340F0E"/>
    <w:rsid w:val="00342203"/>
    <w:rsid w:val="00342BBB"/>
    <w:rsid w:val="00344EEF"/>
    <w:rsid w:val="003470F2"/>
    <w:rsid w:val="003516A7"/>
    <w:rsid w:val="0035341B"/>
    <w:rsid w:val="0035359A"/>
    <w:rsid w:val="00353FBF"/>
    <w:rsid w:val="00354A55"/>
    <w:rsid w:val="00356E42"/>
    <w:rsid w:val="00357F0F"/>
    <w:rsid w:val="0036107B"/>
    <w:rsid w:val="003627DD"/>
    <w:rsid w:val="00362B6A"/>
    <w:rsid w:val="00363E03"/>
    <w:rsid w:val="00364C1F"/>
    <w:rsid w:val="00365FBD"/>
    <w:rsid w:val="00366CCD"/>
    <w:rsid w:val="003703CD"/>
    <w:rsid w:val="003707F8"/>
    <w:rsid w:val="003711F5"/>
    <w:rsid w:val="00371C12"/>
    <w:rsid w:val="0037488A"/>
    <w:rsid w:val="00376871"/>
    <w:rsid w:val="003815C7"/>
    <w:rsid w:val="00383E83"/>
    <w:rsid w:val="00385617"/>
    <w:rsid w:val="0038593E"/>
    <w:rsid w:val="00386A6E"/>
    <w:rsid w:val="00386D6B"/>
    <w:rsid w:val="00392CFE"/>
    <w:rsid w:val="00393567"/>
    <w:rsid w:val="00393CFD"/>
    <w:rsid w:val="00394AA2"/>
    <w:rsid w:val="00395740"/>
    <w:rsid w:val="003966B7"/>
    <w:rsid w:val="003A1668"/>
    <w:rsid w:val="003A3C7C"/>
    <w:rsid w:val="003A6D55"/>
    <w:rsid w:val="003A7BBD"/>
    <w:rsid w:val="003B068C"/>
    <w:rsid w:val="003B097C"/>
    <w:rsid w:val="003B102F"/>
    <w:rsid w:val="003B1D85"/>
    <w:rsid w:val="003B2764"/>
    <w:rsid w:val="003B2785"/>
    <w:rsid w:val="003B3183"/>
    <w:rsid w:val="003B4380"/>
    <w:rsid w:val="003B6AB0"/>
    <w:rsid w:val="003B7AA2"/>
    <w:rsid w:val="003C134A"/>
    <w:rsid w:val="003C1E27"/>
    <w:rsid w:val="003C22D2"/>
    <w:rsid w:val="003C2FBF"/>
    <w:rsid w:val="003C57AB"/>
    <w:rsid w:val="003C59C4"/>
    <w:rsid w:val="003C5ACD"/>
    <w:rsid w:val="003C7D33"/>
    <w:rsid w:val="003D08D0"/>
    <w:rsid w:val="003D0DDC"/>
    <w:rsid w:val="003D18D6"/>
    <w:rsid w:val="003D377C"/>
    <w:rsid w:val="003D63D9"/>
    <w:rsid w:val="003D64B1"/>
    <w:rsid w:val="003D6F50"/>
    <w:rsid w:val="003D77C4"/>
    <w:rsid w:val="003D7A68"/>
    <w:rsid w:val="003E1AE4"/>
    <w:rsid w:val="003E2B34"/>
    <w:rsid w:val="003E3CF9"/>
    <w:rsid w:val="003E3E6D"/>
    <w:rsid w:val="003E59A0"/>
    <w:rsid w:val="003E7244"/>
    <w:rsid w:val="003F03EE"/>
    <w:rsid w:val="003F0653"/>
    <w:rsid w:val="003F26FE"/>
    <w:rsid w:val="003F2F14"/>
    <w:rsid w:val="003F50B6"/>
    <w:rsid w:val="00402187"/>
    <w:rsid w:val="00404140"/>
    <w:rsid w:val="004047C0"/>
    <w:rsid w:val="00407BE4"/>
    <w:rsid w:val="00415E80"/>
    <w:rsid w:val="004163A9"/>
    <w:rsid w:val="0041712B"/>
    <w:rsid w:val="00420440"/>
    <w:rsid w:val="00421AD5"/>
    <w:rsid w:val="0042238D"/>
    <w:rsid w:val="00422BDD"/>
    <w:rsid w:val="00423BB3"/>
    <w:rsid w:val="00424445"/>
    <w:rsid w:val="00426179"/>
    <w:rsid w:val="004272FD"/>
    <w:rsid w:val="0043273F"/>
    <w:rsid w:val="00434655"/>
    <w:rsid w:val="00434884"/>
    <w:rsid w:val="004408B9"/>
    <w:rsid w:val="004415D0"/>
    <w:rsid w:val="00442CE2"/>
    <w:rsid w:val="004461FF"/>
    <w:rsid w:val="00446D63"/>
    <w:rsid w:val="00447926"/>
    <w:rsid w:val="004505D8"/>
    <w:rsid w:val="00450FB3"/>
    <w:rsid w:val="004512D6"/>
    <w:rsid w:val="004522F9"/>
    <w:rsid w:val="00452EAC"/>
    <w:rsid w:val="00453D55"/>
    <w:rsid w:val="00454A60"/>
    <w:rsid w:val="004577C8"/>
    <w:rsid w:val="00460EF7"/>
    <w:rsid w:val="00462108"/>
    <w:rsid w:val="004629E4"/>
    <w:rsid w:val="00462DAC"/>
    <w:rsid w:val="0046492C"/>
    <w:rsid w:val="004653D9"/>
    <w:rsid w:val="004678DB"/>
    <w:rsid w:val="00472059"/>
    <w:rsid w:val="0047323E"/>
    <w:rsid w:val="00473FEF"/>
    <w:rsid w:val="00474032"/>
    <w:rsid w:val="00476EDE"/>
    <w:rsid w:val="00476EFC"/>
    <w:rsid w:val="00476FF1"/>
    <w:rsid w:val="00481681"/>
    <w:rsid w:val="00482761"/>
    <w:rsid w:val="004829FA"/>
    <w:rsid w:val="0048393E"/>
    <w:rsid w:val="00483B62"/>
    <w:rsid w:val="00483CA6"/>
    <w:rsid w:val="0048497E"/>
    <w:rsid w:val="00484CD4"/>
    <w:rsid w:val="00487361"/>
    <w:rsid w:val="00487EF7"/>
    <w:rsid w:val="00487F2B"/>
    <w:rsid w:val="0049135B"/>
    <w:rsid w:val="004913D5"/>
    <w:rsid w:val="00491A80"/>
    <w:rsid w:val="00492483"/>
    <w:rsid w:val="00493046"/>
    <w:rsid w:val="0049354D"/>
    <w:rsid w:val="00495169"/>
    <w:rsid w:val="00497358"/>
    <w:rsid w:val="004A0C28"/>
    <w:rsid w:val="004A20D9"/>
    <w:rsid w:val="004A2FE6"/>
    <w:rsid w:val="004A3796"/>
    <w:rsid w:val="004A471C"/>
    <w:rsid w:val="004A5F05"/>
    <w:rsid w:val="004A7A7D"/>
    <w:rsid w:val="004B00C9"/>
    <w:rsid w:val="004B26F7"/>
    <w:rsid w:val="004B3310"/>
    <w:rsid w:val="004B452E"/>
    <w:rsid w:val="004B67D8"/>
    <w:rsid w:val="004C0FEA"/>
    <w:rsid w:val="004C1530"/>
    <w:rsid w:val="004C33E3"/>
    <w:rsid w:val="004C37A0"/>
    <w:rsid w:val="004C5990"/>
    <w:rsid w:val="004C6685"/>
    <w:rsid w:val="004C7D7F"/>
    <w:rsid w:val="004C7D8A"/>
    <w:rsid w:val="004D0DFA"/>
    <w:rsid w:val="004D2522"/>
    <w:rsid w:val="004D4FDA"/>
    <w:rsid w:val="004D5FC7"/>
    <w:rsid w:val="004E4A5E"/>
    <w:rsid w:val="004E4D85"/>
    <w:rsid w:val="004E679A"/>
    <w:rsid w:val="004E7314"/>
    <w:rsid w:val="004F02C5"/>
    <w:rsid w:val="004F3ADB"/>
    <w:rsid w:val="004F49B7"/>
    <w:rsid w:val="004F6AEA"/>
    <w:rsid w:val="004F6F5A"/>
    <w:rsid w:val="005007E9"/>
    <w:rsid w:val="00501829"/>
    <w:rsid w:val="00502ED0"/>
    <w:rsid w:val="005042F0"/>
    <w:rsid w:val="0050747A"/>
    <w:rsid w:val="00507CFA"/>
    <w:rsid w:val="00514215"/>
    <w:rsid w:val="005176F6"/>
    <w:rsid w:val="00521C8B"/>
    <w:rsid w:val="00521FD3"/>
    <w:rsid w:val="0052214E"/>
    <w:rsid w:val="00523B02"/>
    <w:rsid w:val="00524A0B"/>
    <w:rsid w:val="005253C9"/>
    <w:rsid w:val="0052561C"/>
    <w:rsid w:val="00526102"/>
    <w:rsid w:val="005262CA"/>
    <w:rsid w:val="00526499"/>
    <w:rsid w:val="005306FE"/>
    <w:rsid w:val="005323D1"/>
    <w:rsid w:val="00532496"/>
    <w:rsid w:val="00533869"/>
    <w:rsid w:val="00533D5D"/>
    <w:rsid w:val="005341D5"/>
    <w:rsid w:val="00534FC5"/>
    <w:rsid w:val="0053764F"/>
    <w:rsid w:val="00540A4E"/>
    <w:rsid w:val="00540B08"/>
    <w:rsid w:val="00540C71"/>
    <w:rsid w:val="005417F3"/>
    <w:rsid w:val="00542B08"/>
    <w:rsid w:val="00543CD3"/>
    <w:rsid w:val="005463FC"/>
    <w:rsid w:val="00546832"/>
    <w:rsid w:val="00546E71"/>
    <w:rsid w:val="00550894"/>
    <w:rsid w:val="00552D39"/>
    <w:rsid w:val="005545B6"/>
    <w:rsid w:val="005556B6"/>
    <w:rsid w:val="00555BA3"/>
    <w:rsid w:val="00556424"/>
    <w:rsid w:val="005572D0"/>
    <w:rsid w:val="005609B0"/>
    <w:rsid w:val="0056237C"/>
    <w:rsid w:val="00563EF6"/>
    <w:rsid w:val="00564A31"/>
    <w:rsid w:val="00564BD4"/>
    <w:rsid w:val="00566508"/>
    <w:rsid w:val="00566F6D"/>
    <w:rsid w:val="00567C1E"/>
    <w:rsid w:val="0057005A"/>
    <w:rsid w:val="00570BD9"/>
    <w:rsid w:val="005748C6"/>
    <w:rsid w:val="00574E69"/>
    <w:rsid w:val="00576894"/>
    <w:rsid w:val="00576A19"/>
    <w:rsid w:val="00577B14"/>
    <w:rsid w:val="00577CB6"/>
    <w:rsid w:val="00577F20"/>
    <w:rsid w:val="00580DEE"/>
    <w:rsid w:val="00581835"/>
    <w:rsid w:val="00582C09"/>
    <w:rsid w:val="00584467"/>
    <w:rsid w:val="005848EE"/>
    <w:rsid w:val="00585A4F"/>
    <w:rsid w:val="0059134F"/>
    <w:rsid w:val="005928AB"/>
    <w:rsid w:val="00593758"/>
    <w:rsid w:val="00593941"/>
    <w:rsid w:val="0059485D"/>
    <w:rsid w:val="00594E95"/>
    <w:rsid w:val="00595681"/>
    <w:rsid w:val="00596D36"/>
    <w:rsid w:val="00596F3A"/>
    <w:rsid w:val="00597456"/>
    <w:rsid w:val="005A0F4B"/>
    <w:rsid w:val="005A2541"/>
    <w:rsid w:val="005A33E8"/>
    <w:rsid w:val="005A3C6F"/>
    <w:rsid w:val="005A4A13"/>
    <w:rsid w:val="005A550B"/>
    <w:rsid w:val="005A65A6"/>
    <w:rsid w:val="005A7775"/>
    <w:rsid w:val="005A7837"/>
    <w:rsid w:val="005B26A4"/>
    <w:rsid w:val="005B3C7F"/>
    <w:rsid w:val="005B62E6"/>
    <w:rsid w:val="005B7078"/>
    <w:rsid w:val="005B77DF"/>
    <w:rsid w:val="005C0083"/>
    <w:rsid w:val="005C247F"/>
    <w:rsid w:val="005C2863"/>
    <w:rsid w:val="005C291E"/>
    <w:rsid w:val="005C2935"/>
    <w:rsid w:val="005C3328"/>
    <w:rsid w:val="005C37C2"/>
    <w:rsid w:val="005C673B"/>
    <w:rsid w:val="005C6F44"/>
    <w:rsid w:val="005C73E5"/>
    <w:rsid w:val="005D38A8"/>
    <w:rsid w:val="005D4841"/>
    <w:rsid w:val="005D7EA4"/>
    <w:rsid w:val="005E0AFE"/>
    <w:rsid w:val="005E1325"/>
    <w:rsid w:val="005E15A3"/>
    <w:rsid w:val="005E373C"/>
    <w:rsid w:val="005E5511"/>
    <w:rsid w:val="005E6212"/>
    <w:rsid w:val="005E73A7"/>
    <w:rsid w:val="005E7E28"/>
    <w:rsid w:val="005F0C32"/>
    <w:rsid w:val="005F1775"/>
    <w:rsid w:val="005F186A"/>
    <w:rsid w:val="005F2E23"/>
    <w:rsid w:val="00602DC1"/>
    <w:rsid w:val="00603AED"/>
    <w:rsid w:val="00603DBB"/>
    <w:rsid w:val="006044A7"/>
    <w:rsid w:val="006052E1"/>
    <w:rsid w:val="0060574B"/>
    <w:rsid w:val="00606E9E"/>
    <w:rsid w:val="006103A9"/>
    <w:rsid w:val="006108BC"/>
    <w:rsid w:val="00610AA7"/>
    <w:rsid w:val="00611A4D"/>
    <w:rsid w:val="00612A0E"/>
    <w:rsid w:val="00615209"/>
    <w:rsid w:val="00617866"/>
    <w:rsid w:val="00620024"/>
    <w:rsid w:val="00621293"/>
    <w:rsid w:val="0062145B"/>
    <w:rsid w:val="00621BA9"/>
    <w:rsid w:val="00621D4C"/>
    <w:rsid w:val="006337DE"/>
    <w:rsid w:val="006344EE"/>
    <w:rsid w:val="0063469A"/>
    <w:rsid w:val="00636BBF"/>
    <w:rsid w:val="0064076F"/>
    <w:rsid w:val="00641AFD"/>
    <w:rsid w:val="00646360"/>
    <w:rsid w:val="00646534"/>
    <w:rsid w:val="006468F6"/>
    <w:rsid w:val="00647978"/>
    <w:rsid w:val="006505A0"/>
    <w:rsid w:val="0065098B"/>
    <w:rsid w:val="0065130F"/>
    <w:rsid w:val="00651782"/>
    <w:rsid w:val="00651FE5"/>
    <w:rsid w:val="006525A7"/>
    <w:rsid w:val="0065267D"/>
    <w:rsid w:val="00655A7B"/>
    <w:rsid w:val="006612ED"/>
    <w:rsid w:val="006621E3"/>
    <w:rsid w:val="00662EAC"/>
    <w:rsid w:val="0066343B"/>
    <w:rsid w:val="00664C07"/>
    <w:rsid w:val="006669C2"/>
    <w:rsid w:val="006677DF"/>
    <w:rsid w:val="00667829"/>
    <w:rsid w:val="00667892"/>
    <w:rsid w:val="00670561"/>
    <w:rsid w:val="00673120"/>
    <w:rsid w:val="00673970"/>
    <w:rsid w:val="00675E9E"/>
    <w:rsid w:val="0067620D"/>
    <w:rsid w:val="00676985"/>
    <w:rsid w:val="006771C8"/>
    <w:rsid w:val="00677E4B"/>
    <w:rsid w:val="00677F2E"/>
    <w:rsid w:val="00681606"/>
    <w:rsid w:val="00682402"/>
    <w:rsid w:val="00682A62"/>
    <w:rsid w:val="00683527"/>
    <w:rsid w:val="006845C4"/>
    <w:rsid w:val="00685CB8"/>
    <w:rsid w:val="0068704D"/>
    <w:rsid w:val="006903FF"/>
    <w:rsid w:val="00691116"/>
    <w:rsid w:val="00694591"/>
    <w:rsid w:val="00694D35"/>
    <w:rsid w:val="00695952"/>
    <w:rsid w:val="006A0B5C"/>
    <w:rsid w:val="006A16E9"/>
    <w:rsid w:val="006A1EC2"/>
    <w:rsid w:val="006A503F"/>
    <w:rsid w:val="006A6949"/>
    <w:rsid w:val="006A7BC4"/>
    <w:rsid w:val="006B1F2C"/>
    <w:rsid w:val="006B23FB"/>
    <w:rsid w:val="006B299B"/>
    <w:rsid w:val="006B3AD1"/>
    <w:rsid w:val="006B4287"/>
    <w:rsid w:val="006B5F69"/>
    <w:rsid w:val="006B69C9"/>
    <w:rsid w:val="006B7203"/>
    <w:rsid w:val="006B74E8"/>
    <w:rsid w:val="006C03C6"/>
    <w:rsid w:val="006C3558"/>
    <w:rsid w:val="006C3FC4"/>
    <w:rsid w:val="006C40F2"/>
    <w:rsid w:val="006C53C3"/>
    <w:rsid w:val="006C5AEE"/>
    <w:rsid w:val="006C5DFF"/>
    <w:rsid w:val="006D01E6"/>
    <w:rsid w:val="006D0C32"/>
    <w:rsid w:val="006D45E5"/>
    <w:rsid w:val="006D4DAA"/>
    <w:rsid w:val="006D552B"/>
    <w:rsid w:val="006D5F40"/>
    <w:rsid w:val="006D795C"/>
    <w:rsid w:val="006E0452"/>
    <w:rsid w:val="006E182D"/>
    <w:rsid w:val="006E3655"/>
    <w:rsid w:val="006E3E66"/>
    <w:rsid w:val="006E5196"/>
    <w:rsid w:val="006F34A3"/>
    <w:rsid w:val="006F3EB4"/>
    <w:rsid w:val="006F4601"/>
    <w:rsid w:val="006F6DC1"/>
    <w:rsid w:val="006F7D85"/>
    <w:rsid w:val="007022D2"/>
    <w:rsid w:val="00702311"/>
    <w:rsid w:val="00702FB7"/>
    <w:rsid w:val="0070474F"/>
    <w:rsid w:val="00704AA9"/>
    <w:rsid w:val="00704D2C"/>
    <w:rsid w:val="0070649F"/>
    <w:rsid w:val="00706BA7"/>
    <w:rsid w:val="007079E7"/>
    <w:rsid w:val="00710825"/>
    <w:rsid w:val="00710C75"/>
    <w:rsid w:val="00710E5E"/>
    <w:rsid w:val="007116E6"/>
    <w:rsid w:val="00711706"/>
    <w:rsid w:val="00711BB0"/>
    <w:rsid w:val="0071385C"/>
    <w:rsid w:val="0071433C"/>
    <w:rsid w:val="00714457"/>
    <w:rsid w:val="007174CC"/>
    <w:rsid w:val="007220CD"/>
    <w:rsid w:val="0072393C"/>
    <w:rsid w:val="00723EBC"/>
    <w:rsid w:val="007242AC"/>
    <w:rsid w:val="00724A77"/>
    <w:rsid w:val="00727A0A"/>
    <w:rsid w:val="0073019E"/>
    <w:rsid w:val="0073074C"/>
    <w:rsid w:val="00731B88"/>
    <w:rsid w:val="0073200D"/>
    <w:rsid w:val="0073233A"/>
    <w:rsid w:val="00733768"/>
    <w:rsid w:val="0073432A"/>
    <w:rsid w:val="00741D58"/>
    <w:rsid w:val="007428FC"/>
    <w:rsid w:val="00742AF4"/>
    <w:rsid w:val="00743CB4"/>
    <w:rsid w:val="00745FCA"/>
    <w:rsid w:val="007514A0"/>
    <w:rsid w:val="00753363"/>
    <w:rsid w:val="00755B69"/>
    <w:rsid w:val="0075704A"/>
    <w:rsid w:val="00761026"/>
    <w:rsid w:val="007613AD"/>
    <w:rsid w:val="00762569"/>
    <w:rsid w:val="00762BBB"/>
    <w:rsid w:val="0076303E"/>
    <w:rsid w:val="0077029C"/>
    <w:rsid w:val="0077186F"/>
    <w:rsid w:val="00771D3B"/>
    <w:rsid w:val="00771E0F"/>
    <w:rsid w:val="00773F8D"/>
    <w:rsid w:val="007748D3"/>
    <w:rsid w:val="00774C66"/>
    <w:rsid w:val="00774E74"/>
    <w:rsid w:val="00775A22"/>
    <w:rsid w:val="007767C3"/>
    <w:rsid w:val="00777A60"/>
    <w:rsid w:val="00782137"/>
    <w:rsid w:val="00782917"/>
    <w:rsid w:val="0078300D"/>
    <w:rsid w:val="007835D7"/>
    <w:rsid w:val="00783C3C"/>
    <w:rsid w:val="00784740"/>
    <w:rsid w:val="00785A66"/>
    <w:rsid w:val="00785EC2"/>
    <w:rsid w:val="00790BDD"/>
    <w:rsid w:val="0079199F"/>
    <w:rsid w:val="00791D9A"/>
    <w:rsid w:val="00794609"/>
    <w:rsid w:val="00796BC7"/>
    <w:rsid w:val="00796C64"/>
    <w:rsid w:val="00797E3B"/>
    <w:rsid w:val="007A0180"/>
    <w:rsid w:val="007A0744"/>
    <w:rsid w:val="007A1938"/>
    <w:rsid w:val="007A2239"/>
    <w:rsid w:val="007A3152"/>
    <w:rsid w:val="007A3EDA"/>
    <w:rsid w:val="007A6921"/>
    <w:rsid w:val="007A6BDD"/>
    <w:rsid w:val="007A75E1"/>
    <w:rsid w:val="007B17FA"/>
    <w:rsid w:val="007B3709"/>
    <w:rsid w:val="007B497A"/>
    <w:rsid w:val="007B64C5"/>
    <w:rsid w:val="007B7FC1"/>
    <w:rsid w:val="007C119F"/>
    <w:rsid w:val="007C28B6"/>
    <w:rsid w:val="007C2FE9"/>
    <w:rsid w:val="007C68D6"/>
    <w:rsid w:val="007C6E94"/>
    <w:rsid w:val="007C7196"/>
    <w:rsid w:val="007D18EE"/>
    <w:rsid w:val="007D2862"/>
    <w:rsid w:val="007D342D"/>
    <w:rsid w:val="007D58FA"/>
    <w:rsid w:val="007E3571"/>
    <w:rsid w:val="007E48A3"/>
    <w:rsid w:val="007E5A12"/>
    <w:rsid w:val="007F0159"/>
    <w:rsid w:val="007F2C54"/>
    <w:rsid w:val="007F361B"/>
    <w:rsid w:val="007F3B72"/>
    <w:rsid w:val="007F6DF3"/>
    <w:rsid w:val="008015C8"/>
    <w:rsid w:val="0080247A"/>
    <w:rsid w:val="0080392F"/>
    <w:rsid w:val="008078A7"/>
    <w:rsid w:val="00807E38"/>
    <w:rsid w:val="008101CF"/>
    <w:rsid w:val="00811091"/>
    <w:rsid w:val="00812375"/>
    <w:rsid w:val="00813FC2"/>
    <w:rsid w:val="008142B8"/>
    <w:rsid w:val="00815CD3"/>
    <w:rsid w:val="00817921"/>
    <w:rsid w:val="0081794E"/>
    <w:rsid w:val="0082081A"/>
    <w:rsid w:val="008219E9"/>
    <w:rsid w:val="00821A97"/>
    <w:rsid w:val="00822FC1"/>
    <w:rsid w:val="00823D06"/>
    <w:rsid w:val="008242B8"/>
    <w:rsid w:val="00824A81"/>
    <w:rsid w:val="00824A93"/>
    <w:rsid w:val="00826136"/>
    <w:rsid w:val="00826485"/>
    <w:rsid w:val="008312C9"/>
    <w:rsid w:val="00831B99"/>
    <w:rsid w:val="0083311A"/>
    <w:rsid w:val="00834311"/>
    <w:rsid w:val="0083574C"/>
    <w:rsid w:val="00837244"/>
    <w:rsid w:val="00840434"/>
    <w:rsid w:val="00842179"/>
    <w:rsid w:val="008428D2"/>
    <w:rsid w:val="00844C48"/>
    <w:rsid w:val="00845609"/>
    <w:rsid w:val="00845FC7"/>
    <w:rsid w:val="008461DD"/>
    <w:rsid w:val="008461F1"/>
    <w:rsid w:val="00846E36"/>
    <w:rsid w:val="00847E78"/>
    <w:rsid w:val="00850B1F"/>
    <w:rsid w:val="008539B8"/>
    <w:rsid w:val="00856B84"/>
    <w:rsid w:val="00862617"/>
    <w:rsid w:val="00863324"/>
    <w:rsid w:val="00863877"/>
    <w:rsid w:val="00866E73"/>
    <w:rsid w:val="00870FFD"/>
    <w:rsid w:val="008731DC"/>
    <w:rsid w:val="00875D2B"/>
    <w:rsid w:val="0087690B"/>
    <w:rsid w:val="00882034"/>
    <w:rsid w:val="00883FB3"/>
    <w:rsid w:val="00886586"/>
    <w:rsid w:val="00887BF2"/>
    <w:rsid w:val="00893B57"/>
    <w:rsid w:val="00894FAE"/>
    <w:rsid w:val="00897E44"/>
    <w:rsid w:val="008A12BD"/>
    <w:rsid w:val="008A14BA"/>
    <w:rsid w:val="008A3060"/>
    <w:rsid w:val="008A310A"/>
    <w:rsid w:val="008A3944"/>
    <w:rsid w:val="008A4838"/>
    <w:rsid w:val="008A5FB6"/>
    <w:rsid w:val="008A60E1"/>
    <w:rsid w:val="008B125A"/>
    <w:rsid w:val="008B13C0"/>
    <w:rsid w:val="008B1AA8"/>
    <w:rsid w:val="008B2FEB"/>
    <w:rsid w:val="008B79C4"/>
    <w:rsid w:val="008C06EC"/>
    <w:rsid w:val="008C1B7A"/>
    <w:rsid w:val="008C2513"/>
    <w:rsid w:val="008C4207"/>
    <w:rsid w:val="008C4EF3"/>
    <w:rsid w:val="008C510D"/>
    <w:rsid w:val="008C58BA"/>
    <w:rsid w:val="008C5CFF"/>
    <w:rsid w:val="008C645B"/>
    <w:rsid w:val="008C6DBC"/>
    <w:rsid w:val="008D1E52"/>
    <w:rsid w:val="008D3AE3"/>
    <w:rsid w:val="008D652B"/>
    <w:rsid w:val="008E18AC"/>
    <w:rsid w:val="008E227F"/>
    <w:rsid w:val="008E295D"/>
    <w:rsid w:val="008E3C62"/>
    <w:rsid w:val="008E4312"/>
    <w:rsid w:val="008E4B0A"/>
    <w:rsid w:val="008F101C"/>
    <w:rsid w:val="008F2A22"/>
    <w:rsid w:val="008F35E6"/>
    <w:rsid w:val="008F5914"/>
    <w:rsid w:val="008F5F76"/>
    <w:rsid w:val="008F60E5"/>
    <w:rsid w:val="008F6B66"/>
    <w:rsid w:val="008F7424"/>
    <w:rsid w:val="00900523"/>
    <w:rsid w:val="0090194A"/>
    <w:rsid w:val="00901A30"/>
    <w:rsid w:val="00902654"/>
    <w:rsid w:val="009026E4"/>
    <w:rsid w:val="0090329F"/>
    <w:rsid w:val="00904201"/>
    <w:rsid w:val="00905DDA"/>
    <w:rsid w:val="0091094E"/>
    <w:rsid w:val="00910C55"/>
    <w:rsid w:val="00910ED1"/>
    <w:rsid w:val="00911337"/>
    <w:rsid w:val="00911AB3"/>
    <w:rsid w:val="0091218E"/>
    <w:rsid w:val="009125DF"/>
    <w:rsid w:val="00912A9F"/>
    <w:rsid w:val="009209DC"/>
    <w:rsid w:val="009236CB"/>
    <w:rsid w:val="009258E8"/>
    <w:rsid w:val="0092643C"/>
    <w:rsid w:val="00930541"/>
    <w:rsid w:val="00930B25"/>
    <w:rsid w:val="00930F70"/>
    <w:rsid w:val="00930FB9"/>
    <w:rsid w:val="0093108F"/>
    <w:rsid w:val="009331FC"/>
    <w:rsid w:val="00933480"/>
    <w:rsid w:val="00934521"/>
    <w:rsid w:val="00936482"/>
    <w:rsid w:val="00936A8E"/>
    <w:rsid w:val="0093737E"/>
    <w:rsid w:val="0093778F"/>
    <w:rsid w:val="00940434"/>
    <w:rsid w:val="00940DC0"/>
    <w:rsid w:val="00950152"/>
    <w:rsid w:val="0095067D"/>
    <w:rsid w:val="0095177B"/>
    <w:rsid w:val="00951C38"/>
    <w:rsid w:val="00951E76"/>
    <w:rsid w:val="009529EF"/>
    <w:rsid w:val="0095361A"/>
    <w:rsid w:val="00954BC8"/>
    <w:rsid w:val="00955615"/>
    <w:rsid w:val="00955B2F"/>
    <w:rsid w:val="00955B71"/>
    <w:rsid w:val="00956BA4"/>
    <w:rsid w:val="00957098"/>
    <w:rsid w:val="00957B9E"/>
    <w:rsid w:val="00957BE8"/>
    <w:rsid w:val="009629C0"/>
    <w:rsid w:val="00963CEC"/>
    <w:rsid w:val="00964F9D"/>
    <w:rsid w:val="00965B08"/>
    <w:rsid w:val="00966BB7"/>
    <w:rsid w:val="00966D3F"/>
    <w:rsid w:val="00967F5C"/>
    <w:rsid w:val="009712B9"/>
    <w:rsid w:val="00971C96"/>
    <w:rsid w:val="00972A6D"/>
    <w:rsid w:val="00976FD9"/>
    <w:rsid w:val="009809FF"/>
    <w:rsid w:val="00982FF2"/>
    <w:rsid w:val="00984C4F"/>
    <w:rsid w:val="00984EEE"/>
    <w:rsid w:val="00987E9C"/>
    <w:rsid w:val="00987F7D"/>
    <w:rsid w:val="0099060E"/>
    <w:rsid w:val="0099241F"/>
    <w:rsid w:val="00993397"/>
    <w:rsid w:val="009A22FB"/>
    <w:rsid w:val="009A3520"/>
    <w:rsid w:val="009A55D7"/>
    <w:rsid w:val="009A5A2C"/>
    <w:rsid w:val="009A5B5D"/>
    <w:rsid w:val="009A62C9"/>
    <w:rsid w:val="009A6D61"/>
    <w:rsid w:val="009A7F24"/>
    <w:rsid w:val="009B14D0"/>
    <w:rsid w:val="009B2130"/>
    <w:rsid w:val="009B26A0"/>
    <w:rsid w:val="009B2A91"/>
    <w:rsid w:val="009B2DC5"/>
    <w:rsid w:val="009B5D46"/>
    <w:rsid w:val="009C0C3E"/>
    <w:rsid w:val="009C0C86"/>
    <w:rsid w:val="009C1ED1"/>
    <w:rsid w:val="009C2893"/>
    <w:rsid w:val="009C40BD"/>
    <w:rsid w:val="009C4FEC"/>
    <w:rsid w:val="009C541B"/>
    <w:rsid w:val="009C7487"/>
    <w:rsid w:val="009C77C5"/>
    <w:rsid w:val="009C7B3E"/>
    <w:rsid w:val="009D0291"/>
    <w:rsid w:val="009D0813"/>
    <w:rsid w:val="009D1656"/>
    <w:rsid w:val="009D174F"/>
    <w:rsid w:val="009D645E"/>
    <w:rsid w:val="009D7898"/>
    <w:rsid w:val="009E077E"/>
    <w:rsid w:val="009E0F8F"/>
    <w:rsid w:val="009E2291"/>
    <w:rsid w:val="009E233C"/>
    <w:rsid w:val="009E4C6E"/>
    <w:rsid w:val="009E6B9F"/>
    <w:rsid w:val="009E6C1A"/>
    <w:rsid w:val="009E7EC4"/>
    <w:rsid w:val="009F2002"/>
    <w:rsid w:val="009F2726"/>
    <w:rsid w:val="009F3422"/>
    <w:rsid w:val="009F38FB"/>
    <w:rsid w:val="009F3BC9"/>
    <w:rsid w:val="009F53A1"/>
    <w:rsid w:val="009F7A8F"/>
    <w:rsid w:val="009F7F06"/>
    <w:rsid w:val="00A00145"/>
    <w:rsid w:val="00A00F23"/>
    <w:rsid w:val="00A05F2D"/>
    <w:rsid w:val="00A06585"/>
    <w:rsid w:val="00A07289"/>
    <w:rsid w:val="00A07E83"/>
    <w:rsid w:val="00A10908"/>
    <w:rsid w:val="00A111DD"/>
    <w:rsid w:val="00A14CE1"/>
    <w:rsid w:val="00A14FA4"/>
    <w:rsid w:val="00A16782"/>
    <w:rsid w:val="00A16FE5"/>
    <w:rsid w:val="00A1709C"/>
    <w:rsid w:val="00A174EE"/>
    <w:rsid w:val="00A20070"/>
    <w:rsid w:val="00A20AA1"/>
    <w:rsid w:val="00A229CB"/>
    <w:rsid w:val="00A238CF"/>
    <w:rsid w:val="00A25600"/>
    <w:rsid w:val="00A2611B"/>
    <w:rsid w:val="00A30734"/>
    <w:rsid w:val="00A307A9"/>
    <w:rsid w:val="00A31327"/>
    <w:rsid w:val="00A317A4"/>
    <w:rsid w:val="00A32031"/>
    <w:rsid w:val="00A3273E"/>
    <w:rsid w:val="00A34BFA"/>
    <w:rsid w:val="00A359EA"/>
    <w:rsid w:val="00A36599"/>
    <w:rsid w:val="00A3793F"/>
    <w:rsid w:val="00A42E7C"/>
    <w:rsid w:val="00A443C4"/>
    <w:rsid w:val="00A44B51"/>
    <w:rsid w:val="00A47594"/>
    <w:rsid w:val="00A47A11"/>
    <w:rsid w:val="00A50580"/>
    <w:rsid w:val="00A50694"/>
    <w:rsid w:val="00A5175E"/>
    <w:rsid w:val="00A52F20"/>
    <w:rsid w:val="00A53AD6"/>
    <w:rsid w:val="00A54510"/>
    <w:rsid w:val="00A54735"/>
    <w:rsid w:val="00A560FB"/>
    <w:rsid w:val="00A566A4"/>
    <w:rsid w:val="00A56984"/>
    <w:rsid w:val="00A57305"/>
    <w:rsid w:val="00A603E0"/>
    <w:rsid w:val="00A6110C"/>
    <w:rsid w:val="00A62659"/>
    <w:rsid w:val="00A62D1F"/>
    <w:rsid w:val="00A630B5"/>
    <w:rsid w:val="00A638D7"/>
    <w:rsid w:val="00A6461F"/>
    <w:rsid w:val="00A67C9C"/>
    <w:rsid w:val="00A712F7"/>
    <w:rsid w:val="00A731EC"/>
    <w:rsid w:val="00A767DE"/>
    <w:rsid w:val="00A774C8"/>
    <w:rsid w:val="00A80159"/>
    <w:rsid w:val="00A803D0"/>
    <w:rsid w:val="00A826F1"/>
    <w:rsid w:val="00A82EAF"/>
    <w:rsid w:val="00A8386B"/>
    <w:rsid w:val="00A83BFD"/>
    <w:rsid w:val="00A8409C"/>
    <w:rsid w:val="00A84AD6"/>
    <w:rsid w:val="00A852F1"/>
    <w:rsid w:val="00A87889"/>
    <w:rsid w:val="00A9073C"/>
    <w:rsid w:val="00A91354"/>
    <w:rsid w:val="00A92873"/>
    <w:rsid w:val="00A94564"/>
    <w:rsid w:val="00A95A87"/>
    <w:rsid w:val="00A969A7"/>
    <w:rsid w:val="00AA0748"/>
    <w:rsid w:val="00AA0B15"/>
    <w:rsid w:val="00AA0E6F"/>
    <w:rsid w:val="00AA45CD"/>
    <w:rsid w:val="00AA5A88"/>
    <w:rsid w:val="00AA6AEC"/>
    <w:rsid w:val="00AA6D8E"/>
    <w:rsid w:val="00AB3B11"/>
    <w:rsid w:val="00AB4812"/>
    <w:rsid w:val="00AB4A79"/>
    <w:rsid w:val="00AB53FE"/>
    <w:rsid w:val="00AB77B3"/>
    <w:rsid w:val="00AC6717"/>
    <w:rsid w:val="00AD1B3A"/>
    <w:rsid w:val="00AD2014"/>
    <w:rsid w:val="00AD48BD"/>
    <w:rsid w:val="00AD4A64"/>
    <w:rsid w:val="00AD5FC3"/>
    <w:rsid w:val="00AD6337"/>
    <w:rsid w:val="00AE1335"/>
    <w:rsid w:val="00AE13F9"/>
    <w:rsid w:val="00AE37DC"/>
    <w:rsid w:val="00AE3D72"/>
    <w:rsid w:val="00AE4267"/>
    <w:rsid w:val="00AE561C"/>
    <w:rsid w:val="00AE5F2D"/>
    <w:rsid w:val="00AE5FBE"/>
    <w:rsid w:val="00AE6B05"/>
    <w:rsid w:val="00AE6CC8"/>
    <w:rsid w:val="00AF14E1"/>
    <w:rsid w:val="00AF3D68"/>
    <w:rsid w:val="00AF6864"/>
    <w:rsid w:val="00AF6C68"/>
    <w:rsid w:val="00AF7161"/>
    <w:rsid w:val="00AF7595"/>
    <w:rsid w:val="00B00440"/>
    <w:rsid w:val="00B0162D"/>
    <w:rsid w:val="00B02663"/>
    <w:rsid w:val="00B033C1"/>
    <w:rsid w:val="00B03968"/>
    <w:rsid w:val="00B039F4"/>
    <w:rsid w:val="00B04535"/>
    <w:rsid w:val="00B04D1A"/>
    <w:rsid w:val="00B10CE9"/>
    <w:rsid w:val="00B122F8"/>
    <w:rsid w:val="00B13ADB"/>
    <w:rsid w:val="00B14370"/>
    <w:rsid w:val="00B20E9D"/>
    <w:rsid w:val="00B20F2C"/>
    <w:rsid w:val="00B21AD0"/>
    <w:rsid w:val="00B240F4"/>
    <w:rsid w:val="00B24499"/>
    <w:rsid w:val="00B252E4"/>
    <w:rsid w:val="00B2669F"/>
    <w:rsid w:val="00B26D2A"/>
    <w:rsid w:val="00B27079"/>
    <w:rsid w:val="00B279F5"/>
    <w:rsid w:val="00B30DA9"/>
    <w:rsid w:val="00B319AE"/>
    <w:rsid w:val="00B33AB4"/>
    <w:rsid w:val="00B348DC"/>
    <w:rsid w:val="00B34B15"/>
    <w:rsid w:val="00B36758"/>
    <w:rsid w:val="00B378A9"/>
    <w:rsid w:val="00B50A65"/>
    <w:rsid w:val="00B53A0B"/>
    <w:rsid w:val="00B53DC0"/>
    <w:rsid w:val="00B5463A"/>
    <w:rsid w:val="00B61378"/>
    <w:rsid w:val="00B6149B"/>
    <w:rsid w:val="00B622A4"/>
    <w:rsid w:val="00B63B82"/>
    <w:rsid w:val="00B65311"/>
    <w:rsid w:val="00B654B0"/>
    <w:rsid w:val="00B65786"/>
    <w:rsid w:val="00B65AB8"/>
    <w:rsid w:val="00B6745C"/>
    <w:rsid w:val="00B70F2B"/>
    <w:rsid w:val="00B71941"/>
    <w:rsid w:val="00B71D86"/>
    <w:rsid w:val="00B71F9C"/>
    <w:rsid w:val="00B72C02"/>
    <w:rsid w:val="00B73408"/>
    <w:rsid w:val="00B74253"/>
    <w:rsid w:val="00B756A1"/>
    <w:rsid w:val="00B77A85"/>
    <w:rsid w:val="00B809D7"/>
    <w:rsid w:val="00B83726"/>
    <w:rsid w:val="00B844AA"/>
    <w:rsid w:val="00B8611D"/>
    <w:rsid w:val="00B902A5"/>
    <w:rsid w:val="00B93602"/>
    <w:rsid w:val="00B95109"/>
    <w:rsid w:val="00B9615D"/>
    <w:rsid w:val="00BA0261"/>
    <w:rsid w:val="00BA2D97"/>
    <w:rsid w:val="00BA35AD"/>
    <w:rsid w:val="00BA49F3"/>
    <w:rsid w:val="00BA57C9"/>
    <w:rsid w:val="00BA5A79"/>
    <w:rsid w:val="00BA66FF"/>
    <w:rsid w:val="00BA6B00"/>
    <w:rsid w:val="00BB0F09"/>
    <w:rsid w:val="00BB1529"/>
    <w:rsid w:val="00BB16D9"/>
    <w:rsid w:val="00BB231B"/>
    <w:rsid w:val="00BB25ED"/>
    <w:rsid w:val="00BB3498"/>
    <w:rsid w:val="00BB520E"/>
    <w:rsid w:val="00BB60B0"/>
    <w:rsid w:val="00BC02B6"/>
    <w:rsid w:val="00BC125B"/>
    <w:rsid w:val="00BC39BA"/>
    <w:rsid w:val="00BC498B"/>
    <w:rsid w:val="00BC5037"/>
    <w:rsid w:val="00BD27CB"/>
    <w:rsid w:val="00BD284C"/>
    <w:rsid w:val="00BD339C"/>
    <w:rsid w:val="00BD62C0"/>
    <w:rsid w:val="00BD70D7"/>
    <w:rsid w:val="00BE0755"/>
    <w:rsid w:val="00BE0CED"/>
    <w:rsid w:val="00BE1DCC"/>
    <w:rsid w:val="00BE29E1"/>
    <w:rsid w:val="00BE32B5"/>
    <w:rsid w:val="00BE6395"/>
    <w:rsid w:val="00BF040E"/>
    <w:rsid w:val="00BF24F2"/>
    <w:rsid w:val="00BF27B7"/>
    <w:rsid w:val="00BF397E"/>
    <w:rsid w:val="00BF4F2D"/>
    <w:rsid w:val="00BF5FE9"/>
    <w:rsid w:val="00BF6CA9"/>
    <w:rsid w:val="00C01BCC"/>
    <w:rsid w:val="00C01E3E"/>
    <w:rsid w:val="00C0489D"/>
    <w:rsid w:val="00C050DB"/>
    <w:rsid w:val="00C05CE9"/>
    <w:rsid w:val="00C07D03"/>
    <w:rsid w:val="00C121FF"/>
    <w:rsid w:val="00C1456D"/>
    <w:rsid w:val="00C1508D"/>
    <w:rsid w:val="00C1604B"/>
    <w:rsid w:val="00C17027"/>
    <w:rsid w:val="00C17A87"/>
    <w:rsid w:val="00C23DBD"/>
    <w:rsid w:val="00C25935"/>
    <w:rsid w:val="00C26EA1"/>
    <w:rsid w:val="00C27A25"/>
    <w:rsid w:val="00C31255"/>
    <w:rsid w:val="00C319F5"/>
    <w:rsid w:val="00C33CC6"/>
    <w:rsid w:val="00C349A8"/>
    <w:rsid w:val="00C35421"/>
    <w:rsid w:val="00C429C9"/>
    <w:rsid w:val="00C42BA9"/>
    <w:rsid w:val="00C43AEA"/>
    <w:rsid w:val="00C44439"/>
    <w:rsid w:val="00C4630F"/>
    <w:rsid w:val="00C51738"/>
    <w:rsid w:val="00C527D7"/>
    <w:rsid w:val="00C52B6B"/>
    <w:rsid w:val="00C550C8"/>
    <w:rsid w:val="00C6021E"/>
    <w:rsid w:val="00C60463"/>
    <w:rsid w:val="00C60F07"/>
    <w:rsid w:val="00C61069"/>
    <w:rsid w:val="00C62B1A"/>
    <w:rsid w:val="00C66DEA"/>
    <w:rsid w:val="00C736A1"/>
    <w:rsid w:val="00C73D3B"/>
    <w:rsid w:val="00C75DC7"/>
    <w:rsid w:val="00C763FF"/>
    <w:rsid w:val="00C7710C"/>
    <w:rsid w:val="00C90330"/>
    <w:rsid w:val="00C90578"/>
    <w:rsid w:val="00C916AB"/>
    <w:rsid w:val="00C91AA7"/>
    <w:rsid w:val="00C93A25"/>
    <w:rsid w:val="00C93FFB"/>
    <w:rsid w:val="00C94C55"/>
    <w:rsid w:val="00C95358"/>
    <w:rsid w:val="00C96883"/>
    <w:rsid w:val="00C97C97"/>
    <w:rsid w:val="00CA0596"/>
    <w:rsid w:val="00CA224D"/>
    <w:rsid w:val="00CA394F"/>
    <w:rsid w:val="00CA3AD8"/>
    <w:rsid w:val="00CA4662"/>
    <w:rsid w:val="00CA49C2"/>
    <w:rsid w:val="00CA6B7E"/>
    <w:rsid w:val="00CA6BE7"/>
    <w:rsid w:val="00CB18E9"/>
    <w:rsid w:val="00CB232D"/>
    <w:rsid w:val="00CB305D"/>
    <w:rsid w:val="00CB4108"/>
    <w:rsid w:val="00CB557C"/>
    <w:rsid w:val="00CB594E"/>
    <w:rsid w:val="00CB6E0A"/>
    <w:rsid w:val="00CB6E9B"/>
    <w:rsid w:val="00CC0842"/>
    <w:rsid w:val="00CC2763"/>
    <w:rsid w:val="00CC33D8"/>
    <w:rsid w:val="00CC4586"/>
    <w:rsid w:val="00CC57A5"/>
    <w:rsid w:val="00CC5C4C"/>
    <w:rsid w:val="00CC5E8C"/>
    <w:rsid w:val="00CC63E4"/>
    <w:rsid w:val="00CC6516"/>
    <w:rsid w:val="00CC65F3"/>
    <w:rsid w:val="00CC6CDD"/>
    <w:rsid w:val="00CD2BDB"/>
    <w:rsid w:val="00CD579F"/>
    <w:rsid w:val="00CE32CA"/>
    <w:rsid w:val="00CE4D78"/>
    <w:rsid w:val="00CE5526"/>
    <w:rsid w:val="00CF027A"/>
    <w:rsid w:val="00CF044A"/>
    <w:rsid w:val="00CF5409"/>
    <w:rsid w:val="00CF5CCE"/>
    <w:rsid w:val="00CF6A42"/>
    <w:rsid w:val="00CF79C1"/>
    <w:rsid w:val="00D0077D"/>
    <w:rsid w:val="00D016D7"/>
    <w:rsid w:val="00D029B7"/>
    <w:rsid w:val="00D03057"/>
    <w:rsid w:val="00D053F5"/>
    <w:rsid w:val="00D05AFB"/>
    <w:rsid w:val="00D05B5A"/>
    <w:rsid w:val="00D07F68"/>
    <w:rsid w:val="00D10E7C"/>
    <w:rsid w:val="00D12875"/>
    <w:rsid w:val="00D13D43"/>
    <w:rsid w:val="00D13F0A"/>
    <w:rsid w:val="00D153CE"/>
    <w:rsid w:val="00D15A3F"/>
    <w:rsid w:val="00D15CFC"/>
    <w:rsid w:val="00D167DD"/>
    <w:rsid w:val="00D16B28"/>
    <w:rsid w:val="00D207BB"/>
    <w:rsid w:val="00D21247"/>
    <w:rsid w:val="00D220CE"/>
    <w:rsid w:val="00D224D7"/>
    <w:rsid w:val="00D22BB3"/>
    <w:rsid w:val="00D23154"/>
    <w:rsid w:val="00D253B7"/>
    <w:rsid w:val="00D26E2F"/>
    <w:rsid w:val="00D2732F"/>
    <w:rsid w:val="00D30828"/>
    <w:rsid w:val="00D31784"/>
    <w:rsid w:val="00D31BA3"/>
    <w:rsid w:val="00D35156"/>
    <w:rsid w:val="00D35771"/>
    <w:rsid w:val="00D4137F"/>
    <w:rsid w:val="00D4390D"/>
    <w:rsid w:val="00D43FB6"/>
    <w:rsid w:val="00D455C8"/>
    <w:rsid w:val="00D45A78"/>
    <w:rsid w:val="00D50E6E"/>
    <w:rsid w:val="00D512C1"/>
    <w:rsid w:val="00D51435"/>
    <w:rsid w:val="00D5179A"/>
    <w:rsid w:val="00D525A5"/>
    <w:rsid w:val="00D53E34"/>
    <w:rsid w:val="00D55302"/>
    <w:rsid w:val="00D55BFA"/>
    <w:rsid w:val="00D6018A"/>
    <w:rsid w:val="00D60B0E"/>
    <w:rsid w:val="00D61462"/>
    <w:rsid w:val="00D6274F"/>
    <w:rsid w:val="00D63A94"/>
    <w:rsid w:val="00D64751"/>
    <w:rsid w:val="00D705F7"/>
    <w:rsid w:val="00D740FF"/>
    <w:rsid w:val="00D7453A"/>
    <w:rsid w:val="00D74C47"/>
    <w:rsid w:val="00D76575"/>
    <w:rsid w:val="00D7689C"/>
    <w:rsid w:val="00D76E35"/>
    <w:rsid w:val="00D77952"/>
    <w:rsid w:val="00D81B1A"/>
    <w:rsid w:val="00D8208E"/>
    <w:rsid w:val="00D8718D"/>
    <w:rsid w:val="00D902F3"/>
    <w:rsid w:val="00D90962"/>
    <w:rsid w:val="00D90EA1"/>
    <w:rsid w:val="00D940F1"/>
    <w:rsid w:val="00D94108"/>
    <w:rsid w:val="00D96718"/>
    <w:rsid w:val="00D96AE7"/>
    <w:rsid w:val="00D978CB"/>
    <w:rsid w:val="00D97F0F"/>
    <w:rsid w:val="00DA07B0"/>
    <w:rsid w:val="00DA2CAE"/>
    <w:rsid w:val="00DA40D4"/>
    <w:rsid w:val="00DA58A0"/>
    <w:rsid w:val="00DA6657"/>
    <w:rsid w:val="00DB0363"/>
    <w:rsid w:val="00DB2CC2"/>
    <w:rsid w:val="00DB2EF8"/>
    <w:rsid w:val="00DB30B6"/>
    <w:rsid w:val="00DB32EC"/>
    <w:rsid w:val="00DB35E5"/>
    <w:rsid w:val="00DB3E09"/>
    <w:rsid w:val="00DB684B"/>
    <w:rsid w:val="00DB74C4"/>
    <w:rsid w:val="00DC1529"/>
    <w:rsid w:val="00DC26B8"/>
    <w:rsid w:val="00DC356C"/>
    <w:rsid w:val="00DC5F2B"/>
    <w:rsid w:val="00DC5FC8"/>
    <w:rsid w:val="00DC77BA"/>
    <w:rsid w:val="00DD05E8"/>
    <w:rsid w:val="00DD073D"/>
    <w:rsid w:val="00DD1CDF"/>
    <w:rsid w:val="00DD434F"/>
    <w:rsid w:val="00DD44E8"/>
    <w:rsid w:val="00DE5909"/>
    <w:rsid w:val="00DE5A0D"/>
    <w:rsid w:val="00DF1CFA"/>
    <w:rsid w:val="00DF1E17"/>
    <w:rsid w:val="00DF3DCC"/>
    <w:rsid w:val="00DF3DEF"/>
    <w:rsid w:val="00DF41E7"/>
    <w:rsid w:val="00DF5C21"/>
    <w:rsid w:val="00DF6BC0"/>
    <w:rsid w:val="00DF7EE9"/>
    <w:rsid w:val="00E00C31"/>
    <w:rsid w:val="00E0201D"/>
    <w:rsid w:val="00E036BB"/>
    <w:rsid w:val="00E05ACF"/>
    <w:rsid w:val="00E13611"/>
    <w:rsid w:val="00E1406B"/>
    <w:rsid w:val="00E141F4"/>
    <w:rsid w:val="00E14624"/>
    <w:rsid w:val="00E154F5"/>
    <w:rsid w:val="00E15E93"/>
    <w:rsid w:val="00E161FC"/>
    <w:rsid w:val="00E16400"/>
    <w:rsid w:val="00E205A9"/>
    <w:rsid w:val="00E21239"/>
    <w:rsid w:val="00E25212"/>
    <w:rsid w:val="00E26747"/>
    <w:rsid w:val="00E26B38"/>
    <w:rsid w:val="00E26B50"/>
    <w:rsid w:val="00E3002B"/>
    <w:rsid w:val="00E311BA"/>
    <w:rsid w:val="00E3132B"/>
    <w:rsid w:val="00E344EF"/>
    <w:rsid w:val="00E3540E"/>
    <w:rsid w:val="00E35584"/>
    <w:rsid w:val="00E36BB1"/>
    <w:rsid w:val="00E409F8"/>
    <w:rsid w:val="00E418B8"/>
    <w:rsid w:val="00E434C0"/>
    <w:rsid w:val="00E4486D"/>
    <w:rsid w:val="00E44C91"/>
    <w:rsid w:val="00E44DCE"/>
    <w:rsid w:val="00E45538"/>
    <w:rsid w:val="00E4554F"/>
    <w:rsid w:val="00E458FB"/>
    <w:rsid w:val="00E467D2"/>
    <w:rsid w:val="00E47979"/>
    <w:rsid w:val="00E47A48"/>
    <w:rsid w:val="00E47C05"/>
    <w:rsid w:val="00E47CDA"/>
    <w:rsid w:val="00E51B39"/>
    <w:rsid w:val="00E5241B"/>
    <w:rsid w:val="00E528FC"/>
    <w:rsid w:val="00E553AE"/>
    <w:rsid w:val="00E55756"/>
    <w:rsid w:val="00E564D7"/>
    <w:rsid w:val="00E56EF3"/>
    <w:rsid w:val="00E5791B"/>
    <w:rsid w:val="00E57D2E"/>
    <w:rsid w:val="00E6291F"/>
    <w:rsid w:val="00E672FD"/>
    <w:rsid w:val="00E7028F"/>
    <w:rsid w:val="00E72B54"/>
    <w:rsid w:val="00E72F8B"/>
    <w:rsid w:val="00E73431"/>
    <w:rsid w:val="00E74C07"/>
    <w:rsid w:val="00E74E0A"/>
    <w:rsid w:val="00E7713C"/>
    <w:rsid w:val="00E7777F"/>
    <w:rsid w:val="00E803CC"/>
    <w:rsid w:val="00E8057A"/>
    <w:rsid w:val="00E805C4"/>
    <w:rsid w:val="00E81AD0"/>
    <w:rsid w:val="00E821EB"/>
    <w:rsid w:val="00E8267F"/>
    <w:rsid w:val="00E837E9"/>
    <w:rsid w:val="00E83D86"/>
    <w:rsid w:val="00E8451B"/>
    <w:rsid w:val="00E84B1F"/>
    <w:rsid w:val="00E854EE"/>
    <w:rsid w:val="00E85D3D"/>
    <w:rsid w:val="00E9155C"/>
    <w:rsid w:val="00E9212F"/>
    <w:rsid w:val="00E937DB"/>
    <w:rsid w:val="00E952D7"/>
    <w:rsid w:val="00E96D46"/>
    <w:rsid w:val="00E97D4B"/>
    <w:rsid w:val="00EA071B"/>
    <w:rsid w:val="00EA0D17"/>
    <w:rsid w:val="00EA19E3"/>
    <w:rsid w:val="00EA1EA6"/>
    <w:rsid w:val="00EA1EB9"/>
    <w:rsid w:val="00EA2AB1"/>
    <w:rsid w:val="00EA4955"/>
    <w:rsid w:val="00EA5E85"/>
    <w:rsid w:val="00EB058A"/>
    <w:rsid w:val="00EB0B75"/>
    <w:rsid w:val="00EB0C78"/>
    <w:rsid w:val="00EB27DD"/>
    <w:rsid w:val="00EB4448"/>
    <w:rsid w:val="00EB59A7"/>
    <w:rsid w:val="00EC0F6C"/>
    <w:rsid w:val="00EC1028"/>
    <w:rsid w:val="00EC154A"/>
    <w:rsid w:val="00EC4C4C"/>
    <w:rsid w:val="00EC6117"/>
    <w:rsid w:val="00ED0457"/>
    <w:rsid w:val="00ED096F"/>
    <w:rsid w:val="00ED19A3"/>
    <w:rsid w:val="00ED3CC1"/>
    <w:rsid w:val="00ED418C"/>
    <w:rsid w:val="00ED4940"/>
    <w:rsid w:val="00ED670B"/>
    <w:rsid w:val="00ED694D"/>
    <w:rsid w:val="00ED6ABB"/>
    <w:rsid w:val="00EE021F"/>
    <w:rsid w:val="00EE026D"/>
    <w:rsid w:val="00EE03C3"/>
    <w:rsid w:val="00EE319B"/>
    <w:rsid w:val="00EE66CF"/>
    <w:rsid w:val="00EE6C68"/>
    <w:rsid w:val="00EE6CFD"/>
    <w:rsid w:val="00EF076C"/>
    <w:rsid w:val="00EF1690"/>
    <w:rsid w:val="00EF3FA0"/>
    <w:rsid w:val="00EF5083"/>
    <w:rsid w:val="00EF5562"/>
    <w:rsid w:val="00EF58EA"/>
    <w:rsid w:val="00EF5C52"/>
    <w:rsid w:val="00EF62B7"/>
    <w:rsid w:val="00EF6D85"/>
    <w:rsid w:val="00F03558"/>
    <w:rsid w:val="00F03ADC"/>
    <w:rsid w:val="00F056BA"/>
    <w:rsid w:val="00F06C64"/>
    <w:rsid w:val="00F0754A"/>
    <w:rsid w:val="00F07A0A"/>
    <w:rsid w:val="00F07B57"/>
    <w:rsid w:val="00F10BBA"/>
    <w:rsid w:val="00F12D29"/>
    <w:rsid w:val="00F148FA"/>
    <w:rsid w:val="00F162F1"/>
    <w:rsid w:val="00F211C6"/>
    <w:rsid w:val="00F2505E"/>
    <w:rsid w:val="00F2560E"/>
    <w:rsid w:val="00F30003"/>
    <w:rsid w:val="00F30121"/>
    <w:rsid w:val="00F30401"/>
    <w:rsid w:val="00F326E9"/>
    <w:rsid w:val="00F33808"/>
    <w:rsid w:val="00F34EA3"/>
    <w:rsid w:val="00F36694"/>
    <w:rsid w:val="00F37307"/>
    <w:rsid w:val="00F37D44"/>
    <w:rsid w:val="00F4081A"/>
    <w:rsid w:val="00F438B3"/>
    <w:rsid w:val="00F43F2B"/>
    <w:rsid w:val="00F45CAA"/>
    <w:rsid w:val="00F46102"/>
    <w:rsid w:val="00F47D4F"/>
    <w:rsid w:val="00F5106C"/>
    <w:rsid w:val="00F51A98"/>
    <w:rsid w:val="00F54F55"/>
    <w:rsid w:val="00F55605"/>
    <w:rsid w:val="00F556B6"/>
    <w:rsid w:val="00F56F25"/>
    <w:rsid w:val="00F56FE6"/>
    <w:rsid w:val="00F5778E"/>
    <w:rsid w:val="00F57F77"/>
    <w:rsid w:val="00F60ADC"/>
    <w:rsid w:val="00F6239B"/>
    <w:rsid w:val="00F6513D"/>
    <w:rsid w:val="00F65321"/>
    <w:rsid w:val="00F67166"/>
    <w:rsid w:val="00F71A4E"/>
    <w:rsid w:val="00F71F7A"/>
    <w:rsid w:val="00F729DB"/>
    <w:rsid w:val="00F77179"/>
    <w:rsid w:val="00F777D1"/>
    <w:rsid w:val="00F80AB0"/>
    <w:rsid w:val="00F823B4"/>
    <w:rsid w:val="00F8306C"/>
    <w:rsid w:val="00F841A1"/>
    <w:rsid w:val="00F84329"/>
    <w:rsid w:val="00F84570"/>
    <w:rsid w:val="00F86A43"/>
    <w:rsid w:val="00F86EDB"/>
    <w:rsid w:val="00F903E9"/>
    <w:rsid w:val="00F91CF7"/>
    <w:rsid w:val="00F92250"/>
    <w:rsid w:val="00F93473"/>
    <w:rsid w:val="00F952C3"/>
    <w:rsid w:val="00F9629C"/>
    <w:rsid w:val="00FA1ADE"/>
    <w:rsid w:val="00FA3253"/>
    <w:rsid w:val="00FA3EBA"/>
    <w:rsid w:val="00FA485E"/>
    <w:rsid w:val="00FA5CD9"/>
    <w:rsid w:val="00FA6A98"/>
    <w:rsid w:val="00FA7170"/>
    <w:rsid w:val="00FB0022"/>
    <w:rsid w:val="00FB0687"/>
    <w:rsid w:val="00FB09FF"/>
    <w:rsid w:val="00FB0B19"/>
    <w:rsid w:val="00FB202E"/>
    <w:rsid w:val="00FB2481"/>
    <w:rsid w:val="00FB27D3"/>
    <w:rsid w:val="00FB3368"/>
    <w:rsid w:val="00FB384A"/>
    <w:rsid w:val="00FB3A38"/>
    <w:rsid w:val="00FB4818"/>
    <w:rsid w:val="00FB5B20"/>
    <w:rsid w:val="00FB67B4"/>
    <w:rsid w:val="00FB691C"/>
    <w:rsid w:val="00FB7C4F"/>
    <w:rsid w:val="00FB7CB2"/>
    <w:rsid w:val="00FB7FA3"/>
    <w:rsid w:val="00FC2E84"/>
    <w:rsid w:val="00FC361C"/>
    <w:rsid w:val="00FC4206"/>
    <w:rsid w:val="00FC4883"/>
    <w:rsid w:val="00FC5586"/>
    <w:rsid w:val="00FC58AB"/>
    <w:rsid w:val="00FC5C8F"/>
    <w:rsid w:val="00FC6493"/>
    <w:rsid w:val="00FC746D"/>
    <w:rsid w:val="00FC7B65"/>
    <w:rsid w:val="00FD0AD5"/>
    <w:rsid w:val="00FD16E1"/>
    <w:rsid w:val="00FD1D90"/>
    <w:rsid w:val="00FD368A"/>
    <w:rsid w:val="00FD40F2"/>
    <w:rsid w:val="00FE1B7F"/>
    <w:rsid w:val="00FE2E59"/>
    <w:rsid w:val="00FE2EA8"/>
    <w:rsid w:val="00FE35AE"/>
    <w:rsid w:val="00FE3D3E"/>
    <w:rsid w:val="00FE6ADF"/>
    <w:rsid w:val="00FE6BB7"/>
    <w:rsid w:val="00FE7B26"/>
    <w:rsid w:val="00FF1266"/>
    <w:rsid w:val="00FF2AB0"/>
    <w:rsid w:val="00FF2C93"/>
    <w:rsid w:val="00FF2ED6"/>
    <w:rsid w:val="00FF3442"/>
    <w:rsid w:val="00FF405C"/>
    <w:rsid w:val="00FF4964"/>
    <w:rsid w:val="00FF5262"/>
    <w:rsid w:val="00FF5F42"/>
    <w:rsid w:val="00FF738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E1C0C35"/>
  <w14:defaultImageDpi w14:val="32767"/>
  <w15:docId w15:val="{75E2107D-8FEA-2745-8119-EDD2E13D1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492483"/>
    <w:rPr>
      <w:rFonts w:ascii="Times New Roman" w:eastAsia="Times New Roman" w:hAnsi="Times New Roman" w:cs="Times New Roman"/>
      <w:lang w:val="es-ES"/>
    </w:rPr>
  </w:style>
  <w:style w:type="paragraph" w:styleId="Heading1">
    <w:name w:val="heading 1"/>
    <w:basedOn w:val="Normal"/>
    <w:next w:val="Normal"/>
    <w:link w:val="Heading1Char"/>
    <w:uiPriority w:val="9"/>
    <w:qFormat/>
    <w:rsid w:val="00B252E4"/>
    <w:pPr>
      <w:keepNext/>
      <w:keepLines/>
      <w:spacing w:before="240"/>
      <w:outlineLvl w:val="0"/>
    </w:pPr>
    <w:rPr>
      <w:rFonts w:asciiTheme="majorHAnsi" w:eastAsiaTheme="majorEastAsia" w:hAnsiTheme="majorHAnsi" w:cstheme="majorBidi"/>
      <w:color w:val="2F5496" w:themeColor="accent1" w:themeShade="BF"/>
      <w:sz w:val="32"/>
      <w:szCs w:val="32"/>
      <w:lang w:val="en-GB"/>
    </w:rPr>
  </w:style>
  <w:style w:type="paragraph" w:styleId="Heading2">
    <w:name w:val="heading 2"/>
    <w:basedOn w:val="Normal"/>
    <w:next w:val="Normal"/>
    <w:link w:val="Heading2Char"/>
    <w:uiPriority w:val="9"/>
    <w:unhideWhenUsed/>
    <w:qFormat/>
    <w:rsid w:val="00A32031"/>
    <w:pPr>
      <w:keepNext/>
      <w:keepLines/>
      <w:spacing w:before="40"/>
      <w:outlineLvl w:val="1"/>
    </w:pPr>
    <w:rPr>
      <w:rFonts w:asciiTheme="majorHAnsi" w:eastAsiaTheme="majorEastAsia" w:hAnsiTheme="majorHAnsi" w:cstheme="majorBidi"/>
      <w:color w:val="2F5496" w:themeColor="accent1" w:themeShade="BF"/>
      <w:sz w:val="26"/>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52E4"/>
    <w:rPr>
      <w:rFonts w:asciiTheme="majorHAnsi" w:eastAsiaTheme="majorEastAsia" w:hAnsiTheme="majorHAnsi" w:cstheme="majorBidi"/>
      <w:color w:val="2F5496" w:themeColor="accent1" w:themeShade="BF"/>
      <w:sz w:val="32"/>
      <w:szCs w:val="32"/>
    </w:rPr>
  </w:style>
  <w:style w:type="paragraph" w:styleId="FootnoteText">
    <w:name w:val="footnote text"/>
    <w:aliases w:val="Schriftart: 9 pt,Schriftart: 10 pt,Schriftart: 8 pt,WB-Fußnotentext,fn,Footnotes,Footnote ak,FoodNote,ft,Footnote,Footnote Text Char1 Char Char,Footnote Text Char1 Char,Reference,Fußnote,Footnote Text Char Char Char Char,FA,C,Ca,Car1,FA Fu"/>
    <w:basedOn w:val="Normal"/>
    <w:link w:val="FootnoteTextChar"/>
    <w:uiPriority w:val="99"/>
    <w:unhideWhenUsed/>
    <w:qFormat/>
    <w:rsid w:val="00B252E4"/>
    <w:rPr>
      <w:rFonts w:asciiTheme="minorHAnsi" w:eastAsiaTheme="minorHAnsi" w:hAnsiTheme="minorHAnsi" w:cstheme="minorBidi"/>
      <w:sz w:val="20"/>
      <w:szCs w:val="20"/>
      <w:lang w:val="en-GB"/>
    </w:rPr>
  </w:style>
  <w:style w:type="character" w:customStyle="1" w:styleId="FootnoteTextChar">
    <w:name w:val="Footnote Text Char"/>
    <w:aliases w:val="Schriftart: 9 pt Char,Schriftart: 10 pt Char,Schriftart: 8 pt Char,WB-Fußnotentext Char,fn Char,Footnotes Char,Footnote ak Char,FoodNote Char,ft Char,Footnote Char,Footnote Text Char1 Char Char Char,Footnote Text Char1 Char Char1"/>
    <w:basedOn w:val="DefaultParagraphFont"/>
    <w:link w:val="FootnoteText"/>
    <w:uiPriority w:val="99"/>
    <w:rsid w:val="00B252E4"/>
    <w:rPr>
      <w:sz w:val="20"/>
      <w:szCs w:val="20"/>
    </w:rPr>
  </w:style>
  <w:style w:type="character" w:styleId="FootnoteReference">
    <w:name w:val="footnote reference"/>
    <w:aliases w:val="Appel note de bas de page,Texto de nota al pie,Footnotes refss,referencia nota al pie,BVI fnr,Footnote number,f,4_G,16 Point,Superscript 6 Point,Texto nota al pie,Ref. de nota al pie 2,Footnote Reference Char3,Footnote tex,Ref"/>
    <w:basedOn w:val="DefaultParagraphFont"/>
    <w:link w:val="Appelnotedebasde"/>
    <w:uiPriority w:val="99"/>
    <w:unhideWhenUsed/>
    <w:rsid w:val="00B252E4"/>
    <w:rPr>
      <w:vertAlign w:val="superscript"/>
    </w:rPr>
  </w:style>
  <w:style w:type="paragraph" w:styleId="NormalWeb">
    <w:name w:val="Normal (Web)"/>
    <w:basedOn w:val="Normal"/>
    <w:uiPriority w:val="99"/>
    <w:unhideWhenUsed/>
    <w:rsid w:val="00B252E4"/>
    <w:pPr>
      <w:spacing w:before="100" w:beforeAutospacing="1" w:after="100" w:afterAutospacing="1"/>
    </w:pPr>
    <w:rPr>
      <w:rFonts w:eastAsiaTheme="minorHAnsi"/>
      <w:lang w:val="en-GB" w:eastAsia="en-GB"/>
    </w:rPr>
  </w:style>
  <w:style w:type="paragraph" w:styleId="ListParagraph">
    <w:name w:val="List Paragraph"/>
    <w:basedOn w:val="Normal"/>
    <w:uiPriority w:val="34"/>
    <w:qFormat/>
    <w:rsid w:val="00B252E4"/>
    <w:pPr>
      <w:ind w:left="720"/>
      <w:contextualSpacing/>
    </w:pPr>
    <w:rPr>
      <w:rFonts w:ascii="Cambria" w:eastAsia="MS Mincho" w:hAnsi="Cambria"/>
      <w:lang w:val="en-US"/>
    </w:rPr>
  </w:style>
  <w:style w:type="character" w:styleId="Hyperlink">
    <w:name w:val="Hyperlink"/>
    <w:basedOn w:val="DefaultParagraphFont"/>
    <w:uiPriority w:val="99"/>
    <w:unhideWhenUsed/>
    <w:rsid w:val="00B252E4"/>
    <w:rPr>
      <w:color w:val="0563C1" w:themeColor="hyperlink"/>
      <w:u w:val="single"/>
    </w:rPr>
  </w:style>
  <w:style w:type="paragraph" w:customStyle="1" w:styleId="Appelnotedebasde">
    <w:name w:val="Appel note de bas de..."/>
    <w:basedOn w:val="Normal"/>
    <w:link w:val="FootnoteReference"/>
    <w:uiPriority w:val="99"/>
    <w:rsid w:val="00B252E4"/>
    <w:pPr>
      <w:autoSpaceDE w:val="0"/>
      <w:autoSpaceDN w:val="0"/>
      <w:adjustRightInd w:val="0"/>
      <w:spacing w:after="160" w:line="240" w:lineRule="exact"/>
      <w:contextualSpacing/>
      <w:jc w:val="both"/>
    </w:pPr>
    <w:rPr>
      <w:rFonts w:asciiTheme="minorHAnsi" w:eastAsiaTheme="minorHAnsi" w:hAnsiTheme="minorHAnsi" w:cstheme="minorBidi"/>
      <w:vertAlign w:val="superscript"/>
      <w:lang w:val="en-GB"/>
    </w:rPr>
  </w:style>
  <w:style w:type="character" w:customStyle="1" w:styleId="a-size-large">
    <w:name w:val="a-size-large"/>
    <w:basedOn w:val="DefaultParagraphFont"/>
    <w:rsid w:val="00B252E4"/>
  </w:style>
  <w:style w:type="paragraph" w:customStyle="1" w:styleId="Body">
    <w:name w:val="Body"/>
    <w:rsid w:val="00B252E4"/>
    <w:pPr>
      <w:pBdr>
        <w:top w:val="nil"/>
        <w:left w:val="nil"/>
        <w:bottom w:val="nil"/>
        <w:right w:val="nil"/>
        <w:between w:val="nil"/>
        <w:bar w:val="nil"/>
      </w:pBdr>
    </w:pPr>
    <w:rPr>
      <w:rFonts w:ascii="Cambria" w:eastAsia="Cambria" w:hAnsi="Cambria" w:cs="Cambria"/>
      <w:color w:val="000000"/>
      <w:u w:color="000000"/>
      <w:bdr w:val="nil"/>
      <w:lang w:val="en-US"/>
    </w:rPr>
  </w:style>
  <w:style w:type="character" w:customStyle="1" w:styleId="A1">
    <w:name w:val="A1"/>
    <w:uiPriority w:val="99"/>
    <w:rsid w:val="00B252E4"/>
    <w:rPr>
      <w:rFonts w:cs="Adobe Garamond Pro"/>
      <w:color w:val="000000"/>
      <w:sz w:val="22"/>
      <w:szCs w:val="22"/>
    </w:rPr>
  </w:style>
  <w:style w:type="character" w:styleId="CommentReference">
    <w:name w:val="annotation reference"/>
    <w:basedOn w:val="DefaultParagraphFont"/>
    <w:uiPriority w:val="99"/>
    <w:semiHidden/>
    <w:unhideWhenUsed/>
    <w:rsid w:val="00B252E4"/>
    <w:rPr>
      <w:sz w:val="16"/>
      <w:szCs w:val="16"/>
    </w:rPr>
  </w:style>
  <w:style w:type="paragraph" w:styleId="CommentText">
    <w:name w:val="annotation text"/>
    <w:basedOn w:val="Normal"/>
    <w:link w:val="CommentTextChar"/>
    <w:uiPriority w:val="99"/>
    <w:unhideWhenUsed/>
    <w:rsid w:val="00B252E4"/>
    <w:rPr>
      <w:rFonts w:asciiTheme="minorHAnsi" w:eastAsiaTheme="minorHAnsi" w:hAnsiTheme="minorHAnsi" w:cstheme="minorBidi"/>
      <w:sz w:val="20"/>
      <w:szCs w:val="20"/>
      <w:lang w:val="en-GB"/>
    </w:rPr>
  </w:style>
  <w:style w:type="character" w:customStyle="1" w:styleId="CommentTextChar">
    <w:name w:val="Comment Text Char"/>
    <w:basedOn w:val="DefaultParagraphFont"/>
    <w:link w:val="CommentText"/>
    <w:uiPriority w:val="99"/>
    <w:rsid w:val="00B252E4"/>
    <w:rPr>
      <w:sz w:val="20"/>
      <w:szCs w:val="20"/>
    </w:rPr>
  </w:style>
  <w:style w:type="paragraph" w:styleId="BalloonText">
    <w:name w:val="Balloon Text"/>
    <w:basedOn w:val="Normal"/>
    <w:link w:val="BalloonTextChar"/>
    <w:uiPriority w:val="99"/>
    <w:semiHidden/>
    <w:unhideWhenUsed/>
    <w:rsid w:val="00B252E4"/>
    <w:rPr>
      <w:rFonts w:eastAsiaTheme="minorHAnsi"/>
      <w:sz w:val="18"/>
      <w:szCs w:val="18"/>
      <w:lang w:val="en-GB"/>
    </w:rPr>
  </w:style>
  <w:style w:type="character" w:customStyle="1" w:styleId="BalloonTextChar">
    <w:name w:val="Balloon Text Char"/>
    <w:basedOn w:val="DefaultParagraphFont"/>
    <w:link w:val="BalloonText"/>
    <w:uiPriority w:val="99"/>
    <w:semiHidden/>
    <w:rsid w:val="00B252E4"/>
    <w:rPr>
      <w:rFonts w:ascii="Times New Roman" w:hAnsi="Times New Roman" w:cs="Times New Roman"/>
      <w:sz w:val="18"/>
      <w:szCs w:val="18"/>
    </w:rPr>
  </w:style>
  <w:style w:type="character" w:customStyle="1" w:styleId="apple-converted-space">
    <w:name w:val="apple-converted-space"/>
    <w:basedOn w:val="DefaultParagraphFont"/>
    <w:rsid w:val="00967F5C"/>
  </w:style>
  <w:style w:type="character" w:styleId="FollowedHyperlink">
    <w:name w:val="FollowedHyperlink"/>
    <w:basedOn w:val="DefaultParagraphFont"/>
    <w:uiPriority w:val="99"/>
    <w:semiHidden/>
    <w:unhideWhenUsed/>
    <w:rsid w:val="00100BF3"/>
    <w:rPr>
      <w:color w:val="954F72" w:themeColor="followedHyperlink"/>
      <w:u w:val="single"/>
    </w:rPr>
  </w:style>
  <w:style w:type="paragraph" w:styleId="Footer">
    <w:name w:val="footer"/>
    <w:basedOn w:val="Normal"/>
    <w:link w:val="FooterChar"/>
    <w:uiPriority w:val="99"/>
    <w:unhideWhenUsed/>
    <w:rsid w:val="00FB691C"/>
    <w:pPr>
      <w:tabs>
        <w:tab w:val="center" w:pos="4252"/>
        <w:tab w:val="right" w:pos="8504"/>
      </w:tabs>
    </w:pPr>
    <w:rPr>
      <w:rFonts w:asciiTheme="minorHAnsi" w:eastAsiaTheme="minorHAnsi" w:hAnsiTheme="minorHAnsi" w:cstheme="minorBidi"/>
      <w:lang w:val="en-GB"/>
    </w:rPr>
  </w:style>
  <w:style w:type="character" w:customStyle="1" w:styleId="FooterChar">
    <w:name w:val="Footer Char"/>
    <w:basedOn w:val="DefaultParagraphFont"/>
    <w:link w:val="Footer"/>
    <w:uiPriority w:val="99"/>
    <w:rsid w:val="00FB691C"/>
  </w:style>
  <w:style w:type="character" w:styleId="PageNumber">
    <w:name w:val="page number"/>
    <w:basedOn w:val="DefaultParagraphFont"/>
    <w:uiPriority w:val="99"/>
    <w:semiHidden/>
    <w:unhideWhenUsed/>
    <w:rsid w:val="00FB691C"/>
  </w:style>
  <w:style w:type="character" w:customStyle="1" w:styleId="UnresolvedMention1">
    <w:name w:val="Unresolved Mention1"/>
    <w:basedOn w:val="DefaultParagraphFont"/>
    <w:uiPriority w:val="99"/>
    <w:rsid w:val="0052214E"/>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0C0108"/>
    <w:rPr>
      <w:b/>
      <w:bCs/>
    </w:rPr>
  </w:style>
  <w:style w:type="character" w:customStyle="1" w:styleId="CommentSubjectChar">
    <w:name w:val="Comment Subject Char"/>
    <w:basedOn w:val="CommentTextChar"/>
    <w:link w:val="CommentSubject"/>
    <w:uiPriority w:val="99"/>
    <w:semiHidden/>
    <w:rsid w:val="000C0108"/>
    <w:rPr>
      <w:b/>
      <w:bCs/>
      <w:sz w:val="20"/>
      <w:szCs w:val="20"/>
    </w:rPr>
  </w:style>
  <w:style w:type="character" w:styleId="HTMLCite">
    <w:name w:val="HTML Cite"/>
    <w:basedOn w:val="DefaultParagraphFont"/>
    <w:uiPriority w:val="99"/>
    <w:semiHidden/>
    <w:unhideWhenUsed/>
    <w:rsid w:val="00E7028F"/>
    <w:rPr>
      <w:i/>
      <w:iCs/>
    </w:rPr>
  </w:style>
  <w:style w:type="character" w:styleId="Emphasis">
    <w:name w:val="Emphasis"/>
    <w:basedOn w:val="DefaultParagraphFont"/>
    <w:uiPriority w:val="20"/>
    <w:qFormat/>
    <w:rsid w:val="00636BBF"/>
    <w:rPr>
      <w:i/>
      <w:iCs/>
    </w:rPr>
  </w:style>
  <w:style w:type="character" w:customStyle="1" w:styleId="UnresolvedMention2">
    <w:name w:val="Unresolved Mention2"/>
    <w:basedOn w:val="DefaultParagraphFont"/>
    <w:uiPriority w:val="99"/>
    <w:semiHidden/>
    <w:unhideWhenUsed/>
    <w:rsid w:val="001A37D5"/>
    <w:rPr>
      <w:color w:val="605E5C"/>
      <w:shd w:val="clear" w:color="auto" w:fill="E1DFDD"/>
    </w:rPr>
  </w:style>
  <w:style w:type="paragraph" w:styleId="EndnoteText">
    <w:name w:val="endnote text"/>
    <w:basedOn w:val="Normal"/>
    <w:link w:val="EndnoteTextChar"/>
    <w:uiPriority w:val="99"/>
    <w:unhideWhenUsed/>
    <w:rsid w:val="006052E1"/>
    <w:rPr>
      <w:rFonts w:asciiTheme="minorHAnsi" w:eastAsiaTheme="minorHAnsi" w:hAnsiTheme="minorHAnsi" w:cstheme="minorBidi"/>
      <w:lang w:val="en-GB"/>
    </w:rPr>
  </w:style>
  <w:style w:type="character" w:customStyle="1" w:styleId="EndnoteTextChar">
    <w:name w:val="Endnote Text Char"/>
    <w:basedOn w:val="DefaultParagraphFont"/>
    <w:link w:val="EndnoteText"/>
    <w:uiPriority w:val="99"/>
    <w:rsid w:val="006052E1"/>
  </w:style>
  <w:style w:type="character" w:styleId="EndnoteReference">
    <w:name w:val="endnote reference"/>
    <w:basedOn w:val="DefaultParagraphFont"/>
    <w:uiPriority w:val="99"/>
    <w:unhideWhenUsed/>
    <w:rsid w:val="006052E1"/>
    <w:rPr>
      <w:vertAlign w:val="superscript"/>
    </w:rPr>
  </w:style>
  <w:style w:type="character" w:customStyle="1" w:styleId="UnresolvedMention3">
    <w:name w:val="Unresolved Mention3"/>
    <w:basedOn w:val="DefaultParagraphFont"/>
    <w:uiPriority w:val="99"/>
    <w:semiHidden/>
    <w:unhideWhenUsed/>
    <w:rsid w:val="000226BC"/>
    <w:rPr>
      <w:color w:val="605E5C"/>
      <w:shd w:val="clear" w:color="auto" w:fill="E1DFDD"/>
    </w:rPr>
  </w:style>
  <w:style w:type="paragraph" w:styleId="Revision">
    <w:name w:val="Revision"/>
    <w:hidden/>
    <w:uiPriority w:val="99"/>
    <w:semiHidden/>
    <w:rsid w:val="000021D0"/>
  </w:style>
  <w:style w:type="paragraph" w:styleId="Header">
    <w:name w:val="header"/>
    <w:basedOn w:val="Normal"/>
    <w:link w:val="HeaderChar"/>
    <w:uiPriority w:val="99"/>
    <w:unhideWhenUsed/>
    <w:rsid w:val="00CB6E0A"/>
    <w:pPr>
      <w:tabs>
        <w:tab w:val="center" w:pos="4320"/>
        <w:tab w:val="right" w:pos="8640"/>
      </w:tabs>
    </w:pPr>
    <w:rPr>
      <w:rFonts w:asciiTheme="minorHAnsi" w:eastAsiaTheme="minorHAnsi" w:hAnsiTheme="minorHAnsi" w:cstheme="minorBidi"/>
      <w:lang w:val="en-GB"/>
    </w:rPr>
  </w:style>
  <w:style w:type="character" w:customStyle="1" w:styleId="HeaderChar">
    <w:name w:val="Header Char"/>
    <w:basedOn w:val="DefaultParagraphFont"/>
    <w:link w:val="Header"/>
    <w:uiPriority w:val="99"/>
    <w:rsid w:val="00CB6E0A"/>
  </w:style>
  <w:style w:type="paragraph" w:customStyle="1" w:styleId="designation">
    <w:name w:val="designation"/>
    <w:basedOn w:val="Normal"/>
    <w:rsid w:val="007079E7"/>
    <w:pPr>
      <w:spacing w:before="100" w:beforeAutospacing="1" w:after="100" w:afterAutospacing="1"/>
    </w:pPr>
  </w:style>
  <w:style w:type="paragraph" w:customStyle="1" w:styleId="pg">
    <w:name w:val="pg"/>
    <w:basedOn w:val="Normal"/>
    <w:rsid w:val="007079E7"/>
    <w:pPr>
      <w:spacing w:before="100" w:beforeAutospacing="1" w:after="100" w:afterAutospacing="1"/>
    </w:pPr>
  </w:style>
  <w:style w:type="character" w:customStyle="1" w:styleId="UnresolvedMention4">
    <w:name w:val="Unresolved Mention4"/>
    <w:basedOn w:val="DefaultParagraphFont"/>
    <w:uiPriority w:val="99"/>
    <w:semiHidden/>
    <w:unhideWhenUsed/>
    <w:rsid w:val="00963CEC"/>
    <w:rPr>
      <w:color w:val="605E5C"/>
      <w:shd w:val="clear" w:color="auto" w:fill="E1DFDD"/>
    </w:rPr>
  </w:style>
  <w:style w:type="character" w:customStyle="1" w:styleId="Date1">
    <w:name w:val="Date1"/>
    <w:basedOn w:val="DefaultParagraphFont"/>
    <w:rsid w:val="006D45E5"/>
  </w:style>
  <w:style w:type="character" w:customStyle="1" w:styleId="Heading2Char">
    <w:name w:val="Heading 2 Char"/>
    <w:basedOn w:val="DefaultParagraphFont"/>
    <w:link w:val="Heading2"/>
    <w:uiPriority w:val="9"/>
    <w:rsid w:val="00A32031"/>
    <w:rPr>
      <w:rFonts w:asciiTheme="majorHAnsi" w:eastAsiaTheme="majorEastAsia" w:hAnsiTheme="majorHAnsi" w:cstheme="majorBidi"/>
      <w:color w:val="2F5496" w:themeColor="accent1" w:themeShade="BF"/>
      <w:sz w:val="26"/>
      <w:szCs w:val="26"/>
    </w:rPr>
  </w:style>
  <w:style w:type="character" w:styleId="UnresolvedMention">
    <w:name w:val="Unresolved Mention"/>
    <w:basedOn w:val="DefaultParagraphFont"/>
    <w:uiPriority w:val="99"/>
    <w:semiHidden/>
    <w:unhideWhenUsed/>
    <w:rsid w:val="00323B97"/>
    <w:rPr>
      <w:color w:val="605E5C"/>
      <w:shd w:val="clear" w:color="auto" w:fill="E1DFDD"/>
    </w:rPr>
  </w:style>
  <w:style w:type="character" w:customStyle="1" w:styleId="0908FNMarker">
    <w:name w:val="09.08 FNMarker"/>
    <w:rsid w:val="00335476"/>
    <w:rPr>
      <w:bdr w:val="none" w:sz="0" w:space="0" w:color="auto"/>
      <w:shd w:val="clear" w:color="auto" w:fill="663300"/>
      <w:vertAlign w:val="superscript"/>
    </w:rPr>
  </w:style>
  <w:style w:type="paragraph" w:customStyle="1" w:styleId="0401FN">
    <w:name w:val="04.01 FN"/>
    <w:basedOn w:val="Normal"/>
    <w:qFormat/>
    <w:rsid w:val="00335476"/>
    <w:pPr>
      <w:spacing w:line="360" w:lineRule="exact"/>
      <w:ind w:firstLine="720"/>
    </w:pPr>
    <w:rPr>
      <w:rFonts w:ascii="Cambria Math" w:hAnsi="Cambria Math"/>
      <w:color w:val="663300"/>
      <w:szCs w:val="20"/>
      <w:lang w:val="en-US"/>
    </w:rPr>
  </w:style>
  <w:style w:type="character" w:customStyle="1" w:styleId="0911URL">
    <w:name w:val="09.11 URL"/>
    <w:qFormat/>
    <w:rsid w:val="00335476"/>
    <w:rPr>
      <w:color w:val="0000CC"/>
      <w:u w:val="single" w:color="FF0000"/>
    </w:rPr>
  </w:style>
  <w:style w:type="paragraph" w:customStyle="1" w:styleId="0101Para">
    <w:name w:val="01.01 Para"/>
    <w:basedOn w:val="Normal"/>
    <w:qFormat/>
    <w:rsid w:val="00335476"/>
    <w:pPr>
      <w:spacing w:line="560" w:lineRule="exact"/>
      <w:ind w:firstLine="720"/>
    </w:pPr>
    <w:rPr>
      <w:rFonts w:ascii="Cambria Math" w:hAnsi="Cambria Math"/>
      <w:szCs w:val="20"/>
      <w:lang w:val="en-GB"/>
    </w:rPr>
  </w:style>
  <w:style w:type="character" w:styleId="Strong">
    <w:name w:val="Strong"/>
    <w:basedOn w:val="DefaultParagraphFont"/>
    <w:uiPriority w:val="22"/>
    <w:qFormat/>
    <w:rsid w:val="00127CA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036382">
      <w:bodyDiv w:val="1"/>
      <w:marLeft w:val="0"/>
      <w:marRight w:val="0"/>
      <w:marTop w:val="0"/>
      <w:marBottom w:val="0"/>
      <w:divBdr>
        <w:top w:val="none" w:sz="0" w:space="0" w:color="auto"/>
        <w:left w:val="none" w:sz="0" w:space="0" w:color="auto"/>
        <w:bottom w:val="none" w:sz="0" w:space="0" w:color="auto"/>
        <w:right w:val="none" w:sz="0" w:space="0" w:color="auto"/>
      </w:divBdr>
    </w:div>
    <w:div w:id="30544210">
      <w:bodyDiv w:val="1"/>
      <w:marLeft w:val="0"/>
      <w:marRight w:val="0"/>
      <w:marTop w:val="0"/>
      <w:marBottom w:val="0"/>
      <w:divBdr>
        <w:top w:val="none" w:sz="0" w:space="0" w:color="auto"/>
        <w:left w:val="none" w:sz="0" w:space="0" w:color="auto"/>
        <w:bottom w:val="none" w:sz="0" w:space="0" w:color="auto"/>
        <w:right w:val="none" w:sz="0" w:space="0" w:color="auto"/>
      </w:divBdr>
    </w:div>
    <w:div w:id="70005023">
      <w:bodyDiv w:val="1"/>
      <w:marLeft w:val="0"/>
      <w:marRight w:val="0"/>
      <w:marTop w:val="0"/>
      <w:marBottom w:val="0"/>
      <w:divBdr>
        <w:top w:val="none" w:sz="0" w:space="0" w:color="auto"/>
        <w:left w:val="none" w:sz="0" w:space="0" w:color="auto"/>
        <w:bottom w:val="none" w:sz="0" w:space="0" w:color="auto"/>
        <w:right w:val="none" w:sz="0" w:space="0" w:color="auto"/>
      </w:divBdr>
      <w:divsChild>
        <w:div w:id="1492402257">
          <w:marLeft w:val="0"/>
          <w:marRight w:val="0"/>
          <w:marTop w:val="0"/>
          <w:marBottom w:val="0"/>
          <w:divBdr>
            <w:top w:val="none" w:sz="0" w:space="0" w:color="auto"/>
            <w:left w:val="none" w:sz="0" w:space="0" w:color="auto"/>
            <w:bottom w:val="none" w:sz="0" w:space="0" w:color="auto"/>
            <w:right w:val="none" w:sz="0" w:space="0" w:color="auto"/>
          </w:divBdr>
          <w:divsChild>
            <w:div w:id="2137747286">
              <w:marLeft w:val="0"/>
              <w:marRight w:val="0"/>
              <w:marTop w:val="0"/>
              <w:marBottom w:val="0"/>
              <w:divBdr>
                <w:top w:val="none" w:sz="0" w:space="0" w:color="auto"/>
                <w:left w:val="none" w:sz="0" w:space="0" w:color="auto"/>
                <w:bottom w:val="none" w:sz="0" w:space="0" w:color="auto"/>
                <w:right w:val="none" w:sz="0" w:space="0" w:color="auto"/>
              </w:divBdr>
              <w:divsChild>
                <w:div w:id="1819877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64380">
      <w:bodyDiv w:val="1"/>
      <w:marLeft w:val="0"/>
      <w:marRight w:val="0"/>
      <w:marTop w:val="0"/>
      <w:marBottom w:val="0"/>
      <w:divBdr>
        <w:top w:val="none" w:sz="0" w:space="0" w:color="auto"/>
        <w:left w:val="none" w:sz="0" w:space="0" w:color="auto"/>
        <w:bottom w:val="none" w:sz="0" w:space="0" w:color="auto"/>
        <w:right w:val="none" w:sz="0" w:space="0" w:color="auto"/>
      </w:divBdr>
    </w:div>
    <w:div w:id="200628943">
      <w:bodyDiv w:val="1"/>
      <w:marLeft w:val="0"/>
      <w:marRight w:val="0"/>
      <w:marTop w:val="0"/>
      <w:marBottom w:val="0"/>
      <w:divBdr>
        <w:top w:val="none" w:sz="0" w:space="0" w:color="auto"/>
        <w:left w:val="none" w:sz="0" w:space="0" w:color="auto"/>
        <w:bottom w:val="none" w:sz="0" w:space="0" w:color="auto"/>
        <w:right w:val="none" w:sz="0" w:space="0" w:color="auto"/>
      </w:divBdr>
      <w:divsChild>
        <w:div w:id="1656447710">
          <w:marLeft w:val="0"/>
          <w:marRight w:val="0"/>
          <w:marTop w:val="0"/>
          <w:marBottom w:val="0"/>
          <w:divBdr>
            <w:top w:val="none" w:sz="0" w:space="0" w:color="auto"/>
            <w:left w:val="none" w:sz="0" w:space="0" w:color="auto"/>
            <w:bottom w:val="none" w:sz="0" w:space="0" w:color="auto"/>
            <w:right w:val="none" w:sz="0" w:space="0" w:color="auto"/>
          </w:divBdr>
          <w:divsChild>
            <w:div w:id="1271206983">
              <w:marLeft w:val="0"/>
              <w:marRight w:val="0"/>
              <w:marTop w:val="0"/>
              <w:marBottom w:val="0"/>
              <w:divBdr>
                <w:top w:val="none" w:sz="0" w:space="0" w:color="auto"/>
                <w:left w:val="none" w:sz="0" w:space="0" w:color="auto"/>
                <w:bottom w:val="none" w:sz="0" w:space="0" w:color="auto"/>
                <w:right w:val="none" w:sz="0" w:space="0" w:color="auto"/>
              </w:divBdr>
              <w:divsChild>
                <w:div w:id="55177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73458">
      <w:bodyDiv w:val="1"/>
      <w:marLeft w:val="0"/>
      <w:marRight w:val="0"/>
      <w:marTop w:val="0"/>
      <w:marBottom w:val="0"/>
      <w:divBdr>
        <w:top w:val="none" w:sz="0" w:space="0" w:color="auto"/>
        <w:left w:val="none" w:sz="0" w:space="0" w:color="auto"/>
        <w:bottom w:val="none" w:sz="0" w:space="0" w:color="auto"/>
        <w:right w:val="none" w:sz="0" w:space="0" w:color="auto"/>
      </w:divBdr>
    </w:div>
    <w:div w:id="245965360">
      <w:bodyDiv w:val="1"/>
      <w:marLeft w:val="0"/>
      <w:marRight w:val="0"/>
      <w:marTop w:val="0"/>
      <w:marBottom w:val="0"/>
      <w:divBdr>
        <w:top w:val="none" w:sz="0" w:space="0" w:color="auto"/>
        <w:left w:val="none" w:sz="0" w:space="0" w:color="auto"/>
        <w:bottom w:val="none" w:sz="0" w:space="0" w:color="auto"/>
        <w:right w:val="none" w:sz="0" w:space="0" w:color="auto"/>
      </w:divBdr>
    </w:div>
    <w:div w:id="246229791">
      <w:bodyDiv w:val="1"/>
      <w:marLeft w:val="0"/>
      <w:marRight w:val="0"/>
      <w:marTop w:val="0"/>
      <w:marBottom w:val="0"/>
      <w:divBdr>
        <w:top w:val="none" w:sz="0" w:space="0" w:color="auto"/>
        <w:left w:val="none" w:sz="0" w:space="0" w:color="auto"/>
        <w:bottom w:val="none" w:sz="0" w:space="0" w:color="auto"/>
        <w:right w:val="none" w:sz="0" w:space="0" w:color="auto"/>
      </w:divBdr>
    </w:div>
    <w:div w:id="302850092">
      <w:bodyDiv w:val="1"/>
      <w:marLeft w:val="0"/>
      <w:marRight w:val="0"/>
      <w:marTop w:val="0"/>
      <w:marBottom w:val="0"/>
      <w:divBdr>
        <w:top w:val="none" w:sz="0" w:space="0" w:color="auto"/>
        <w:left w:val="none" w:sz="0" w:space="0" w:color="auto"/>
        <w:bottom w:val="none" w:sz="0" w:space="0" w:color="auto"/>
        <w:right w:val="none" w:sz="0" w:space="0" w:color="auto"/>
      </w:divBdr>
      <w:divsChild>
        <w:div w:id="2045128728">
          <w:marLeft w:val="0"/>
          <w:marRight w:val="0"/>
          <w:marTop w:val="0"/>
          <w:marBottom w:val="0"/>
          <w:divBdr>
            <w:top w:val="none" w:sz="0" w:space="0" w:color="auto"/>
            <w:left w:val="none" w:sz="0" w:space="0" w:color="auto"/>
            <w:bottom w:val="none" w:sz="0" w:space="0" w:color="auto"/>
            <w:right w:val="none" w:sz="0" w:space="0" w:color="auto"/>
          </w:divBdr>
          <w:divsChild>
            <w:div w:id="269237973">
              <w:marLeft w:val="0"/>
              <w:marRight w:val="0"/>
              <w:marTop w:val="0"/>
              <w:marBottom w:val="0"/>
              <w:divBdr>
                <w:top w:val="none" w:sz="0" w:space="0" w:color="auto"/>
                <w:left w:val="none" w:sz="0" w:space="0" w:color="auto"/>
                <w:bottom w:val="none" w:sz="0" w:space="0" w:color="auto"/>
                <w:right w:val="none" w:sz="0" w:space="0" w:color="auto"/>
              </w:divBdr>
              <w:divsChild>
                <w:div w:id="2104717821">
                  <w:marLeft w:val="0"/>
                  <w:marRight w:val="0"/>
                  <w:marTop w:val="0"/>
                  <w:marBottom w:val="0"/>
                  <w:divBdr>
                    <w:top w:val="none" w:sz="0" w:space="0" w:color="auto"/>
                    <w:left w:val="none" w:sz="0" w:space="0" w:color="auto"/>
                    <w:bottom w:val="none" w:sz="0" w:space="0" w:color="auto"/>
                    <w:right w:val="none" w:sz="0" w:space="0" w:color="auto"/>
                  </w:divBdr>
                  <w:divsChild>
                    <w:div w:id="426386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5446198">
      <w:bodyDiv w:val="1"/>
      <w:marLeft w:val="0"/>
      <w:marRight w:val="0"/>
      <w:marTop w:val="0"/>
      <w:marBottom w:val="0"/>
      <w:divBdr>
        <w:top w:val="none" w:sz="0" w:space="0" w:color="auto"/>
        <w:left w:val="none" w:sz="0" w:space="0" w:color="auto"/>
        <w:bottom w:val="none" w:sz="0" w:space="0" w:color="auto"/>
        <w:right w:val="none" w:sz="0" w:space="0" w:color="auto"/>
      </w:divBdr>
    </w:div>
    <w:div w:id="370229218">
      <w:bodyDiv w:val="1"/>
      <w:marLeft w:val="0"/>
      <w:marRight w:val="0"/>
      <w:marTop w:val="0"/>
      <w:marBottom w:val="0"/>
      <w:divBdr>
        <w:top w:val="none" w:sz="0" w:space="0" w:color="auto"/>
        <w:left w:val="none" w:sz="0" w:space="0" w:color="auto"/>
        <w:bottom w:val="none" w:sz="0" w:space="0" w:color="auto"/>
        <w:right w:val="none" w:sz="0" w:space="0" w:color="auto"/>
      </w:divBdr>
    </w:div>
    <w:div w:id="422342942">
      <w:bodyDiv w:val="1"/>
      <w:marLeft w:val="0"/>
      <w:marRight w:val="0"/>
      <w:marTop w:val="0"/>
      <w:marBottom w:val="0"/>
      <w:divBdr>
        <w:top w:val="none" w:sz="0" w:space="0" w:color="auto"/>
        <w:left w:val="none" w:sz="0" w:space="0" w:color="auto"/>
        <w:bottom w:val="none" w:sz="0" w:space="0" w:color="auto"/>
        <w:right w:val="none" w:sz="0" w:space="0" w:color="auto"/>
      </w:divBdr>
      <w:divsChild>
        <w:div w:id="711148292">
          <w:marLeft w:val="0"/>
          <w:marRight w:val="0"/>
          <w:marTop w:val="0"/>
          <w:marBottom w:val="0"/>
          <w:divBdr>
            <w:top w:val="none" w:sz="0" w:space="0" w:color="auto"/>
            <w:left w:val="none" w:sz="0" w:space="0" w:color="auto"/>
            <w:bottom w:val="none" w:sz="0" w:space="0" w:color="auto"/>
            <w:right w:val="none" w:sz="0" w:space="0" w:color="auto"/>
          </w:divBdr>
          <w:divsChild>
            <w:div w:id="1693336932">
              <w:marLeft w:val="0"/>
              <w:marRight w:val="0"/>
              <w:marTop w:val="0"/>
              <w:marBottom w:val="0"/>
              <w:divBdr>
                <w:top w:val="none" w:sz="0" w:space="0" w:color="auto"/>
                <w:left w:val="none" w:sz="0" w:space="0" w:color="auto"/>
                <w:bottom w:val="none" w:sz="0" w:space="0" w:color="auto"/>
                <w:right w:val="none" w:sz="0" w:space="0" w:color="auto"/>
              </w:divBdr>
              <w:divsChild>
                <w:div w:id="73925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328011">
      <w:bodyDiv w:val="1"/>
      <w:marLeft w:val="0"/>
      <w:marRight w:val="0"/>
      <w:marTop w:val="0"/>
      <w:marBottom w:val="0"/>
      <w:divBdr>
        <w:top w:val="none" w:sz="0" w:space="0" w:color="auto"/>
        <w:left w:val="none" w:sz="0" w:space="0" w:color="auto"/>
        <w:bottom w:val="none" w:sz="0" w:space="0" w:color="auto"/>
        <w:right w:val="none" w:sz="0" w:space="0" w:color="auto"/>
      </w:divBdr>
      <w:divsChild>
        <w:div w:id="452477343">
          <w:marLeft w:val="0"/>
          <w:marRight w:val="0"/>
          <w:marTop w:val="0"/>
          <w:marBottom w:val="0"/>
          <w:divBdr>
            <w:top w:val="none" w:sz="0" w:space="0" w:color="auto"/>
            <w:left w:val="none" w:sz="0" w:space="0" w:color="auto"/>
            <w:bottom w:val="none" w:sz="0" w:space="0" w:color="auto"/>
            <w:right w:val="none" w:sz="0" w:space="0" w:color="auto"/>
          </w:divBdr>
          <w:divsChild>
            <w:div w:id="1172836794">
              <w:marLeft w:val="0"/>
              <w:marRight w:val="0"/>
              <w:marTop w:val="0"/>
              <w:marBottom w:val="0"/>
              <w:divBdr>
                <w:top w:val="none" w:sz="0" w:space="0" w:color="auto"/>
                <w:left w:val="none" w:sz="0" w:space="0" w:color="auto"/>
                <w:bottom w:val="none" w:sz="0" w:space="0" w:color="auto"/>
                <w:right w:val="none" w:sz="0" w:space="0" w:color="auto"/>
              </w:divBdr>
              <w:divsChild>
                <w:div w:id="191588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106392">
      <w:bodyDiv w:val="1"/>
      <w:marLeft w:val="0"/>
      <w:marRight w:val="0"/>
      <w:marTop w:val="0"/>
      <w:marBottom w:val="0"/>
      <w:divBdr>
        <w:top w:val="none" w:sz="0" w:space="0" w:color="auto"/>
        <w:left w:val="none" w:sz="0" w:space="0" w:color="auto"/>
        <w:bottom w:val="none" w:sz="0" w:space="0" w:color="auto"/>
        <w:right w:val="none" w:sz="0" w:space="0" w:color="auto"/>
      </w:divBdr>
      <w:divsChild>
        <w:div w:id="561409930">
          <w:marLeft w:val="0"/>
          <w:marRight w:val="0"/>
          <w:marTop w:val="0"/>
          <w:marBottom w:val="0"/>
          <w:divBdr>
            <w:top w:val="none" w:sz="0" w:space="0" w:color="auto"/>
            <w:left w:val="none" w:sz="0" w:space="0" w:color="auto"/>
            <w:bottom w:val="none" w:sz="0" w:space="0" w:color="auto"/>
            <w:right w:val="none" w:sz="0" w:space="0" w:color="auto"/>
          </w:divBdr>
          <w:divsChild>
            <w:div w:id="1185903305">
              <w:marLeft w:val="0"/>
              <w:marRight w:val="0"/>
              <w:marTop w:val="0"/>
              <w:marBottom w:val="0"/>
              <w:divBdr>
                <w:top w:val="none" w:sz="0" w:space="0" w:color="auto"/>
                <w:left w:val="none" w:sz="0" w:space="0" w:color="auto"/>
                <w:bottom w:val="none" w:sz="0" w:space="0" w:color="auto"/>
                <w:right w:val="none" w:sz="0" w:space="0" w:color="auto"/>
              </w:divBdr>
              <w:divsChild>
                <w:div w:id="268700094">
                  <w:marLeft w:val="0"/>
                  <w:marRight w:val="0"/>
                  <w:marTop w:val="0"/>
                  <w:marBottom w:val="0"/>
                  <w:divBdr>
                    <w:top w:val="none" w:sz="0" w:space="0" w:color="auto"/>
                    <w:left w:val="none" w:sz="0" w:space="0" w:color="auto"/>
                    <w:bottom w:val="none" w:sz="0" w:space="0" w:color="auto"/>
                    <w:right w:val="none" w:sz="0" w:space="0" w:color="auto"/>
                  </w:divBdr>
                  <w:divsChild>
                    <w:div w:id="491995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3910846">
      <w:bodyDiv w:val="1"/>
      <w:marLeft w:val="0"/>
      <w:marRight w:val="0"/>
      <w:marTop w:val="0"/>
      <w:marBottom w:val="0"/>
      <w:divBdr>
        <w:top w:val="none" w:sz="0" w:space="0" w:color="auto"/>
        <w:left w:val="none" w:sz="0" w:space="0" w:color="auto"/>
        <w:bottom w:val="none" w:sz="0" w:space="0" w:color="auto"/>
        <w:right w:val="none" w:sz="0" w:space="0" w:color="auto"/>
      </w:divBdr>
      <w:divsChild>
        <w:div w:id="495146921">
          <w:marLeft w:val="0"/>
          <w:marRight w:val="0"/>
          <w:marTop w:val="0"/>
          <w:marBottom w:val="0"/>
          <w:divBdr>
            <w:top w:val="none" w:sz="0" w:space="0" w:color="auto"/>
            <w:left w:val="none" w:sz="0" w:space="0" w:color="auto"/>
            <w:bottom w:val="none" w:sz="0" w:space="0" w:color="auto"/>
            <w:right w:val="none" w:sz="0" w:space="0" w:color="auto"/>
          </w:divBdr>
          <w:divsChild>
            <w:div w:id="1941527406">
              <w:marLeft w:val="0"/>
              <w:marRight w:val="0"/>
              <w:marTop w:val="0"/>
              <w:marBottom w:val="0"/>
              <w:divBdr>
                <w:top w:val="none" w:sz="0" w:space="0" w:color="auto"/>
                <w:left w:val="none" w:sz="0" w:space="0" w:color="auto"/>
                <w:bottom w:val="none" w:sz="0" w:space="0" w:color="auto"/>
                <w:right w:val="none" w:sz="0" w:space="0" w:color="auto"/>
              </w:divBdr>
              <w:divsChild>
                <w:div w:id="130739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8030468">
      <w:bodyDiv w:val="1"/>
      <w:marLeft w:val="0"/>
      <w:marRight w:val="0"/>
      <w:marTop w:val="0"/>
      <w:marBottom w:val="0"/>
      <w:divBdr>
        <w:top w:val="none" w:sz="0" w:space="0" w:color="auto"/>
        <w:left w:val="none" w:sz="0" w:space="0" w:color="auto"/>
        <w:bottom w:val="none" w:sz="0" w:space="0" w:color="auto"/>
        <w:right w:val="none" w:sz="0" w:space="0" w:color="auto"/>
      </w:divBdr>
      <w:divsChild>
        <w:div w:id="1053041957">
          <w:marLeft w:val="0"/>
          <w:marRight w:val="0"/>
          <w:marTop w:val="0"/>
          <w:marBottom w:val="0"/>
          <w:divBdr>
            <w:top w:val="none" w:sz="0" w:space="0" w:color="auto"/>
            <w:left w:val="none" w:sz="0" w:space="0" w:color="auto"/>
            <w:bottom w:val="none" w:sz="0" w:space="0" w:color="auto"/>
            <w:right w:val="none" w:sz="0" w:space="0" w:color="auto"/>
          </w:divBdr>
          <w:divsChild>
            <w:div w:id="1128008206">
              <w:marLeft w:val="0"/>
              <w:marRight w:val="0"/>
              <w:marTop w:val="0"/>
              <w:marBottom w:val="0"/>
              <w:divBdr>
                <w:top w:val="none" w:sz="0" w:space="0" w:color="auto"/>
                <w:left w:val="none" w:sz="0" w:space="0" w:color="auto"/>
                <w:bottom w:val="none" w:sz="0" w:space="0" w:color="auto"/>
                <w:right w:val="none" w:sz="0" w:space="0" w:color="auto"/>
              </w:divBdr>
              <w:divsChild>
                <w:div w:id="813910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778933">
      <w:bodyDiv w:val="1"/>
      <w:marLeft w:val="0"/>
      <w:marRight w:val="0"/>
      <w:marTop w:val="0"/>
      <w:marBottom w:val="0"/>
      <w:divBdr>
        <w:top w:val="none" w:sz="0" w:space="0" w:color="auto"/>
        <w:left w:val="none" w:sz="0" w:space="0" w:color="auto"/>
        <w:bottom w:val="none" w:sz="0" w:space="0" w:color="auto"/>
        <w:right w:val="none" w:sz="0" w:space="0" w:color="auto"/>
      </w:divBdr>
    </w:div>
    <w:div w:id="537551931">
      <w:bodyDiv w:val="1"/>
      <w:marLeft w:val="0"/>
      <w:marRight w:val="0"/>
      <w:marTop w:val="0"/>
      <w:marBottom w:val="0"/>
      <w:divBdr>
        <w:top w:val="none" w:sz="0" w:space="0" w:color="auto"/>
        <w:left w:val="none" w:sz="0" w:space="0" w:color="auto"/>
        <w:bottom w:val="none" w:sz="0" w:space="0" w:color="auto"/>
        <w:right w:val="none" w:sz="0" w:space="0" w:color="auto"/>
      </w:divBdr>
      <w:divsChild>
        <w:div w:id="601256021">
          <w:marLeft w:val="0"/>
          <w:marRight w:val="0"/>
          <w:marTop w:val="0"/>
          <w:marBottom w:val="0"/>
          <w:divBdr>
            <w:top w:val="none" w:sz="0" w:space="0" w:color="auto"/>
            <w:left w:val="none" w:sz="0" w:space="0" w:color="auto"/>
            <w:bottom w:val="none" w:sz="0" w:space="0" w:color="auto"/>
            <w:right w:val="none" w:sz="0" w:space="0" w:color="auto"/>
          </w:divBdr>
          <w:divsChild>
            <w:div w:id="879056596">
              <w:marLeft w:val="0"/>
              <w:marRight w:val="0"/>
              <w:marTop w:val="0"/>
              <w:marBottom w:val="0"/>
              <w:divBdr>
                <w:top w:val="none" w:sz="0" w:space="0" w:color="auto"/>
                <w:left w:val="none" w:sz="0" w:space="0" w:color="auto"/>
                <w:bottom w:val="none" w:sz="0" w:space="0" w:color="auto"/>
                <w:right w:val="none" w:sz="0" w:space="0" w:color="auto"/>
              </w:divBdr>
              <w:divsChild>
                <w:div w:id="301808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0601957">
      <w:bodyDiv w:val="1"/>
      <w:marLeft w:val="0"/>
      <w:marRight w:val="0"/>
      <w:marTop w:val="0"/>
      <w:marBottom w:val="0"/>
      <w:divBdr>
        <w:top w:val="none" w:sz="0" w:space="0" w:color="auto"/>
        <w:left w:val="none" w:sz="0" w:space="0" w:color="auto"/>
        <w:bottom w:val="none" w:sz="0" w:space="0" w:color="auto"/>
        <w:right w:val="none" w:sz="0" w:space="0" w:color="auto"/>
      </w:divBdr>
    </w:div>
    <w:div w:id="587344861">
      <w:bodyDiv w:val="1"/>
      <w:marLeft w:val="0"/>
      <w:marRight w:val="0"/>
      <w:marTop w:val="0"/>
      <w:marBottom w:val="0"/>
      <w:divBdr>
        <w:top w:val="none" w:sz="0" w:space="0" w:color="auto"/>
        <w:left w:val="none" w:sz="0" w:space="0" w:color="auto"/>
        <w:bottom w:val="none" w:sz="0" w:space="0" w:color="auto"/>
        <w:right w:val="none" w:sz="0" w:space="0" w:color="auto"/>
      </w:divBdr>
    </w:div>
    <w:div w:id="620651718">
      <w:bodyDiv w:val="1"/>
      <w:marLeft w:val="0"/>
      <w:marRight w:val="0"/>
      <w:marTop w:val="0"/>
      <w:marBottom w:val="0"/>
      <w:divBdr>
        <w:top w:val="none" w:sz="0" w:space="0" w:color="auto"/>
        <w:left w:val="none" w:sz="0" w:space="0" w:color="auto"/>
        <w:bottom w:val="none" w:sz="0" w:space="0" w:color="auto"/>
        <w:right w:val="none" w:sz="0" w:space="0" w:color="auto"/>
      </w:divBdr>
      <w:divsChild>
        <w:div w:id="678779477">
          <w:marLeft w:val="0"/>
          <w:marRight w:val="0"/>
          <w:marTop w:val="0"/>
          <w:marBottom w:val="0"/>
          <w:divBdr>
            <w:top w:val="none" w:sz="0" w:space="0" w:color="auto"/>
            <w:left w:val="none" w:sz="0" w:space="0" w:color="auto"/>
            <w:bottom w:val="none" w:sz="0" w:space="0" w:color="auto"/>
            <w:right w:val="none" w:sz="0" w:space="0" w:color="auto"/>
          </w:divBdr>
          <w:divsChild>
            <w:div w:id="1615093114">
              <w:marLeft w:val="0"/>
              <w:marRight w:val="0"/>
              <w:marTop w:val="0"/>
              <w:marBottom w:val="0"/>
              <w:divBdr>
                <w:top w:val="none" w:sz="0" w:space="0" w:color="auto"/>
                <w:left w:val="none" w:sz="0" w:space="0" w:color="auto"/>
                <w:bottom w:val="none" w:sz="0" w:space="0" w:color="auto"/>
                <w:right w:val="none" w:sz="0" w:space="0" w:color="auto"/>
              </w:divBdr>
              <w:divsChild>
                <w:div w:id="1972708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4775221">
      <w:bodyDiv w:val="1"/>
      <w:marLeft w:val="0"/>
      <w:marRight w:val="0"/>
      <w:marTop w:val="0"/>
      <w:marBottom w:val="0"/>
      <w:divBdr>
        <w:top w:val="none" w:sz="0" w:space="0" w:color="auto"/>
        <w:left w:val="none" w:sz="0" w:space="0" w:color="auto"/>
        <w:bottom w:val="none" w:sz="0" w:space="0" w:color="auto"/>
        <w:right w:val="none" w:sz="0" w:space="0" w:color="auto"/>
      </w:divBdr>
      <w:divsChild>
        <w:div w:id="2135251358">
          <w:marLeft w:val="0"/>
          <w:marRight w:val="0"/>
          <w:marTop w:val="0"/>
          <w:marBottom w:val="0"/>
          <w:divBdr>
            <w:top w:val="none" w:sz="0" w:space="0" w:color="auto"/>
            <w:left w:val="none" w:sz="0" w:space="0" w:color="auto"/>
            <w:bottom w:val="none" w:sz="0" w:space="0" w:color="auto"/>
            <w:right w:val="none" w:sz="0" w:space="0" w:color="auto"/>
          </w:divBdr>
          <w:divsChild>
            <w:div w:id="1786656772">
              <w:marLeft w:val="0"/>
              <w:marRight w:val="0"/>
              <w:marTop w:val="0"/>
              <w:marBottom w:val="0"/>
              <w:divBdr>
                <w:top w:val="none" w:sz="0" w:space="0" w:color="auto"/>
                <w:left w:val="none" w:sz="0" w:space="0" w:color="auto"/>
                <w:bottom w:val="none" w:sz="0" w:space="0" w:color="auto"/>
                <w:right w:val="none" w:sz="0" w:space="0" w:color="auto"/>
              </w:divBdr>
              <w:divsChild>
                <w:div w:id="19550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649903">
      <w:bodyDiv w:val="1"/>
      <w:marLeft w:val="0"/>
      <w:marRight w:val="0"/>
      <w:marTop w:val="0"/>
      <w:marBottom w:val="0"/>
      <w:divBdr>
        <w:top w:val="none" w:sz="0" w:space="0" w:color="auto"/>
        <w:left w:val="none" w:sz="0" w:space="0" w:color="auto"/>
        <w:bottom w:val="none" w:sz="0" w:space="0" w:color="auto"/>
        <w:right w:val="none" w:sz="0" w:space="0" w:color="auto"/>
      </w:divBdr>
    </w:div>
    <w:div w:id="675038115">
      <w:bodyDiv w:val="1"/>
      <w:marLeft w:val="0"/>
      <w:marRight w:val="0"/>
      <w:marTop w:val="0"/>
      <w:marBottom w:val="0"/>
      <w:divBdr>
        <w:top w:val="none" w:sz="0" w:space="0" w:color="auto"/>
        <w:left w:val="none" w:sz="0" w:space="0" w:color="auto"/>
        <w:bottom w:val="none" w:sz="0" w:space="0" w:color="auto"/>
        <w:right w:val="none" w:sz="0" w:space="0" w:color="auto"/>
      </w:divBdr>
    </w:div>
    <w:div w:id="718482567">
      <w:bodyDiv w:val="1"/>
      <w:marLeft w:val="0"/>
      <w:marRight w:val="0"/>
      <w:marTop w:val="0"/>
      <w:marBottom w:val="0"/>
      <w:divBdr>
        <w:top w:val="none" w:sz="0" w:space="0" w:color="auto"/>
        <w:left w:val="none" w:sz="0" w:space="0" w:color="auto"/>
        <w:bottom w:val="none" w:sz="0" w:space="0" w:color="auto"/>
        <w:right w:val="none" w:sz="0" w:space="0" w:color="auto"/>
      </w:divBdr>
    </w:div>
    <w:div w:id="728965210">
      <w:bodyDiv w:val="1"/>
      <w:marLeft w:val="0"/>
      <w:marRight w:val="0"/>
      <w:marTop w:val="0"/>
      <w:marBottom w:val="0"/>
      <w:divBdr>
        <w:top w:val="none" w:sz="0" w:space="0" w:color="auto"/>
        <w:left w:val="none" w:sz="0" w:space="0" w:color="auto"/>
        <w:bottom w:val="none" w:sz="0" w:space="0" w:color="auto"/>
        <w:right w:val="none" w:sz="0" w:space="0" w:color="auto"/>
      </w:divBdr>
    </w:div>
    <w:div w:id="731662108">
      <w:bodyDiv w:val="1"/>
      <w:marLeft w:val="0"/>
      <w:marRight w:val="0"/>
      <w:marTop w:val="0"/>
      <w:marBottom w:val="0"/>
      <w:divBdr>
        <w:top w:val="none" w:sz="0" w:space="0" w:color="auto"/>
        <w:left w:val="none" w:sz="0" w:space="0" w:color="auto"/>
        <w:bottom w:val="none" w:sz="0" w:space="0" w:color="auto"/>
        <w:right w:val="none" w:sz="0" w:space="0" w:color="auto"/>
      </w:divBdr>
      <w:divsChild>
        <w:div w:id="303660332">
          <w:marLeft w:val="0"/>
          <w:marRight w:val="0"/>
          <w:marTop w:val="0"/>
          <w:marBottom w:val="0"/>
          <w:divBdr>
            <w:top w:val="none" w:sz="0" w:space="0" w:color="auto"/>
            <w:left w:val="none" w:sz="0" w:space="0" w:color="auto"/>
            <w:bottom w:val="none" w:sz="0" w:space="0" w:color="auto"/>
            <w:right w:val="none" w:sz="0" w:space="0" w:color="auto"/>
          </w:divBdr>
          <w:divsChild>
            <w:div w:id="1089623070">
              <w:marLeft w:val="0"/>
              <w:marRight w:val="0"/>
              <w:marTop w:val="0"/>
              <w:marBottom w:val="0"/>
              <w:divBdr>
                <w:top w:val="none" w:sz="0" w:space="0" w:color="auto"/>
                <w:left w:val="none" w:sz="0" w:space="0" w:color="auto"/>
                <w:bottom w:val="none" w:sz="0" w:space="0" w:color="auto"/>
                <w:right w:val="none" w:sz="0" w:space="0" w:color="auto"/>
              </w:divBdr>
              <w:divsChild>
                <w:div w:id="1832912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939122">
      <w:bodyDiv w:val="1"/>
      <w:marLeft w:val="0"/>
      <w:marRight w:val="0"/>
      <w:marTop w:val="0"/>
      <w:marBottom w:val="0"/>
      <w:divBdr>
        <w:top w:val="none" w:sz="0" w:space="0" w:color="auto"/>
        <w:left w:val="none" w:sz="0" w:space="0" w:color="auto"/>
        <w:bottom w:val="none" w:sz="0" w:space="0" w:color="auto"/>
        <w:right w:val="none" w:sz="0" w:space="0" w:color="auto"/>
      </w:divBdr>
    </w:div>
    <w:div w:id="736709761">
      <w:bodyDiv w:val="1"/>
      <w:marLeft w:val="0"/>
      <w:marRight w:val="0"/>
      <w:marTop w:val="0"/>
      <w:marBottom w:val="0"/>
      <w:divBdr>
        <w:top w:val="none" w:sz="0" w:space="0" w:color="auto"/>
        <w:left w:val="none" w:sz="0" w:space="0" w:color="auto"/>
        <w:bottom w:val="none" w:sz="0" w:space="0" w:color="auto"/>
        <w:right w:val="none" w:sz="0" w:space="0" w:color="auto"/>
      </w:divBdr>
      <w:divsChild>
        <w:div w:id="738406685">
          <w:marLeft w:val="0"/>
          <w:marRight w:val="0"/>
          <w:marTop w:val="0"/>
          <w:marBottom w:val="0"/>
          <w:divBdr>
            <w:top w:val="none" w:sz="0" w:space="0" w:color="auto"/>
            <w:left w:val="none" w:sz="0" w:space="0" w:color="auto"/>
            <w:bottom w:val="none" w:sz="0" w:space="0" w:color="auto"/>
            <w:right w:val="none" w:sz="0" w:space="0" w:color="auto"/>
          </w:divBdr>
          <w:divsChild>
            <w:div w:id="1573733192">
              <w:marLeft w:val="0"/>
              <w:marRight w:val="0"/>
              <w:marTop w:val="0"/>
              <w:marBottom w:val="0"/>
              <w:divBdr>
                <w:top w:val="none" w:sz="0" w:space="0" w:color="auto"/>
                <w:left w:val="none" w:sz="0" w:space="0" w:color="auto"/>
                <w:bottom w:val="none" w:sz="0" w:space="0" w:color="auto"/>
                <w:right w:val="none" w:sz="0" w:space="0" w:color="auto"/>
              </w:divBdr>
              <w:divsChild>
                <w:div w:id="2007005575">
                  <w:marLeft w:val="0"/>
                  <w:marRight w:val="0"/>
                  <w:marTop w:val="0"/>
                  <w:marBottom w:val="0"/>
                  <w:divBdr>
                    <w:top w:val="none" w:sz="0" w:space="0" w:color="auto"/>
                    <w:left w:val="none" w:sz="0" w:space="0" w:color="auto"/>
                    <w:bottom w:val="none" w:sz="0" w:space="0" w:color="auto"/>
                    <w:right w:val="none" w:sz="0" w:space="0" w:color="auto"/>
                  </w:divBdr>
                  <w:divsChild>
                    <w:div w:id="933825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6347669">
      <w:bodyDiv w:val="1"/>
      <w:marLeft w:val="0"/>
      <w:marRight w:val="0"/>
      <w:marTop w:val="0"/>
      <w:marBottom w:val="0"/>
      <w:divBdr>
        <w:top w:val="none" w:sz="0" w:space="0" w:color="auto"/>
        <w:left w:val="none" w:sz="0" w:space="0" w:color="auto"/>
        <w:bottom w:val="none" w:sz="0" w:space="0" w:color="auto"/>
        <w:right w:val="none" w:sz="0" w:space="0" w:color="auto"/>
      </w:divBdr>
      <w:divsChild>
        <w:div w:id="1821925727">
          <w:marLeft w:val="0"/>
          <w:marRight w:val="0"/>
          <w:marTop w:val="0"/>
          <w:marBottom w:val="0"/>
          <w:divBdr>
            <w:top w:val="none" w:sz="0" w:space="0" w:color="auto"/>
            <w:left w:val="none" w:sz="0" w:space="0" w:color="auto"/>
            <w:bottom w:val="none" w:sz="0" w:space="0" w:color="auto"/>
            <w:right w:val="none" w:sz="0" w:space="0" w:color="auto"/>
          </w:divBdr>
          <w:divsChild>
            <w:div w:id="1426196013">
              <w:marLeft w:val="0"/>
              <w:marRight w:val="0"/>
              <w:marTop w:val="0"/>
              <w:marBottom w:val="0"/>
              <w:divBdr>
                <w:top w:val="none" w:sz="0" w:space="0" w:color="auto"/>
                <w:left w:val="none" w:sz="0" w:space="0" w:color="auto"/>
                <w:bottom w:val="none" w:sz="0" w:space="0" w:color="auto"/>
                <w:right w:val="none" w:sz="0" w:space="0" w:color="auto"/>
              </w:divBdr>
              <w:divsChild>
                <w:div w:id="198778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7361326">
      <w:bodyDiv w:val="1"/>
      <w:marLeft w:val="0"/>
      <w:marRight w:val="0"/>
      <w:marTop w:val="0"/>
      <w:marBottom w:val="0"/>
      <w:divBdr>
        <w:top w:val="none" w:sz="0" w:space="0" w:color="auto"/>
        <w:left w:val="none" w:sz="0" w:space="0" w:color="auto"/>
        <w:bottom w:val="none" w:sz="0" w:space="0" w:color="auto"/>
        <w:right w:val="none" w:sz="0" w:space="0" w:color="auto"/>
      </w:divBdr>
      <w:divsChild>
        <w:div w:id="803886774">
          <w:marLeft w:val="0"/>
          <w:marRight w:val="0"/>
          <w:marTop w:val="0"/>
          <w:marBottom w:val="0"/>
          <w:divBdr>
            <w:top w:val="none" w:sz="0" w:space="0" w:color="auto"/>
            <w:left w:val="none" w:sz="0" w:space="0" w:color="auto"/>
            <w:bottom w:val="none" w:sz="0" w:space="0" w:color="auto"/>
            <w:right w:val="none" w:sz="0" w:space="0" w:color="auto"/>
          </w:divBdr>
          <w:divsChild>
            <w:div w:id="982857546">
              <w:marLeft w:val="0"/>
              <w:marRight w:val="0"/>
              <w:marTop w:val="0"/>
              <w:marBottom w:val="0"/>
              <w:divBdr>
                <w:top w:val="none" w:sz="0" w:space="0" w:color="auto"/>
                <w:left w:val="none" w:sz="0" w:space="0" w:color="auto"/>
                <w:bottom w:val="none" w:sz="0" w:space="0" w:color="auto"/>
                <w:right w:val="none" w:sz="0" w:space="0" w:color="auto"/>
              </w:divBdr>
              <w:divsChild>
                <w:div w:id="2049838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954627">
      <w:bodyDiv w:val="1"/>
      <w:marLeft w:val="0"/>
      <w:marRight w:val="0"/>
      <w:marTop w:val="0"/>
      <w:marBottom w:val="0"/>
      <w:divBdr>
        <w:top w:val="none" w:sz="0" w:space="0" w:color="auto"/>
        <w:left w:val="none" w:sz="0" w:space="0" w:color="auto"/>
        <w:bottom w:val="none" w:sz="0" w:space="0" w:color="auto"/>
        <w:right w:val="none" w:sz="0" w:space="0" w:color="auto"/>
      </w:divBdr>
      <w:divsChild>
        <w:div w:id="1863131413">
          <w:marLeft w:val="0"/>
          <w:marRight w:val="0"/>
          <w:marTop w:val="0"/>
          <w:marBottom w:val="0"/>
          <w:divBdr>
            <w:top w:val="none" w:sz="0" w:space="0" w:color="auto"/>
            <w:left w:val="none" w:sz="0" w:space="0" w:color="auto"/>
            <w:bottom w:val="none" w:sz="0" w:space="0" w:color="auto"/>
            <w:right w:val="none" w:sz="0" w:space="0" w:color="auto"/>
          </w:divBdr>
          <w:divsChild>
            <w:div w:id="1045328607">
              <w:marLeft w:val="0"/>
              <w:marRight w:val="0"/>
              <w:marTop w:val="0"/>
              <w:marBottom w:val="0"/>
              <w:divBdr>
                <w:top w:val="none" w:sz="0" w:space="0" w:color="auto"/>
                <w:left w:val="none" w:sz="0" w:space="0" w:color="auto"/>
                <w:bottom w:val="none" w:sz="0" w:space="0" w:color="auto"/>
                <w:right w:val="none" w:sz="0" w:space="0" w:color="auto"/>
              </w:divBdr>
              <w:divsChild>
                <w:div w:id="1066880387">
                  <w:marLeft w:val="0"/>
                  <w:marRight w:val="0"/>
                  <w:marTop w:val="0"/>
                  <w:marBottom w:val="0"/>
                  <w:divBdr>
                    <w:top w:val="none" w:sz="0" w:space="0" w:color="auto"/>
                    <w:left w:val="none" w:sz="0" w:space="0" w:color="auto"/>
                    <w:bottom w:val="none" w:sz="0" w:space="0" w:color="auto"/>
                    <w:right w:val="none" w:sz="0" w:space="0" w:color="auto"/>
                  </w:divBdr>
                  <w:divsChild>
                    <w:div w:id="2055041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0100886">
      <w:bodyDiv w:val="1"/>
      <w:marLeft w:val="0"/>
      <w:marRight w:val="0"/>
      <w:marTop w:val="0"/>
      <w:marBottom w:val="0"/>
      <w:divBdr>
        <w:top w:val="none" w:sz="0" w:space="0" w:color="auto"/>
        <w:left w:val="none" w:sz="0" w:space="0" w:color="auto"/>
        <w:bottom w:val="none" w:sz="0" w:space="0" w:color="auto"/>
        <w:right w:val="none" w:sz="0" w:space="0" w:color="auto"/>
      </w:divBdr>
    </w:div>
    <w:div w:id="826089039">
      <w:bodyDiv w:val="1"/>
      <w:marLeft w:val="0"/>
      <w:marRight w:val="0"/>
      <w:marTop w:val="0"/>
      <w:marBottom w:val="0"/>
      <w:divBdr>
        <w:top w:val="none" w:sz="0" w:space="0" w:color="auto"/>
        <w:left w:val="none" w:sz="0" w:space="0" w:color="auto"/>
        <w:bottom w:val="none" w:sz="0" w:space="0" w:color="auto"/>
        <w:right w:val="none" w:sz="0" w:space="0" w:color="auto"/>
      </w:divBdr>
      <w:divsChild>
        <w:div w:id="2094425063">
          <w:marLeft w:val="0"/>
          <w:marRight w:val="0"/>
          <w:marTop w:val="0"/>
          <w:marBottom w:val="0"/>
          <w:divBdr>
            <w:top w:val="none" w:sz="0" w:space="0" w:color="auto"/>
            <w:left w:val="none" w:sz="0" w:space="0" w:color="auto"/>
            <w:bottom w:val="none" w:sz="0" w:space="0" w:color="auto"/>
            <w:right w:val="none" w:sz="0" w:space="0" w:color="auto"/>
          </w:divBdr>
        </w:div>
      </w:divsChild>
    </w:div>
    <w:div w:id="831676588">
      <w:bodyDiv w:val="1"/>
      <w:marLeft w:val="0"/>
      <w:marRight w:val="0"/>
      <w:marTop w:val="0"/>
      <w:marBottom w:val="0"/>
      <w:divBdr>
        <w:top w:val="none" w:sz="0" w:space="0" w:color="auto"/>
        <w:left w:val="none" w:sz="0" w:space="0" w:color="auto"/>
        <w:bottom w:val="none" w:sz="0" w:space="0" w:color="auto"/>
        <w:right w:val="none" w:sz="0" w:space="0" w:color="auto"/>
      </w:divBdr>
    </w:div>
    <w:div w:id="878199158">
      <w:bodyDiv w:val="1"/>
      <w:marLeft w:val="0"/>
      <w:marRight w:val="0"/>
      <w:marTop w:val="0"/>
      <w:marBottom w:val="0"/>
      <w:divBdr>
        <w:top w:val="none" w:sz="0" w:space="0" w:color="auto"/>
        <w:left w:val="none" w:sz="0" w:space="0" w:color="auto"/>
        <w:bottom w:val="none" w:sz="0" w:space="0" w:color="auto"/>
        <w:right w:val="none" w:sz="0" w:space="0" w:color="auto"/>
      </w:divBdr>
      <w:divsChild>
        <w:div w:id="1504735324">
          <w:marLeft w:val="0"/>
          <w:marRight w:val="0"/>
          <w:marTop w:val="0"/>
          <w:marBottom w:val="0"/>
          <w:divBdr>
            <w:top w:val="none" w:sz="0" w:space="0" w:color="auto"/>
            <w:left w:val="none" w:sz="0" w:space="0" w:color="auto"/>
            <w:bottom w:val="none" w:sz="0" w:space="0" w:color="auto"/>
            <w:right w:val="none" w:sz="0" w:space="0" w:color="auto"/>
          </w:divBdr>
          <w:divsChild>
            <w:div w:id="229464606">
              <w:marLeft w:val="0"/>
              <w:marRight w:val="0"/>
              <w:marTop w:val="0"/>
              <w:marBottom w:val="0"/>
              <w:divBdr>
                <w:top w:val="none" w:sz="0" w:space="0" w:color="auto"/>
                <w:left w:val="none" w:sz="0" w:space="0" w:color="auto"/>
                <w:bottom w:val="none" w:sz="0" w:space="0" w:color="auto"/>
                <w:right w:val="none" w:sz="0" w:space="0" w:color="auto"/>
              </w:divBdr>
              <w:divsChild>
                <w:div w:id="1470246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54178">
      <w:bodyDiv w:val="1"/>
      <w:marLeft w:val="0"/>
      <w:marRight w:val="0"/>
      <w:marTop w:val="0"/>
      <w:marBottom w:val="0"/>
      <w:divBdr>
        <w:top w:val="none" w:sz="0" w:space="0" w:color="auto"/>
        <w:left w:val="none" w:sz="0" w:space="0" w:color="auto"/>
        <w:bottom w:val="none" w:sz="0" w:space="0" w:color="auto"/>
        <w:right w:val="none" w:sz="0" w:space="0" w:color="auto"/>
      </w:divBdr>
    </w:div>
    <w:div w:id="997264458">
      <w:bodyDiv w:val="1"/>
      <w:marLeft w:val="0"/>
      <w:marRight w:val="0"/>
      <w:marTop w:val="0"/>
      <w:marBottom w:val="0"/>
      <w:divBdr>
        <w:top w:val="none" w:sz="0" w:space="0" w:color="auto"/>
        <w:left w:val="none" w:sz="0" w:space="0" w:color="auto"/>
        <w:bottom w:val="none" w:sz="0" w:space="0" w:color="auto"/>
        <w:right w:val="none" w:sz="0" w:space="0" w:color="auto"/>
      </w:divBdr>
    </w:div>
    <w:div w:id="1034884403">
      <w:bodyDiv w:val="1"/>
      <w:marLeft w:val="0"/>
      <w:marRight w:val="0"/>
      <w:marTop w:val="0"/>
      <w:marBottom w:val="0"/>
      <w:divBdr>
        <w:top w:val="none" w:sz="0" w:space="0" w:color="auto"/>
        <w:left w:val="none" w:sz="0" w:space="0" w:color="auto"/>
        <w:bottom w:val="none" w:sz="0" w:space="0" w:color="auto"/>
        <w:right w:val="none" w:sz="0" w:space="0" w:color="auto"/>
      </w:divBdr>
      <w:divsChild>
        <w:div w:id="1631545556">
          <w:marLeft w:val="0"/>
          <w:marRight w:val="0"/>
          <w:marTop w:val="0"/>
          <w:marBottom w:val="0"/>
          <w:divBdr>
            <w:top w:val="none" w:sz="0" w:space="0" w:color="auto"/>
            <w:left w:val="none" w:sz="0" w:space="0" w:color="auto"/>
            <w:bottom w:val="none" w:sz="0" w:space="0" w:color="auto"/>
            <w:right w:val="none" w:sz="0" w:space="0" w:color="auto"/>
          </w:divBdr>
          <w:divsChild>
            <w:div w:id="970945210">
              <w:marLeft w:val="0"/>
              <w:marRight w:val="0"/>
              <w:marTop w:val="0"/>
              <w:marBottom w:val="0"/>
              <w:divBdr>
                <w:top w:val="none" w:sz="0" w:space="0" w:color="auto"/>
                <w:left w:val="none" w:sz="0" w:space="0" w:color="auto"/>
                <w:bottom w:val="none" w:sz="0" w:space="0" w:color="auto"/>
                <w:right w:val="none" w:sz="0" w:space="0" w:color="auto"/>
              </w:divBdr>
              <w:divsChild>
                <w:div w:id="42404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325168">
      <w:bodyDiv w:val="1"/>
      <w:marLeft w:val="0"/>
      <w:marRight w:val="0"/>
      <w:marTop w:val="0"/>
      <w:marBottom w:val="0"/>
      <w:divBdr>
        <w:top w:val="none" w:sz="0" w:space="0" w:color="auto"/>
        <w:left w:val="none" w:sz="0" w:space="0" w:color="auto"/>
        <w:bottom w:val="none" w:sz="0" w:space="0" w:color="auto"/>
        <w:right w:val="none" w:sz="0" w:space="0" w:color="auto"/>
      </w:divBdr>
    </w:div>
    <w:div w:id="1242330494">
      <w:bodyDiv w:val="1"/>
      <w:marLeft w:val="0"/>
      <w:marRight w:val="0"/>
      <w:marTop w:val="0"/>
      <w:marBottom w:val="0"/>
      <w:divBdr>
        <w:top w:val="none" w:sz="0" w:space="0" w:color="auto"/>
        <w:left w:val="none" w:sz="0" w:space="0" w:color="auto"/>
        <w:bottom w:val="none" w:sz="0" w:space="0" w:color="auto"/>
        <w:right w:val="none" w:sz="0" w:space="0" w:color="auto"/>
      </w:divBdr>
      <w:divsChild>
        <w:div w:id="2136169287">
          <w:marLeft w:val="0"/>
          <w:marRight w:val="0"/>
          <w:marTop w:val="0"/>
          <w:marBottom w:val="0"/>
          <w:divBdr>
            <w:top w:val="none" w:sz="0" w:space="0" w:color="auto"/>
            <w:left w:val="none" w:sz="0" w:space="0" w:color="auto"/>
            <w:bottom w:val="none" w:sz="0" w:space="0" w:color="auto"/>
            <w:right w:val="none" w:sz="0" w:space="0" w:color="auto"/>
          </w:divBdr>
          <w:divsChild>
            <w:div w:id="1680697972">
              <w:marLeft w:val="0"/>
              <w:marRight w:val="0"/>
              <w:marTop w:val="0"/>
              <w:marBottom w:val="0"/>
              <w:divBdr>
                <w:top w:val="none" w:sz="0" w:space="0" w:color="auto"/>
                <w:left w:val="none" w:sz="0" w:space="0" w:color="auto"/>
                <w:bottom w:val="none" w:sz="0" w:space="0" w:color="auto"/>
                <w:right w:val="none" w:sz="0" w:space="0" w:color="auto"/>
              </w:divBdr>
              <w:divsChild>
                <w:div w:id="578709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228043">
      <w:bodyDiv w:val="1"/>
      <w:marLeft w:val="0"/>
      <w:marRight w:val="0"/>
      <w:marTop w:val="0"/>
      <w:marBottom w:val="0"/>
      <w:divBdr>
        <w:top w:val="none" w:sz="0" w:space="0" w:color="auto"/>
        <w:left w:val="none" w:sz="0" w:space="0" w:color="auto"/>
        <w:bottom w:val="none" w:sz="0" w:space="0" w:color="auto"/>
        <w:right w:val="none" w:sz="0" w:space="0" w:color="auto"/>
      </w:divBdr>
      <w:divsChild>
        <w:div w:id="1711756516">
          <w:marLeft w:val="0"/>
          <w:marRight w:val="0"/>
          <w:marTop w:val="0"/>
          <w:marBottom w:val="0"/>
          <w:divBdr>
            <w:top w:val="none" w:sz="0" w:space="0" w:color="auto"/>
            <w:left w:val="none" w:sz="0" w:space="0" w:color="auto"/>
            <w:bottom w:val="none" w:sz="0" w:space="0" w:color="auto"/>
            <w:right w:val="none" w:sz="0" w:space="0" w:color="auto"/>
          </w:divBdr>
          <w:divsChild>
            <w:div w:id="563105940">
              <w:marLeft w:val="0"/>
              <w:marRight w:val="0"/>
              <w:marTop w:val="0"/>
              <w:marBottom w:val="0"/>
              <w:divBdr>
                <w:top w:val="none" w:sz="0" w:space="0" w:color="auto"/>
                <w:left w:val="none" w:sz="0" w:space="0" w:color="auto"/>
                <w:bottom w:val="none" w:sz="0" w:space="0" w:color="auto"/>
                <w:right w:val="none" w:sz="0" w:space="0" w:color="auto"/>
              </w:divBdr>
              <w:divsChild>
                <w:div w:id="208031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030972">
      <w:bodyDiv w:val="1"/>
      <w:marLeft w:val="0"/>
      <w:marRight w:val="0"/>
      <w:marTop w:val="0"/>
      <w:marBottom w:val="0"/>
      <w:divBdr>
        <w:top w:val="none" w:sz="0" w:space="0" w:color="auto"/>
        <w:left w:val="none" w:sz="0" w:space="0" w:color="auto"/>
        <w:bottom w:val="none" w:sz="0" w:space="0" w:color="auto"/>
        <w:right w:val="none" w:sz="0" w:space="0" w:color="auto"/>
      </w:divBdr>
    </w:div>
    <w:div w:id="1272325706">
      <w:bodyDiv w:val="1"/>
      <w:marLeft w:val="0"/>
      <w:marRight w:val="0"/>
      <w:marTop w:val="0"/>
      <w:marBottom w:val="0"/>
      <w:divBdr>
        <w:top w:val="none" w:sz="0" w:space="0" w:color="auto"/>
        <w:left w:val="none" w:sz="0" w:space="0" w:color="auto"/>
        <w:bottom w:val="none" w:sz="0" w:space="0" w:color="auto"/>
        <w:right w:val="none" w:sz="0" w:space="0" w:color="auto"/>
      </w:divBdr>
      <w:divsChild>
        <w:div w:id="978650184">
          <w:marLeft w:val="0"/>
          <w:marRight w:val="0"/>
          <w:marTop w:val="0"/>
          <w:marBottom w:val="0"/>
          <w:divBdr>
            <w:top w:val="none" w:sz="0" w:space="0" w:color="auto"/>
            <w:left w:val="none" w:sz="0" w:space="0" w:color="auto"/>
            <w:bottom w:val="none" w:sz="0" w:space="0" w:color="auto"/>
            <w:right w:val="none" w:sz="0" w:space="0" w:color="auto"/>
          </w:divBdr>
          <w:divsChild>
            <w:div w:id="33039387">
              <w:marLeft w:val="0"/>
              <w:marRight w:val="0"/>
              <w:marTop w:val="0"/>
              <w:marBottom w:val="0"/>
              <w:divBdr>
                <w:top w:val="none" w:sz="0" w:space="0" w:color="auto"/>
                <w:left w:val="none" w:sz="0" w:space="0" w:color="auto"/>
                <w:bottom w:val="none" w:sz="0" w:space="0" w:color="auto"/>
                <w:right w:val="none" w:sz="0" w:space="0" w:color="auto"/>
              </w:divBdr>
              <w:divsChild>
                <w:div w:id="20667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6568762">
      <w:bodyDiv w:val="1"/>
      <w:marLeft w:val="0"/>
      <w:marRight w:val="0"/>
      <w:marTop w:val="0"/>
      <w:marBottom w:val="0"/>
      <w:divBdr>
        <w:top w:val="none" w:sz="0" w:space="0" w:color="auto"/>
        <w:left w:val="none" w:sz="0" w:space="0" w:color="auto"/>
        <w:bottom w:val="none" w:sz="0" w:space="0" w:color="auto"/>
        <w:right w:val="none" w:sz="0" w:space="0" w:color="auto"/>
      </w:divBdr>
    </w:div>
    <w:div w:id="1298753944">
      <w:bodyDiv w:val="1"/>
      <w:marLeft w:val="0"/>
      <w:marRight w:val="0"/>
      <w:marTop w:val="0"/>
      <w:marBottom w:val="0"/>
      <w:divBdr>
        <w:top w:val="none" w:sz="0" w:space="0" w:color="auto"/>
        <w:left w:val="none" w:sz="0" w:space="0" w:color="auto"/>
        <w:bottom w:val="none" w:sz="0" w:space="0" w:color="auto"/>
        <w:right w:val="none" w:sz="0" w:space="0" w:color="auto"/>
      </w:divBdr>
    </w:div>
    <w:div w:id="1312708862">
      <w:bodyDiv w:val="1"/>
      <w:marLeft w:val="0"/>
      <w:marRight w:val="0"/>
      <w:marTop w:val="0"/>
      <w:marBottom w:val="0"/>
      <w:divBdr>
        <w:top w:val="none" w:sz="0" w:space="0" w:color="auto"/>
        <w:left w:val="none" w:sz="0" w:space="0" w:color="auto"/>
        <w:bottom w:val="none" w:sz="0" w:space="0" w:color="auto"/>
        <w:right w:val="none" w:sz="0" w:space="0" w:color="auto"/>
      </w:divBdr>
    </w:div>
    <w:div w:id="1319764807">
      <w:bodyDiv w:val="1"/>
      <w:marLeft w:val="0"/>
      <w:marRight w:val="0"/>
      <w:marTop w:val="0"/>
      <w:marBottom w:val="0"/>
      <w:divBdr>
        <w:top w:val="none" w:sz="0" w:space="0" w:color="auto"/>
        <w:left w:val="none" w:sz="0" w:space="0" w:color="auto"/>
        <w:bottom w:val="none" w:sz="0" w:space="0" w:color="auto"/>
        <w:right w:val="none" w:sz="0" w:space="0" w:color="auto"/>
      </w:divBdr>
    </w:div>
    <w:div w:id="1330720347">
      <w:bodyDiv w:val="1"/>
      <w:marLeft w:val="0"/>
      <w:marRight w:val="0"/>
      <w:marTop w:val="0"/>
      <w:marBottom w:val="0"/>
      <w:divBdr>
        <w:top w:val="none" w:sz="0" w:space="0" w:color="auto"/>
        <w:left w:val="none" w:sz="0" w:space="0" w:color="auto"/>
        <w:bottom w:val="none" w:sz="0" w:space="0" w:color="auto"/>
        <w:right w:val="none" w:sz="0" w:space="0" w:color="auto"/>
      </w:divBdr>
    </w:div>
    <w:div w:id="1361972889">
      <w:bodyDiv w:val="1"/>
      <w:marLeft w:val="0"/>
      <w:marRight w:val="0"/>
      <w:marTop w:val="0"/>
      <w:marBottom w:val="0"/>
      <w:divBdr>
        <w:top w:val="none" w:sz="0" w:space="0" w:color="auto"/>
        <w:left w:val="none" w:sz="0" w:space="0" w:color="auto"/>
        <w:bottom w:val="none" w:sz="0" w:space="0" w:color="auto"/>
        <w:right w:val="none" w:sz="0" w:space="0" w:color="auto"/>
      </w:divBdr>
      <w:divsChild>
        <w:div w:id="1750813620">
          <w:marLeft w:val="0"/>
          <w:marRight w:val="0"/>
          <w:marTop w:val="0"/>
          <w:marBottom w:val="0"/>
          <w:divBdr>
            <w:top w:val="none" w:sz="0" w:space="0" w:color="auto"/>
            <w:left w:val="none" w:sz="0" w:space="0" w:color="auto"/>
            <w:bottom w:val="none" w:sz="0" w:space="0" w:color="auto"/>
            <w:right w:val="none" w:sz="0" w:space="0" w:color="auto"/>
          </w:divBdr>
          <w:divsChild>
            <w:div w:id="210193042">
              <w:marLeft w:val="0"/>
              <w:marRight w:val="0"/>
              <w:marTop w:val="0"/>
              <w:marBottom w:val="0"/>
              <w:divBdr>
                <w:top w:val="none" w:sz="0" w:space="0" w:color="auto"/>
                <w:left w:val="none" w:sz="0" w:space="0" w:color="auto"/>
                <w:bottom w:val="none" w:sz="0" w:space="0" w:color="auto"/>
                <w:right w:val="none" w:sz="0" w:space="0" w:color="auto"/>
              </w:divBdr>
              <w:divsChild>
                <w:div w:id="189030117">
                  <w:marLeft w:val="0"/>
                  <w:marRight w:val="0"/>
                  <w:marTop w:val="0"/>
                  <w:marBottom w:val="0"/>
                  <w:divBdr>
                    <w:top w:val="none" w:sz="0" w:space="0" w:color="auto"/>
                    <w:left w:val="none" w:sz="0" w:space="0" w:color="auto"/>
                    <w:bottom w:val="none" w:sz="0" w:space="0" w:color="auto"/>
                    <w:right w:val="none" w:sz="0" w:space="0" w:color="auto"/>
                  </w:divBdr>
                  <w:divsChild>
                    <w:div w:id="813789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7899102">
      <w:bodyDiv w:val="1"/>
      <w:marLeft w:val="0"/>
      <w:marRight w:val="0"/>
      <w:marTop w:val="0"/>
      <w:marBottom w:val="0"/>
      <w:divBdr>
        <w:top w:val="none" w:sz="0" w:space="0" w:color="auto"/>
        <w:left w:val="none" w:sz="0" w:space="0" w:color="auto"/>
        <w:bottom w:val="none" w:sz="0" w:space="0" w:color="auto"/>
        <w:right w:val="none" w:sz="0" w:space="0" w:color="auto"/>
      </w:divBdr>
      <w:divsChild>
        <w:div w:id="1525170413">
          <w:marLeft w:val="0"/>
          <w:marRight w:val="0"/>
          <w:marTop w:val="0"/>
          <w:marBottom w:val="0"/>
          <w:divBdr>
            <w:top w:val="none" w:sz="0" w:space="0" w:color="auto"/>
            <w:left w:val="none" w:sz="0" w:space="0" w:color="auto"/>
            <w:bottom w:val="none" w:sz="0" w:space="0" w:color="auto"/>
            <w:right w:val="none" w:sz="0" w:space="0" w:color="auto"/>
          </w:divBdr>
          <w:divsChild>
            <w:div w:id="1710181273">
              <w:marLeft w:val="0"/>
              <w:marRight w:val="0"/>
              <w:marTop w:val="0"/>
              <w:marBottom w:val="0"/>
              <w:divBdr>
                <w:top w:val="none" w:sz="0" w:space="0" w:color="auto"/>
                <w:left w:val="none" w:sz="0" w:space="0" w:color="auto"/>
                <w:bottom w:val="none" w:sz="0" w:space="0" w:color="auto"/>
                <w:right w:val="none" w:sz="0" w:space="0" w:color="auto"/>
              </w:divBdr>
              <w:divsChild>
                <w:div w:id="1615138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932734">
      <w:bodyDiv w:val="1"/>
      <w:marLeft w:val="0"/>
      <w:marRight w:val="0"/>
      <w:marTop w:val="0"/>
      <w:marBottom w:val="0"/>
      <w:divBdr>
        <w:top w:val="none" w:sz="0" w:space="0" w:color="auto"/>
        <w:left w:val="none" w:sz="0" w:space="0" w:color="auto"/>
        <w:bottom w:val="none" w:sz="0" w:space="0" w:color="auto"/>
        <w:right w:val="none" w:sz="0" w:space="0" w:color="auto"/>
      </w:divBdr>
    </w:div>
    <w:div w:id="1391683979">
      <w:bodyDiv w:val="1"/>
      <w:marLeft w:val="0"/>
      <w:marRight w:val="0"/>
      <w:marTop w:val="0"/>
      <w:marBottom w:val="0"/>
      <w:divBdr>
        <w:top w:val="none" w:sz="0" w:space="0" w:color="auto"/>
        <w:left w:val="none" w:sz="0" w:space="0" w:color="auto"/>
        <w:bottom w:val="none" w:sz="0" w:space="0" w:color="auto"/>
        <w:right w:val="none" w:sz="0" w:space="0" w:color="auto"/>
      </w:divBdr>
    </w:div>
    <w:div w:id="1412461799">
      <w:bodyDiv w:val="1"/>
      <w:marLeft w:val="0"/>
      <w:marRight w:val="0"/>
      <w:marTop w:val="0"/>
      <w:marBottom w:val="0"/>
      <w:divBdr>
        <w:top w:val="none" w:sz="0" w:space="0" w:color="auto"/>
        <w:left w:val="none" w:sz="0" w:space="0" w:color="auto"/>
        <w:bottom w:val="none" w:sz="0" w:space="0" w:color="auto"/>
        <w:right w:val="none" w:sz="0" w:space="0" w:color="auto"/>
      </w:divBdr>
    </w:div>
    <w:div w:id="1425034117">
      <w:bodyDiv w:val="1"/>
      <w:marLeft w:val="0"/>
      <w:marRight w:val="0"/>
      <w:marTop w:val="0"/>
      <w:marBottom w:val="0"/>
      <w:divBdr>
        <w:top w:val="none" w:sz="0" w:space="0" w:color="auto"/>
        <w:left w:val="none" w:sz="0" w:space="0" w:color="auto"/>
        <w:bottom w:val="none" w:sz="0" w:space="0" w:color="auto"/>
        <w:right w:val="none" w:sz="0" w:space="0" w:color="auto"/>
      </w:divBdr>
      <w:divsChild>
        <w:div w:id="22025163">
          <w:marLeft w:val="0"/>
          <w:marRight w:val="0"/>
          <w:marTop w:val="0"/>
          <w:marBottom w:val="0"/>
          <w:divBdr>
            <w:top w:val="none" w:sz="0" w:space="0" w:color="auto"/>
            <w:left w:val="none" w:sz="0" w:space="0" w:color="auto"/>
            <w:bottom w:val="none" w:sz="0" w:space="0" w:color="auto"/>
            <w:right w:val="none" w:sz="0" w:space="0" w:color="auto"/>
          </w:divBdr>
          <w:divsChild>
            <w:div w:id="1948393107">
              <w:marLeft w:val="0"/>
              <w:marRight w:val="0"/>
              <w:marTop w:val="0"/>
              <w:marBottom w:val="0"/>
              <w:divBdr>
                <w:top w:val="none" w:sz="0" w:space="0" w:color="auto"/>
                <w:left w:val="none" w:sz="0" w:space="0" w:color="auto"/>
                <w:bottom w:val="none" w:sz="0" w:space="0" w:color="auto"/>
                <w:right w:val="none" w:sz="0" w:space="0" w:color="auto"/>
              </w:divBdr>
              <w:divsChild>
                <w:div w:id="71246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646681">
      <w:bodyDiv w:val="1"/>
      <w:marLeft w:val="0"/>
      <w:marRight w:val="0"/>
      <w:marTop w:val="0"/>
      <w:marBottom w:val="0"/>
      <w:divBdr>
        <w:top w:val="none" w:sz="0" w:space="0" w:color="auto"/>
        <w:left w:val="none" w:sz="0" w:space="0" w:color="auto"/>
        <w:bottom w:val="none" w:sz="0" w:space="0" w:color="auto"/>
        <w:right w:val="none" w:sz="0" w:space="0" w:color="auto"/>
      </w:divBdr>
      <w:divsChild>
        <w:div w:id="1621916419">
          <w:marLeft w:val="0"/>
          <w:marRight w:val="0"/>
          <w:marTop w:val="0"/>
          <w:marBottom w:val="0"/>
          <w:divBdr>
            <w:top w:val="none" w:sz="0" w:space="0" w:color="auto"/>
            <w:left w:val="none" w:sz="0" w:space="0" w:color="auto"/>
            <w:bottom w:val="none" w:sz="0" w:space="0" w:color="auto"/>
            <w:right w:val="none" w:sz="0" w:space="0" w:color="auto"/>
          </w:divBdr>
          <w:divsChild>
            <w:div w:id="1998655458">
              <w:marLeft w:val="0"/>
              <w:marRight w:val="0"/>
              <w:marTop w:val="0"/>
              <w:marBottom w:val="0"/>
              <w:divBdr>
                <w:top w:val="none" w:sz="0" w:space="0" w:color="auto"/>
                <w:left w:val="none" w:sz="0" w:space="0" w:color="auto"/>
                <w:bottom w:val="none" w:sz="0" w:space="0" w:color="auto"/>
                <w:right w:val="none" w:sz="0" w:space="0" w:color="auto"/>
              </w:divBdr>
              <w:divsChild>
                <w:div w:id="949048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4249656">
      <w:bodyDiv w:val="1"/>
      <w:marLeft w:val="0"/>
      <w:marRight w:val="0"/>
      <w:marTop w:val="0"/>
      <w:marBottom w:val="0"/>
      <w:divBdr>
        <w:top w:val="none" w:sz="0" w:space="0" w:color="auto"/>
        <w:left w:val="none" w:sz="0" w:space="0" w:color="auto"/>
        <w:bottom w:val="none" w:sz="0" w:space="0" w:color="auto"/>
        <w:right w:val="none" w:sz="0" w:space="0" w:color="auto"/>
      </w:divBdr>
    </w:div>
    <w:div w:id="1528761096">
      <w:bodyDiv w:val="1"/>
      <w:marLeft w:val="0"/>
      <w:marRight w:val="0"/>
      <w:marTop w:val="0"/>
      <w:marBottom w:val="0"/>
      <w:divBdr>
        <w:top w:val="none" w:sz="0" w:space="0" w:color="auto"/>
        <w:left w:val="none" w:sz="0" w:space="0" w:color="auto"/>
        <w:bottom w:val="none" w:sz="0" w:space="0" w:color="auto"/>
        <w:right w:val="none" w:sz="0" w:space="0" w:color="auto"/>
      </w:divBdr>
      <w:divsChild>
        <w:div w:id="1308851658">
          <w:marLeft w:val="0"/>
          <w:marRight w:val="0"/>
          <w:marTop w:val="0"/>
          <w:marBottom w:val="0"/>
          <w:divBdr>
            <w:top w:val="none" w:sz="0" w:space="0" w:color="auto"/>
            <w:left w:val="none" w:sz="0" w:space="0" w:color="auto"/>
            <w:bottom w:val="none" w:sz="0" w:space="0" w:color="auto"/>
            <w:right w:val="none" w:sz="0" w:space="0" w:color="auto"/>
          </w:divBdr>
          <w:divsChild>
            <w:div w:id="660427520">
              <w:marLeft w:val="0"/>
              <w:marRight w:val="0"/>
              <w:marTop w:val="0"/>
              <w:marBottom w:val="0"/>
              <w:divBdr>
                <w:top w:val="none" w:sz="0" w:space="0" w:color="auto"/>
                <w:left w:val="none" w:sz="0" w:space="0" w:color="auto"/>
                <w:bottom w:val="none" w:sz="0" w:space="0" w:color="auto"/>
                <w:right w:val="none" w:sz="0" w:space="0" w:color="auto"/>
              </w:divBdr>
              <w:divsChild>
                <w:div w:id="1659260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361818">
      <w:bodyDiv w:val="1"/>
      <w:marLeft w:val="0"/>
      <w:marRight w:val="0"/>
      <w:marTop w:val="0"/>
      <w:marBottom w:val="0"/>
      <w:divBdr>
        <w:top w:val="none" w:sz="0" w:space="0" w:color="auto"/>
        <w:left w:val="none" w:sz="0" w:space="0" w:color="auto"/>
        <w:bottom w:val="none" w:sz="0" w:space="0" w:color="auto"/>
        <w:right w:val="none" w:sz="0" w:space="0" w:color="auto"/>
      </w:divBdr>
      <w:divsChild>
        <w:div w:id="1371612201">
          <w:marLeft w:val="0"/>
          <w:marRight w:val="0"/>
          <w:marTop w:val="0"/>
          <w:marBottom w:val="0"/>
          <w:divBdr>
            <w:top w:val="none" w:sz="0" w:space="0" w:color="auto"/>
            <w:left w:val="none" w:sz="0" w:space="0" w:color="auto"/>
            <w:bottom w:val="none" w:sz="0" w:space="0" w:color="auto"/>
            <w:right w:val="none" w:sz="0" w:space="0" w:color="auto"/>
          </w:divBdr>
          <w:divsChild>
            <w:div w:id="215438004">
              <w:marLeft w:val="0"/>
              <w:marRight w:val="0"/>
              <w:marTop w:val="0"/>
              <w:marBottom w:val="0"/>
              <w:divBdr>
                <w:top w:val="none" w:sz="0" w:space="0" w:color="auto"/>
                <w:left w:val="none" w:sz="0" w:space="0" w:color="auto"/>
                <w:bottom w:val="none" w:sz="0" w:space="0" w:color="auto"/>
                <w:right w:val="none" w:sz="0" w:space="0" w:color="auto"/>
              </w:divBdr>
              <w:divsChild>
                <w:div w:id="518861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121401">
      <w:bodyDiv w:val="1"/>
      <w:marLeft w:val="0"/>
      <w:marRight w:val="0"/>
      <w:marTop w:val="0"/>
      <w:marBottom w:val="0"/>
      <w:divBdr>
        <w:top w:val="none" w:sz="0" w:space="0" w:color="auto"/>
        <w:left w:val="none" w:sz="0" w:space="0" w:color="auto"/>
        <w:bottom w:val="none" w:sz="0" w:space="0" w:color="auto"/>
        <w:right w:val="none" w:sz="0" w:space="0" w:color="auto"/>
      </w:divBdr>
      <w:divsChild>
        <w:div w:id="107354360">
          <w:marLeft w:val="0"/>
          <w:marRight w:val="0"/>
          <w:marTop w:val="0"/>
          <w:marBottom w:val="0"/>
          <w:divBdr>
            <w:top w:val="none" w:sz="0" w:space="0" w:color="auto"/>
            <w:left w:val="none" w:sz="0" w:space="0" w:color="auto"/>
            <w:bottom w:val="none" w:sz="0" w:space="0" w:color="auto"/>
            <w:right w:val="none" w:sz="0" w:space="0" w:color="auto"/>
          </w:divBdr>
          <w:divsChild>
            <w:div w:id="707489206">
              <w:marLeft w:val="0"/>
              <w:marRight w:val="0"/>
              <w:marTop w:val="0"/>
              <w:marBottom w:val="0"/>
              <w:divBdr>
                <w:top w:val="none" w:sz="0" w:space="0" w:color="auto"/>
                <w:left w:val="none" w:sz="0" w:space="0" w:color="auto"/>
                <w:bottom w:val="none" w:sz="0" w:space="0" w:color="auto"/>
                <w:right w:val="none" w:sz="0" w:space="0" w:color="auto"/>
              </w:divBdr>
              <w:divsChild>
                <w:div w:id="434636625">
                  <w:marLeft w:val="0"/>
                  <w:marRight w:val="0"/>
                  <w:marTop w:val="0"/>
                  <w:marBottom w:val="0"/>
                  <w:divBdr>
                    <w:top w:val="none" w:sz="0" w:space="0" w:color="auto"/>
                    <w:left w:val="none" w:sz="0" w:space="0" w:color="auto"/>
                    <w:bottom w:val="none" w:sz="0" w:space="0" w:color="auto"/>
                    <w:right w:val="none" w:sz="0" w:space="0" w:color="auto"/>
                  </w:divBdr>
                  <w:divsChild>
                    <w:div w:id="108587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5361759">
      <w:bodyDiv w:val="1"/>
      <w:marLeft w:val="0"/>
      <w:marRight w:val="0"/>
      <w:marTop w:val="0"/>
      <w:marBottom w:val="0"/>
      <w:divBdr>
        <w:top w:val="none" w:sz="0" w:space="0" w:color="auto"/>
        <w:left w:val="none" w:sz="0" w:space="0" w:color="auto"/>
        <w:bottom w:val="none" w:sz="0" w:space="0" w:color="auto"/>
        <w:right w:val="none" w:sz="0" w:space="0" w:color="auto"/>
      </w:divBdr>
      <w:divsChild>
        <w:div w:id="427193525">
          <w:marLeft w:val="0"/>
          <w:marRight w:val="0"/>
          <w:marTop w:val="0"/>
          <w:marBottom w:val="0"/>
          <w:divBdr>
            <w:top w:val="none" w:sz="0" w:space="0" w:color="auto"/>
            <w:left w:val="none" w:sz="0" w:space="0" w:color="auto"/>
            <w:bottom w:val="none" w:sz="0" w:space="0" w:color="auto"/>
            <w:right w:val="none" w:sz="0" w:space="0" w:color="auto"/>
          </w:divBdr>
          <w:divsChild>
            <w:div w:id="1533422239">
              <w:marLeft w:val="0"/>
              <w:marRight w:val="0"/>
              <w:marTop w:val="0"/>
              <w:marBottom w:val="0"/>
              <w:divBdr>
                <w:top w:val="none" w:sz="0" w:space="0" w:color="auto"/>
                <w:left w:val="none" w:sz="0" w:space="0" w:color="auto"/>
                <w:bottom w:val="none" w:sz="0" w:space="0" w:color="auto"/>
                <w:right w:val="none" w:sz="0" w:space="0" w:color="auto"/>
              </w:divBdr>
              <w:divsChild>
                <w:div w:id="166868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209698">
      <w:bodyDiv w:val="1"/>
      <w:marLeft w:val="0"/>
      <w:marRight w:val="0"/>
      <w:marTop w:val="0"/>
      <w:marBottom w:val="0"/>
      <w:divBdr>
        <w:top w:val="none" w:sz="0" w:space="0" w:color="auto"/>
        <w:left w:val="none" w:sz="0" w:space="0" w:color="auto"/>
        <w:bottom w:val="none" w:sz="0" w:space="0" w:color="auto"/>
        <w:right w:val="none" w:sz="0" w:space="0" w:color="auto"/>
      </w:divBdr>
    </w:div>
    <w:div w:id="1684748190">
      <w:bodyDiv w:val="1"/>
      <w:marLeft w:val="0"/>
      <w:marRight w:val="0"/>
      <w:marTop w:val="0"/>
      <w:marBottom w:val="0"/>
      <w:divBdr>
        <w:top w:val="none" w:sz="0" w:space="0" w:color="auto"/>
        <w:left w:val="none" w:sz="0" w:space="0" w:color="auto"/>
        <w:bottom w:val="none" w:sz="0" w:space="0" w:color="auto"/>
        <w:right w:val="none" w:sz="0" w:space="0" w:color="auto"/>
      </w:divBdr>
      <w:divsChild>
        <w:div w:id="744497367">
          <w:marLeft w:val="0"/>
          <w:marRight w:val="0"/>
          <w:marTop w:val="0"/>
          <w:marBottom w:val="0"/>
          <w:divBdr>
            <w:top w:val="none" w:sz="0" w:space="0" w:color="auto"/>
            <w:left w:val="none" w:sz="0" w:space="0" w:color="auto"/>
            <w:bottom w:val="none" w:sz="0" w:space="0" w:color="auto"/>
            <w:right w:val="none" w:sz="0" w:space="0" w:color="auto"/>
          </w:divBdr>
          <w:divsChild>
            <w:div w:id="971444146">
              <w:marLeft w:val="0"/>
              <w:marRight w:val="0"/>
              <w:marTop w:val="0"/>
              <w:marBottom w:val="0"/>
              <w:divBdr>
                <w:top w:val="none" w:sz="0" w:space="0" w:color="auto"/>
                <w:left w:val="none" w:sz="0" w:space="0" w:color="auto"/>
                <w:bottom w:val="none" w:sz="0" w:space="0" w:color="auto"/>
                <w:right w:val="none" w:sz="0" w:space="0" w:color="auto"/>
              </w:divBdr>
              <w:divsChild>
                <w:div w:id="1623994359">
                  <w:marLeft w:val="0"/>
                  <w:marRight w:val="0"/>
                  <w:marTop w:val="0"/>
                  <w:marBottom w:val="0"/>
                  <w:divBdr>
                    <w:top w:val="none" w:sz="0" w:space="0" w:color="auto"/>
                    <w:left w:val="none" w:sz="0" w:space="0" w:color="auto"/>
                    <w:bottom w:val="none" w:sz="0" w:space="0" w:color="auto"/>
                    <w:right w:val="none" w:sz="0" w:space="0" w:color="auto"/>
                  </w:divBdr>
                  <w:divsChild>
                    <w:div w:id="1762795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0453497">
      <w:bodyDiv w:val="1"/>
      <w:marLeft w:val="0"/>
      <w:marRight w:val="0"/>
      <w:marTop w:val="0"/>
      <w:marBottom w:val="0"/>
      <w:divBdr>
        <w:top w:val="none" w:sz="0" w:space="0" w:color="auto"/>
        <w:left w:val="none" w:sz="0" w:space="0" w:color="auto"/>
        <w:bottom w:val="none" w:sz="0" w:space="0" w:color="auto"/>
        <w:right w:val="none" w:sz="0" w:space="0" w:color="auto"/>
      </w:divBdr>
    </w:div>
    <w:div w:id="1704594027">
      <w:bodyDiv w:val="1"/>
      <w:marLeft w:val="0"/>
      <w:marRight w:val="0"/>
      <w:marTop w:val="0"/>
      <w:marBottom w:val="0"/>
      <w:divBdr>
        <w:top w:val="none" w:sz="0" w:space="0" w:color="auto"/>
        <w:left w:val="none" w:sz="0" w:space="0" w:color="auto"/>
        <w:bottom w:val="none" w:sz="0" w:space="0" w:color="auto"/>
        <w:right w:val="none" w:sz="0" w:space="0" w:color="auto"/>
      </w:divBdr>
    </w:div>
    <w:div w:id="1710687868">
      <w:bodyDiv w:val="1"/>
      <w:marLeft w:val="0"/>
      <w:marRight w:val="0"/>
      <w:marTop w:val="0"/>
      <w:marBottom w:val="0"/>
      <w:divBdr>
        <w:top w:val="none" w:sz="0" w:space="0" w:color="auto"/>
        <w:left w:val="none" w:sz="0" w:space="0" w:color="auto"/>
        <w:bottom w:val="none" w:sz="0" w:space="0" w:color="auto"/>
        <w:right w:val="none" w:sz="0" w:space="0" w:color="auto"/>
      </w:divBdr>
      <w:divsChild>
        <w:div w:id="1834106176">
          <w:marLeft w:val="0"/>
          <w:marRight w:val="0"/>
          <w:marTop w:val="0"/>
          <w:marBottom w:val="0"/>
          <w:divBdr>
            <w:top w:val="none" w:sz="0" w:space="0" w:color="auto"/>
            <w:left w:val="none" w:sz="0" w:space="0" w:color="auto"/>
            <w:bottom w:val="none" w:sz="0" w:space="0" w:color="auto"/>
            <w:right w:val="none" w:sz="0" w:space="0" w:color="auto"/>
          </w:divBdr>
          <w:divsChild>
            <w:div w:id="782188671">
              <w:marLeft w:val="0"/>
              <w:marRight w:val="0"/>
              <w:marTop w:val="0"/>
              <w:marBottom w:val="0"/>
              <w:divBdr>
                <w:top w:val="none" w:sz="0" w:space="0" w:color="auto"/>
                <w:left w:val="none" w:sz="0" w:space="0" w:color="auto"/>
                <w:bottom w:val="none" w:sz="0" w:space="0" w:color="auto"/>
                <w:right w:val="none" w:sz="0" w:space="0" w:color="auto"/>
              </w:divBdr>
              <w:divsChild>
                <w:div w:id="1960330266">
                  <w:marLeft w:val="0"/>
                  <w:marRight w:val="0"/>
                  <w:marTop w:val="0"/>
                  <w:marBottom w:val="0"/>
                  <w:divBdr>
                    <w:top w:val="none" w:sz="0" w:space="0" w:color="auto"/>
                    <w:left w:val="none" w:sz="0" w:space="0" w:color="auto"/>
                    <w:bottom w:val="none" w:sz="0" w:space="0" w:color="auto"/>
                    <w:right w:val="none" w:sz="0" w:space="0" w:color="auto"/>
                  </w:divBdr>
                  <w:divsChild>
                    <w:div w:id="38931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5808697">
      <w:bodyDiv w:val="1"/>
      <w:marLeft w:val="0"/>
      <w:marRight w:val="0"/>
      <w:marTop w:val="0"/>
      <w:marBottom w:val="0"/>
      <w:divBdr>
        <w:top w:val="none" w:sz="0" w:space="0" w:color="auto"/>
        <w:left w:val="none" w:sz="0" w:space="0" w:color="auto"/>
        <w:bottom w:val="none" w:sz="0" w:space="0" w:color="auto"/>
        <w:right w:val="none" w:sz="0" w:space="0" w:color="auto"/>
      </w:divBdr>
      <w:divsChild>
        <w:div w:id="1488399882">
          <w:marLeft w:val="0"/>
          <w:marRight w:val="0"/>
          <w:marTop w:val="0"/>
          <w:marBottom w:val="0"/>
          <w:divBdr>
            <w:top w:val="none" w:sz="0" w:space="0" w:color="auto"/>
            <w:left w:val="none" w:sz="0" w:space="0" w:color="auto"/>
            <w:bottom w:val="none" w:sz="0" w:space="0" w:color="auto"/>
            <w:right w:val="none" w:sz="0" w:space="0" w:color="auto"/>
          </w:divBdr>
        </w:div>
        <w:div w:id="1372802185">
          <w:marLeft w:val="0"/>
          <w:marRight w:val="0"/>
          <w:marTop w:val="0"/>
          <w:marBottom w:val="0"/>
          <w:divBdr>
            <w:top w:val="none" w:sz="0" w:space="0" w:color="auto"/>
            <w:left w:val="none" w:sz="0" w:space="0" w:color="auto"/>
            <w:bottom w:val="none" w:sz="0" w:space="0" w:color="auto"/>
            <w:right w:val="none" w:sz="0" w:space="0" w:color="auto"/>
          </w:divBdr>
        </w:div>
        <w:div w:id="1163427758">
          <w:marLeft w:val="0"/>
          <w:marRight w:val="0"/>
          <w:marTop w:val="0"/>
          <w:marBottom w:val="0"/>
          <w:divBdr>
            <w:top w:val="none" w:sz="0" w:space="0" w:color="auto"/>
            <w:left w:val="none" w:sz="0" w:space="0" w:color="auto"/>
            <w:bottom w:val="none" w:sz="0" w:space="0" w:color="auto"/>
            <w:right w:val="none" w:sz="0" w:space="0" w:color="auto"/>
          </w:divBdr>
        </w:div>
        <w:div w:id="1746997844">
          <w:marLeft w:val="0"/>
          <w:marRight w:val="0"/>
          <w:marTop w:val="0"/>
          <w:marBottom w:val="0"/>
          <w:divBdr>
            <w:top w:val="none" w:sz="0" w:space="0" w:color="auto"/>
            <w:left w:val="none" w:sz="0" w:space="0" w:color="auto"/>
            <w:bottom w:val="none" w:sz="0" w:space="0" w:color="auto"/>
            <w:right w:val="none" w:sz="0" w:space="0" w:color="auto"/>
          </w:divBdr>
        </w:div>
        <w:div w:id="760682002">
          <w:marLeft w:val="0"/>
          <w:marRight w:val="0"/>
          <w:marTop w:val="0"/>
          <w:marBottom w:val="0"/>
          <w:divBdr>
            <w:top w:val="none" w:sz="0" w:space="0" w:color="auto"/>
            <w:left w:val="none" w:sz="0" w:space="0" w:color="auto"/>
            <w:bottom w:val="none" w:sz="0" w:space="0" w:color="auto"/>
            <w:right w:val="none" w:sz="0" w:space="0" w:color="auto"/>
          </w:divBdr>
        </w:div>
        <w:div w:id="923493621">
          <w:marLeft w:val="0"/>
          <w:marRight w:val="0"/>
          <w:marTop w:val="0"/>
          <w:marBottom w:val="0"/>
          <w:divBdr>
            <w:top w:val="none" w:sz="0" w:space="0" w:color="auto"/>
            <w:left w:val="none" w:sz="0" w:space="0" w:color="auto"/>
            <w:bottom w:val="none" w:sz="0" w:space="0" w:color="auto"/>
            <w:right w:val="none" w:sz="0" w:space="0" w:color="auto"/>
          </w:divBdr>
        </w:div>
        <w:div w:id="723795262">
          <w:marLeft w:val="0"/>
          <w:marRight w:val="0"/>
          <w:marTop w:val="0"/>
          <w:marBottom w:val="0"/>
          <w:divBdr>
            <w:top w:val="none" w:sz="0" w:space="0" w:color="auto"/>
            <w:left w:val="none" w:sz="0" w:space="0" w:color="auto"/>
            <w:bottom w:val="none" w:sz="0" w:space="0" w:color="auto"/>
            <w:right w:val="none" w:sz="0" w:space="0" w:color="auto"/>
          </w:divBdr>
        </w:div>
        <w:div w:id="493645808">
          <w:marLeft w:val="0"/>
          <w:marRight w:val="0"/>
          <w:marTop w:val="0"/>
          <w:marBottom w:val="0"/>
          <w:divBdr>
            <w:top w:val="none" w:sz="0" w:space="0" w:color="auto"/>
            <w:left w:val="none" w:sz="0" w:space="0" w:color="auto"/>
            <w:bottom w:val="none" w:sz="0" w:space="0" w:color="auto"/>
            <w:right w:val="none" w:sz="0" w:space="0" w:color="auto"/>
          </w:divBdr>
        </w:div>
        <w:div w:id="1660226139">
          <w:marLeft w:val="0"/>
          <w:marRight w:val="0"/>
          <w:marTop w:val="0"/>
          <w:marBottom w:val="0"/>
          <w:divBdr>
            <w:top w:val="none" w:sz="0" w:space="0" w:color="auto"/>
            <w:left w:val="none" w:sz="0" w:space="0" w:color="auto"/>
            <w:bottom w:val="none" w:sz="0" w:space="0" w:color="auto"/>
            <w:right w:val="none" w:sz="0" w:space="0" w:color="auto"/>
          </w:divBdr>
        </w:div>
        <w:div w:id="1037043462">
          <w:marLeft w:val="0"/>
          <w:marRight w:val="0"/>
          <w:marTop w:val="0"/>
          <w:marBottom w:val="0"/>
          <w:divBdr>
            <w:top w:val="none" w:sz="0" w:space="0" w:color="auto"/>
            <w:left w:val="none" w:sz="0" w:space="0" w:color="auto"/>
            <w:bottom w:val="none" w:sz="0" w:space="0" w:color="auto"/>
            <w:right w:val="none" w:sz="0" w:space="0" w:color="auto"/>
          </w:divBdr>
        </w:div>
        <w:div w:id="1981614565">
          <w:marLeft w:val="0"/>
          <w:marRight w:val="0"/>
          <w:marTop w:val="0"/>
          <w:marBottom w:val="0"/>
          <w:divBdr>
            <w:top w:val="none" w:sz="0" w:space="0" w:color="auto"/>
            <w:left w:val="none" w:sz="0" w:space="0" w:color="auto"/>
            <w:bottom w:val="none" w:sz="0" w:space="0" w:color="auto"/>
            <w:right w:val="none" w:sz="0" w:space="0" w:color="auto"/>
          </w:divBdr>
        </w:div>
        <w:div w:id="851841153">
          <w:marLeft w:val="0"/>
          <w:marRight w:val="0"/>
          <w:marTop w:val="0"/>
          <w:marBottom w:val="0"/>
          <w:divBdr>
            <w:top w:val="none" w:sz="0" w:space="0" w:color="auto"/>
            <w:left w:val="none" w:sz="0" w:space="0" w:color="auto"/>
            <w:bottom w:val="none" w:sz="0" w:space="0" w:color="auto"/>
            <w:right w:val="none" w:sz="0" w:space="0" w:color="auto"/>
          </w:divBdr>
        </w:div>
        <w:div w:id="817695073">
          <w:marLeft w:val="0"/>
          <w:marRight w:val="0"/>
          <w:marTop w:val="0"/>
          <w:marBottom w:val="0"/>
          <w:divBdr>
            <w:top w:val="none" w:sz="0" w:space="0" w:color="auto"/>
            <w:left w:val="none" w:sz="0" w:space="0" w:color="auto"/>
            <w:bottom w:val="none" w:sz="0" w:space="0" w:color="auto"/>
            <w:right w:val="none" w:sz="0" w:space="0" w:color="auto"/>
          </w:divBdr>
        </w:div>
        <w:div w:id="1695615278">
          <w:marLeft w:val="0"/>
          <w:marRight w:val="0"/>
          <w:marTop w:val="0"/>
          <w:marBottom w:val="0"/>
          <w:divBdr>
            <w:top w:val="none" w:sz="0" w:space="0" w:color="auto"/>
            <w:left w:val="none" w:sz="0" w:space="0" w:color="auto"/>
            <w:bottom w:val="none" w:sz="0" w:space="0" w:color="auto"/>
            <w:right w:val="none" w:sz="0" w:space="0" w:color="auto"/>
          </w:divBdr>
        </w:div>
        <w:div w:id="967858369">
          <w:marLeft w:val="0"/>
          <w:marRight w:val="0"/>
          <w:marTop w:val="0"/>
          <w:marBottom w:val="0"/>
          <w:divBdr>
            <w:top w:val="none" w:sz="0" w:space="0" w:color="auto"/>
            <w:left w:val="none" w:sz="0" w:space="0" w:color="auto"/>
            <w:bottom w:val="none" w:sz="0" w:space="0" w:color="auto"/>
            <w:right w:val="none" w:sz="0" w:space="0" w:color="auto"/>
          </w:divBdr>
        </w:div>
        <w:div w:id="131098899">
          <w:marLeft w:val="0"/>
          <w:marRight w:val="0"/>
          <w:marTop w:val="0"/>
          <w:marBottom w:val="0"/>
          <w:divBdr>
            <w:top w:val="none" w:sz="0" w:space="0" w:color="auto"/>
            <w:left w:val="none" w:sz="0" w:space="0" w:color="auto"/>
            <w:bottom w:val="none" w:sz="0" w:space="0" w:color="auto"/>
            <w:right w:val="none" w:sz="0" w:space="0" w:color="auto"/>
          </w:divBdr>
        </w:div>
        <w:div w:id="549728174">
          <w:marLeft w:val="0"/>
          <w:marRight w:val="0"/>
          <w:marTop w:val="0"/>
          <w:marBottom w:val="0"/>
          <w:divBdr>
            <w:top w:val="none" w:sz="0" w:space="0" w:color="auto"/>
            <w:left w:val="none" w:sz="0" w:space="0" w:color="auto"/>
            <w:bottom w:val="none" w:sz="0" w:space="0" w:color="auto"/>
            <w:right w:val="none" w:sz="0" w:space="0" w:color="auto"/>
          </w:divBdr>
        </w:div>
        <w:div w:id="714085591">
          <w:marLeft w:val="0"/>
          <w:marRight w:val="0"/>
          <w:marTop w:val="0"/>
          <w:marBottom w:val="0"/>
          <w:divBdr>
            <w:top w:val="none" w:sz="0" w:space="0" w:color="auto"/>
            <w:left w:val="none" w:sz="0" w:space="0" w:color="auto"/>
            <w:bottom w:val="none" w:sz="0" w:space="0" w:color="auto"/>
            <w:right w:val="none" w:sz="0" w:space="0" w:color="auto"/>
          </w:divBdr>
        </w:div>
        <w:div w:id="2069721939">
          <w:marLeft w:val="0"/>
          <w:marRight w:val="0"/>
          <w:marTop w:val="0"/>
          <w:marBottom w:val="0"/>
          <w:divBdr>
            <w:top w:val="none" w:sz="0" w:space="0" w:color="auto"/>
            <w:left w:val="none" w:sz="0" w:space="0" w:color="auto"/>
            <w:bottom w:val="none" w:sz="0" w:space="0" w:color="auto"/>
            <w:right w:val="none" w:sz="0" w:space="0" w:color="auto"/>
          </w:divBdr>
        </w:div>
        <w:div w:id="1850832793">
          <w:marLeft w:val="0"/>
          <w:marRight w:val="0"/>
          <w:marTop w:val="0"/>
          <w:marBottom w:val="0"/>
          <w:divBdr>
            <w:top w:val="none" w:sz="0" w:space="0" w:color="auto"/>
            <w:left w:val="none" w:sz="0" w:space="0" w:color="auto"/>
            <w:bottom w:val="none" w:sz="0" w:space="0" w:color="auto"/>
            <w:right w:val="none" w:sz="0" w:space="0" w:color="auto"/>
          </w:divBdr>
        </w:div>
        <w:div w:id="1523978327">
          <w:marLeft w:val="0"/>
          <w:marRight w:val="0"/>
          <w:marTop w:val="0"/>
          <w:marBottom w:val="0"/>
          <w:divBdr>
            <w:top w:val="none" w:sz="0" w:space="0" w:color="auto"/>
            <w:left w:val="none" w:sz="0" w:space="0" w:color="auto"/>
            <w:bottom w:val="none" w:sz="0" w:space="0" w:color="auto"/>
            <w:right w:val="none" w:sz="0" w:space="0" w:color="auto"/>
          </w:divBdr>
        </w:div>
        <w:div w:id="1938948579">
          <w:marLeft w:val="0"/>
          <w:marRight w:val="0"/>
          <w:marTop w:val="0"/>
          <w:marBottom w:val="0"/>
          <w:divBdr>
            <w:top w:val="none" w:sz="0" w:space="0" w:color="auto"/>
            <w:left w:val="none" w:sz="0" w:space="0" w:color="auto"/>
            <w:bottom w:val="none" w:sz="0" w:space="0" w:color="auto"/>
            <w:right w:val="none" w:sz="0" w:space="0" w:color="auto"/>
          </w:divBdr>
        </w:div>
        <w:div w:id="1921209638">
          <w:marLeft w:val="0"/>
          <w:marRight w:val="0"/>
          <w:marTop w:val="0"/>
          <w:marBottom w:val="0"/>
          <w:divBdr>
            <w:top w:val="none" w:sz="0" w:space="0" w:color="auto"/>
            <w:left w:val="none" w:sz="0" w:space="0" w:color="auto"/>
            <w:bottom w:val="none" w:sz="0" w:space="0" w:color="auto"/>
            <w:right w:val="none" w:sz="0" w:space="0" w:color="auto"/>
          </w:divBdr>
        </w:div>
        <w:div w:id="1119647877">
          <w:marLeft w:val="0"/>
          <w:marRight w:val="0"/>
          <w:marTop w:val="0"/>
          <w:marBottom w:val="0"/>
          <w:divBdr>
            <w:top w:val="none" w:sz="0" w:space="0" w:color="auto"/>
            <w:left w:val="none" w:sz="0" w:space="0" w:color="auto"/>
            <w:bottom w:val="none" w:sz="0" w:space="0" w:color="auto"/>
            <w:right w:val="none" w:sz="0" w:space="0" w:color="auto"/>
          </w:divBdr>
        </w:div>
        <w:div w:id="1001008610">
          <w:marLeft w:val="0"/>
          <w:marRight w:val="0"/>
          <w:marTop w:val="0"/>
          <w:marBottom w:val="0"/>
          <w:divBdr>
            <w:top w:val="none" w:sz="0" w:space="0" w:color="auto"/>
            <w:left w:val="none" w:sz="0" w:space="0" w:color="auto"/>
            <w:bottom w:val="none" w:sz="0" w:space="0" w:color="auto"/>
            <w:right w:val="none" w:sz="0" w:space="0" w:color="auto"/>
          </w:divBdr>
        </w:div>
        <w:div w:id="1423140318">
          <w:marLeft w:val="0"/>
          <w:marRight w:val="0"/>
          <w:marTop w:val="0"/>
          <w:marBottom w:val="0"/>
          <w:divBdr>
            <w:top w:val="none" w:sz="0" w:space="0" w:color="auto"/>
            <w:left w:val="none" w:sz="0" w:space="0" w:color="auto"/>
            <w:bottom w:val="none" w:sz="0" w:space="0" w:color="auto"/>
            <w:right w:val="none" w:sz="0" w:space="0" w:color="auto"/>
          </w:divBdr>
        </w:div>
        <w:div w:id="344523734">
          <w:marLeft w:val="0"/>
          <w:marRight w:val="0"/>
          <w:marTop w:val="0"/>
          <w:marBottom w:val="0"/>
          <w:divBdr>
            <w:top w:val="none" w:sz="0" w:space="0" w:color="auto"/>
            <w:left w:val="none" w:sz="0" w:space="0" w:color="auto"/>
            <w:bottom w:val="none" w:sz="0" w:space="0" w:color="auto"/>
            <w:right w:val="none" w:sz="0" w:space="0" w:color="auto"/>
          </w:divBdr>
        </w:div>
        <w:div w:id="1140608756">
          <w:marLeft w:val="0"/>
          <w:marRight w:val="0"/>
          <w:marTop w:val="0"/>
          <w:marBottom w:val="0"/>
          <w:divBdr>
            <w:top w:val="none" w:sz="0" w:space="0" w:color="auto"/>
            <w:left w:val="none" w:sz="0" w:space="0" w:color="auto"/>
            <w:bottom w:val="none" w:sz="0" w:space="0" w:color="auto"/>
            <w:right w:val="none" w:sz="0" w:space="0" w:color="auto"/>
          </w:divBdr>
        </w:div>
        <w:div w:id="204291401">
          <w:marLeft w:val="0"/>
          <w:marRight w:val="0"/>
          <w:marTop w:val="0"/>
          <w:marBottom w:val="0"/>
          <w:divBdr>
            <w:top w:val="none" w:sz="0" w:space="0" w:color="auto"/>
            <w:left w:val="none" w:sz="0" w:space="0" w:color="auto"/>
            <w:bottom w:val="none" w:sz="0" w:space="0" w:color="auto"/>
            <w:right w:val="none" w:sz="0" w:space="0" w:color="auto"/>
          </w:divBdr>
        </w:div>
        <w:div w:id="760755071">
          <w:marLeft w:val="0"/>
          <w:marRight w:val="0"/>
          <w:marTop w:val="0"/>
          <w:marBottom w:val="0"/>
          <w:divBdr>
            <w:top w:val="none" w:sz="0" w:space="0" w:color="auto"/>
            <w:left w:val="none" w:sz="0" w:space="0" w:color="auto"/>
            <w:bottom w:val="none" w:sz="0" w:space="0" w:color="auto"/>
            <w:right w:val="none" w:sz="0" w:space="0" w:color="auto"/>
          </w:divBdr>
        </w:div>
        <w:div w:id="632441058">
          <w:marLeft w:val="0"/>
          <w:marRight w:val="0"/>
          <w:marTop w:val="0"/>
          <w:marBottom w:val="0"/>
          <w:divBdr>
            <w:top w:val="none" w:sz="0" w:space="0" w:color="auto"/>
            <w:left w:val="none" w:sz="0" w:space="0" w:color="auto"/>
            <w:bottom w:val="none" w:sz="0" w:space="0" w:color="auto"/>
            <w:right w:val="none" w:sz="0" w:space="0" w:color="auto"/>
          </w:divBdr>
        </w:div>
        <w:div w:id="816842880">
          <w:marLeft w:val="0"/>
          <w:marRight w:val="0"/>
          <w:marTop w:val="0"/>
          <w:marBottom w:val="0"/>
          <w:divBdr>
            <w:top w:val="none" w:sz="0" w:space="0" w:color="auto"/>
            <w:left w:val="none" w:sz="0" w:space="0" w:color="auto"/>
            <w:bottom w:val="none" w:sz="0" w:space="0" w:color="auto"/>
            <w:right w:val="none" w:sz="0" w:space="0" w:color="auto"/>
          </w:divBdr>
        </w:div>
        <w:div w:id="430273859">
          <w:marLeft w:val="0"/>
          <w:marRight w:val="0"/>
          <w:marTop w:val="0"/>
          <w:marBottom w:val="0"/>
          <w:divBdr>
            <w:top w:val="none" w:sz="0" w:space="0" w:color="auto"/>
            <w:left w:val="none" w:sz="0" w:space="0" w:color="auto"/>
            <w:bottom w:val="none" w:sz="0" w:space="0" w:color="auto"/>
            <w:right w:val="none" w:sz="0" w:space="0" w:color="auto"/>
          </w:divBdr>
        </w:div>
        <w:div w:id="851379079">
          <w:marLeft w:val="0"/>
          <w:marRight w:val="0"/>
          <w:marTop w:val="0"/>
          <w:marBottom w:val="0"/>
          <w:divBdr>
            <w:top w:val="none" w:sz="0" w:space="0" w:color="auto"/>
            <w:left w:val="none" w:sz="0" w:space="0" w:color="auto"/>
            <w:bottom w:val="none" w:sz="0" w:space="0" w:color="auto"/>
            <w:right w:val="none" w:sz="0" w:space="0" w:color="auto"/>
          </w:divBdr>
        </w:div>
        <w:div w:id="1679648524">
          <w:marLeft w:val="0"/>
          <w:marRight w:val="0"/>
          <w:marTop w:val="0"/>
          <w:marBottom w:val="0"/>
          <w:divBdr>
            <w:top w:val="none" w:sz="0" w:space="0" w:color="auto"/>
            <w:left w:val="none" w:sz="0" w:space="0" w:color="auto"/>
            <w:bottom w:val="none" w:sz="0" w:space="0" w:color="auto"/>
            <w:right w:val="none" w:sz="0" w:space="0" w:color="auto"/>
          </w:divBdr>
        </w:div>
        <w:div w:id="1308976727">
          <w:marLeft w:val="0"/>
          <w:marRight w:val="0"/>
          <w:marTop w:val="0"/>
          <w:marBottom w:val="0"/>
          <w:divBdr>
            <w:top w:val="none" w:sz="0" w:space="0" w:color="auto"/>
            <w:left w:val="none" w:sz="0" w:space="0" w:color="auto"/>
            <w:bottom w:val="none" w:sz="0" w:space="0" w:color="auto"/>
            <w:right w:val="none" w:sz="0" w:space="0" w:color="auto"/>
          </w:divBdr>
        </w:div>
        <w:div w:id="1236473500">
          <w:marLeft w:val="0"/>
          <w:marRight w:val="0"/>
          <w:marTop w:val="0"/>
          <w:marBottom w:val="0"/>
          <w:divBdr>
            <w:top w:val="none" w:sz="0" w:space="0" w:color="auto"/>
            <w:left w:val="none" w:sz="0" w:space="0" w:color="auto"/>
            <w:bottom w:val="none" w:sz="0" w:space="0" w:color="auto"/>
            <w:right w:val="none" w:sz="0" w:space="0" w:color="auto"/>
          </w:divBdr>
        </w:div>
      </w:divsChild>
    </w:div>
    <w:div w:id="1727337255">
      <w:bodyDiv w:val="1"/>
      <w:marLeft w:val="0"/>
      <w:marRight w:val="0"/>
      <w:marTop w:val="0"/>
      <w:marBottom w:val="0"/>
      <w:divBdr>
        <w:top w:val="none" w:sz="0" w:space="0" w:color="auto"/>
        <w:left w:val="none" w:sz="0" w:space="0" w:color="auto"/>
        <w:bottom w:val="none" w:sz="0" w:space="0" w:color="auto"/>
        <w:right w:val="none" w:sz="0" w:space="0" w:color="auto"/>
      </w:divBdr>
    </w:div>
    <w:div w:id="1803497622">
      <w:bodyDiv w:val="1"/>
      <w:marLeft w:val="0"/>
      <w:marRight w:val="0"/>
      <w:marTop w:val="0"/>
      <w:marBottom w:val="0"/>
      <w:divBdr>
        <w:top w:val="none" w:sz="0" w:space="0" w:color="auto"/>
        <w:left w:val="none" w:sz="0" w:space="0" w:color="auto"/>
        <w:bottom w:val="none" w:sz="0" w:space="0" w:color="auto"/>
        <w:right w:val="none" w:sz="0" w:space="0" w:color="auto"/>
      </w:divBdr>
    </w:div>
    <w:div w:id="1813054998">
      <w:bodyDiv w:val="1"/>
      <w:marLeft w:val="0"/>
      <w:marRight w:val="0"/>
      <w:marTop w:val="0"/>
      <w:marBottom w:val="0"/>
      <w:divBdr>
        <w:top w:val="none" w:sz="0" w:space="0" w:color="auto"/>
        <w:left w:val="none" w:sz="0" w:space="0" w:color="auto"/>
        <w:bottom w:val="none" w:sz="0" w:space="0" w:color="auto"/>
        <w:right w:val="none" w:sz="0" w:space="0" w:color="auto"/>
      </w:divBdr>
    </w:div>
    <w:div w:id="1823278099">
      <w:bodyDiv w:val="1"/>
      <w:marLeft w:val="0"/>
      <w:marRight w:val="0"/>
      <w:marTop w:val="0"/>
      <w:marBottom w:val="0"/>
      <w:divBdr>
        <w:top w:val="none" w:sz="0" w:space="0" w:color="auto"/>
        <w:left w:val="none" w:sz="0" w:space="0" w:color="auto"/>
        <w:bottom w:val="none" w:sz="0" w:space="0" w:color="auto"/>
        <w:right w:val="none" w:sz="0" w:space="0" w:color="auto"/>
      </w:divBdr>
    </w:div>
    <w:div w:id="1833178860">
      <w:bodyDiv w:val="1"/>
      <w:marLeft w:val="0"/>
      <w:marRight w:val="0"/>
      <w:marTop w:val="0"/>
      <w:marBottom w:val="0"/>
      <w:divBdr>
        <w:top w:val="none" w:sz="0" w:space="0" w:color="auto"/>
        <w:left w:val="none" w:sz="0" w:space="0" w:color="auto"/>
        <w:bottom w:val="none" w:sz="0" w:space="0" w:color="auto"/>
        <w:right w:val="none" w:sz="0" w:space="0" w:color="auto"/>
      </w:divBdr>
    </w:div>
    <w:div w:id="1837066834">
      <w:bodyDiv w:val="1"/>
      <w:marLeft w:val="0"/>
      <w:marRight w:val="0"/>
      <w:marTop w:val="0"/>
      <w:marBottom w:val="0"/>
      <w:divBdr>
        <w:top w:val="none" w:sz="0" w:space="0" w:color="auto"/>
        <w:left w:val="none" w:sz="0" w:space="0" w:color="auto"/>
        <w:bottom w:val="none" w:sz="0" w:space="0" w:color="auto"/>
        <w:right w:val="none" w:sz="0" w:space="0" w:color="auto"/>
      </w:divBdr>
    </w:div>
    <w:div w:id="1866669737">
      <w:bodyDiv w:val="1"/>
      <w:marLeft w:val="0"/>
      <w:marRight w:val="0"/>
      <w:marTop w:val="0"/>
      <w:marBottom w:val="0"/>
      <w:divBdr>
        <w:top w:val="none" w:sz="0" w:space="0" w:color="auto"/>
        <w:left w:val="none" w:sz="0" w:space="0" w:color="auto"/>
        <w:bottom w:val="none" w:sz="0" w:space="0" w:color="auto"/>
        <w:right w:val="none" w:sz="0" w:space="0" w:color="auto"/>
      </w:divBdr>
      <w:divsChild>
        <w:div w:id="1269581171">
          <w:marLeft w:val="0"/>
          <w:marRight w:val="0"/>
          <w:marTop w:val="0"/>
          <w:marBottom w:val="0"/>
          <w:divBdr>
            <w:top w:val="none" w:sz="0" w:space="0" w:color="auto"/>
            <w:left w:val="none" w:sz="0" w:space="0" w:color="auto"/>
            <w:bottom w:val="none" w:sz="0" w:space="0" w:color="auto"/>
            <w:right w:val="none" w:sz="0" w:space="0" w:color="auto"/>
          </w:divBdr>
          <w:divsChild>
            <w:div w:id="366103456">
              <w:marLeft w:val="0"/>
              <w:marRight w:val="0"/>
              <w:marTop w:val="0"/>
              <w:marBottom w:val="0"/>
              <w:divBdr>
                <w:top w:val="none" w:sz="0" w:space="0" w:color="auto"/>
                <w:left w:val="none" w:sz="0" w:space="0" w:color="auto"/>
                <w:bottom w:val="none" w:sz="0" w:space="0" w:color="auto"/>
                <w:right w:val="none" w:sz="0" w:space="0" w:color="auto"/>
              </w:divBdr>
              <w:divsChild>
                <w:div w:id="186020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566721">
      <w:bodyDiv w:val="1"/>
      <w:marLeft w:val="0"/>
      <w:marRight w:val="0"/>
      <w:marTop w:val="0"/>
      <w:marBottom w:val="0"/>
      <w:divBdr>
        <w:top w:val="none" w:sz="0" w:space="0" w:color="auto"/>
        <w:left w:val="none" w:sz="0" w:space="0" w:color="auto"/>
        <w:bottom w:val="none" w:sz="0" w:space="0" w:color="auto"/>
        <w:right w:val="none" w:sz="0" w:space="0" w:color="auto"/>
      </w:divBdr>
    </w:div>
    <w:div w:id="1897281294">
      <w:bodyDiv w:val="1"/>
      <w:marLeft w:val="0"/>
      <w:marRight w:val="0"/>
      <w:marTop w:val="0"/>
      <w:marBottom w:val="0"/>
      <w:divBdr>
        <w:top w:val="none" w:sz="0" w:space="0" w:color="auto"/>
        <w:left w:val="none" w:sz="0" w:space="0" w:color="auto"/>
        <w:bottom w:val="none" w:sz="0" w:space="0" w:color="auto"/>
        <w:right w:val="none" w:sz="0" w:space="0" w:color="auto"/>
      </w:divBdr>
    </w:div>
    <w:div w:id="1924952106">
      <w:bodyDiv w:val="1"/>
      <w:marLeft w:val="0"/>
      <w:marRight w:val="0"/>
      <w:marTop w:val="0"/>
      <w:marBottom w:val="0"/>
      <w:divBdr>
        <w:top w:val="none" w:sz="0" w:space="0" w:color="auto"/>
        <w:left w:val="none" w:sz="0" w:space="0" w:color="auto"/>
        <w:bottom w:val="none" w:sz="0" w:space="0" w:color="auto"/>
        <w:right w:val="none" w:sz="0" w:space="0" w:color="auto"/>
      </w:divBdr>
      <w:divsChild>
        <w:div w:id="661860047">
          <w:marLeft w:val="0"/>
          <w:marRight w:val="0"/>
          <w:marTop w:val="0"/>
          <w:marBottom w:val="0"/>
          <w:divBdr>
            <w:top w:val="none" w:sz="0" w:space="0" w:color="auto"/>
            <w:left w:val="none" w:sz="0" w:space="0" w:color="auto"/>
            <w:bottom w:val="none" w:sz="0" w:space="0" w:color="auto"/>
            <w:right w:val="none" w:sz="0" w:space="0" w:color="auto"/>
          </w:divBdr>
          <w:divsChild>
            <w:div w:id="931741147">
              <w:marLeft w:val="0"/>
              <w:marRight w:val="0"/>
              <w:marTop w:val="0"/>
              <w:marBottom w:val="0"/>
              <w:divBdr>
                <w:top w:val="none" w:sz="0" w:space="0" w:color="auto"/>
                <w:left w:val="none" w:sz="0" w:space="0" w:color="auto"/>
                <w:bottom w:val="none" w:sz="0" w:space="0" w:color="auto"/>
                <w:right w:val="none" w:sz="0" w:space="0" w:color="auto"/>
              </w:divBdr>
              <w:divsChild>
                <w:div w:id="672953957">
                  <w:marLeft w:val="0"/>
                  <w:marRight w:val="0"/>
                  <w:marTop w:val="0"/>
                  <w:marBottom w:val="0"/>
                  <w:divBdr>
                    <w:top w:val="none" w:sz="0" w:space="0" w:color="auto"/>
                    <w:left w:val="none" w:sz="0" w:space="0" w:color="auto"/>
                    <w:bottom w:val="none" w:sz="0" w:space="0" w:color="auto"/>
                    <w:right w:val="none" w:sz="0" w:space="0" w:color="auto"/>
                  </w:divBdr>
                  <w:divsChild>
                    <w:div w:id="843786228">
                      <w:marLeft w:val="0"/>
                      <w:marRight w:val="0"/>
                      <w:marTop w:val="0"/>
                      <w:marBottom w:val="0"/>
                      <w:divBdr>
                        <w:top w:val="none" w:sz="0" w:space="0" w:color="auto"/>
                        <w:left w:val="none" w:sz="0" w:space="0" w:color="auto"/>
                        <w:bottom w:val="none" w:sz="0" w:space="0" w:color="auto"/>
                        <w:right w:val="none" w:sz="0" w:space="0" w:color="auto"/>
                      </w:divBdr>
                      <w:divsChild>
                        <w:div w:id="307587544">
                          <w:marLeft w:val="0"/>
                          <w:marRight w:val="0"/>
                          <w:marTop w:val="0"/>
                          <w:marBottom w:val="0"/>
                          <w:divBdr>
                            <w:top w:val="none" w:sz="0" w:space="0" w:color="auto"/>
                            <w:left w:val="none" w:sz="0" w:space="0" w:color="auto"/>
                            <w:bottom w:val="none" w:sz="0" w:space="0" w:color="auto"/>
                            <w:right w:val="none" w:sz="0" w:space="0" w:color="auto"/>
                          </w:divBdr>
                        </w:div>
                      </w:divsChild>
                    </w:div>
                    <w:div w:id="1415593179">
                      <w:marLeft w:val="0"/>
                      <w:marRight w:val="0"/>
                      <w:marTop w:val="0"/>
                      <w:marBottom w:val="0"/>
                      <w:divBdr>
                        <w:top w:val="none" w:sz="0" w:space="0" w:color="auto"/>
                        <w:left w:val="none" w:sz="0" w:space="0" w:color="auto"/>
                        <w:bottom w:val="none" w:sz="0" w:space="0" w:color="auto"/>
                        <w:right w:val="none" w:sz="0" w:space="0" w:color="auto"/>
                      </w:divBdr>
                      <w:divsChild>
                        <w:div w:id="208301487">
                          <w:marLeft w:val="0"/>
                          <w:marRight w:val="0"/>
                          <w:marTop w:val="0"/>
                          <w:marBottom w:val="0"/>
                          <w:divBdr>
                            <w:top w:val="none" w:sz="0" w:space="0" w:color="auto"/>
                            <w:left w:val="none" w:sz="0" w:space="0" w:color="auto"/>
                            <w:bottom w:val="none" w:sz="0" w:space="0" w:color="auto"/>
                            <w:right w:val="none" w:sz="0" w:space="0" w:color="auto"/>
                          </w:divBdr>
                          <w:divsChild>
                            <w:div w:id="616374856">
                              <w:marLeft w:val="0"/>
                              <w:marRight w:val="0"/>
                              <w:marTop w:val="0"/>
                              <w:marBottom w:val="0"/>
                              <w:divBdr>
                                <w:top w:val="none" w:sz="0" w:space="0" w:color="auto"/>
                                <w:left w:val="none" w:sz="0" w:space="0" w:color="auto"/>
                                <w:bottom w:val="none" w:sz="0" w:space="0" w:color="auto"/>
                                <w:right w:val="none" w:sz="0" w:space="0" w:color="auto"/>
                              </w:divBdr>
                              <w:divsChild>
                                <w:div w:id="1570462474">
                                  <w:marLeft w:val="0"/>
                                  <w:marRight w:val="0"/>
                                  <w:marTop w:val="0"/>
                                  <w:marBottom w:val="0"/>
                                  <w:divBdr>
                                    <w:top w:val="none" w:sz="0" w:space="0" w:color="auto"/>
                                    <w:left w:val="none" w:sz="0" w:space="0" w:color="auto"/>
                                    <w:bottom w:val="none" w:sz="0" w:space="0" w:color="auto"/>
                                    <w:right w:val="none" w:sz="0" w:space="0" w:color="auto"/>
                                  </w:divBdr>
                                </w:div>
                              </w:divsChild>
                            </w:div>
                            <w:div w:id="185750961">
                              <w:marLeft w:val="0"/>
                              <w:marRight w:val="0"/>
                              <w:marTop w:val="0"/>
                              <w:marBottom w:val="0"/>
                              <w:divBdr>
                                <w:top w:val="none" w:sz="0" w:space="0" w:color="auto"/>
                                <w:left w:val="none" w:sz="0" w:space="0" w:color="auto"/>
                                <w:bottom w:val="none" w:sz="0" w:space="0" w:color="auto"/>
                                <w:right w:val="none" w:sz="0" w:space="0" w:color="auto"/>
                              </w:divBdr>
                              <w:divsChild>
                                <w:div w:id="1065295411">
                                  <w:marLeft w:val="0"/>
                                  <w:marRight w:val="0"/>
                                  <w:marTop w:val="0"/>
                                  <w:marBottom w:val="0"/>
                                  <w:divBdr>
                                    <w:top w:val="none" w:sz="0" w:space="0" w:color="auto"/>
                                    <w:left w:val="none" w:sz="0" w:space="0" w:color="auto"/>
                                    <w:bottom w:val="none" w:sz="0" w:space="0" w:color="auto"/>
                                    <w:right w:val="none" w:sz="0" w:space="0" w:color="auto"/>
                                  </w:divBdr>
                                </w:div>
                              </w:divsChild>
                            </w:div>
                            <w:div w:id="1775127140">
                              <w:marLeft w:val="0"/>
                              <w:marRight w:val="0"/>
                              <w:marTop w:val="0"/>
                              <w:marBottom w:val="0"/>
                              <w:divBdr>
                                <w:top w:val="none" w:sz="0" w:space="0" w:color="auto"/>
                                <w:left w:val="none" w:sz="0" w:space="0" w:color="auto"/>
                                <w:bottom w:val="none" w:sz="0" w:space="0" w:color="auto"/>
                                <w:right w:val="none" w:sz="0" w:space="0" w:color="auto"/>
                              </w:divBdr>
                              <w:divsChild>
                                <w:div w:id="76487791">
                                  <w:marLeft w:val="0"/>
                                  <w:marRight w:val="0"/>
                                  <w:marTop w:val="0"/>
                                  <w:marBottom w:val="0"/>
                                  <w:divBdr>
                                    <w:top w:val="none" w:sz="0" w:space="0" w:color="auto"/>
                                    <w:left w:val="none" w:sz="0" w:space="0" w:color="auto"/>
                                    <w:bottom w:val="none" w:sz="0" w:space="0" w:color="auto"/>
                                    <w:right w:val="none" w:sz="0" w:space="0" w:color="auto"/>
                                  </w:divBdr>
                                </w:div>
                              </w:divsChild>
                            </w:div>
                            <w:div w:id="1397967946">
                              <w:marLeft w:val="0"/>
                              <w:marRight w:val="0"/>
                              <w:marTop w:val="0"/>
                              <w:marBottom w:val="0"/>
                              <w:divBdr>
                                <w:top w:val="none" w:sz="0" w:space="0" w:color="auto"/>
                                <w:left w:val="none" w:sz="0" w:space="0" w:color="auto"/>
                                <w:bottom w:val="none" w:sz="0" w:space="0" w:color="auto"/>
                                <w:right w:val="none" w:sz="0" w:space="0" w:color="auto"/>
                              </w:divBdr>
                              <w:divsChild>
                                <w:div w:id="240335254">
                                  <w:marLeft w:val="0"/>
                                  <w:marRight w:val="0"/>
                                  <w:marTop w:val="0"/>
                                  <w:marBottom w:val="0"/>
                                  <w:divBdr>
                                    <w:top w:val="none" w:sz="0" w:space="0" w:color="auto"/>
                                    <w:left w:val="none" w:sz="0" w:space="0" w:color="auto"/>
                                    <w:bottom w:val="none" w:sz="0" w:space="0" w:color="auto"/>
                                    <w:right w:val="none" w:sz="0" w:space="0" w:color="auto"/>
                                  </w:divBdr>
                                </w:div>
                              </w:divsChild>
                            </w:div>
                            <w:div w:id="2063870412">
                              <w:marLeft w:val="0"/>
                              <w:marRight w:val="0"/>
                              <w:marTop w:val="0"/>
                              <w:marBottom w:val="0"/>
                              <w:divBdr>
                                <w:top w:val="none" w:sz="0" w:space="0" w:color="auto"/>
                                <w:left w:val="none" w:sz="0" w:space="0" w:color="auto"/>
                                <w:bottom w:val="none" w:sz="0" w:space="0" w:color="auto"/>
                                <w:right w:val="none" w:sz="0" w:space="0" w:color="auto"/>
                              </w:divBdr>
                              <w:divsChild>
                                <w:div w:id="1083376813">
                                  <w:marLeft w:val="0"/>
                                  <w:marRight w:val="0"/>
                                  <w:marTop w:val="0"/>
                                  <w:marBottom w:val="0"/>
                                  <w:divBdr>
                                    <w:top w:val="none" w:sz="0" w:space="0" w:color="auto"/>
                                    <w:left w:val="none" w:sz="0" w:space="0" w:color="auto"/>
                                    <w:bottom w:val="none" w:sz="0" w:space="0" w:color="auto"/>
                                    <w:right w:val="none" w:sz="0" w:space="0" w:color="auto"/>
                                  </w:divBdr>
                                </w:div>
                              </w:divsChild>
                            </w:div>
                            <w:div w:id="2097089020">
                              <w:marLeft w:val="0"/>
                              <w:marRight w:val="0"/>
                              <w:marTop w:val="0"/>
                              <w:marBottom w:val="0"/>
                              <w:divBdr>
                                <w:top w:val="none" w:sz="0" w:space="0" w:color="auto"/>
                                <w:left w:val="none" w:sz="0" w:space="0" w:color="auto"/>
                                <w:bottom w:val="none" w:sz="0" w:space="0" w:color="auto"/>
                                <w:right w:val="none" w:sz="0" w:space="0" w:color="auto"/>
                              </w:divBdr>
                              <w:divsChild>
                                <w:div w:id="481845915">
                                  <w:marLeft w:val="0"/>
                                  <w:marRight w:val="0"/>
                                  <w:marTop w:val="0"/>
                                  <w:marBottom w:val="0"/>
                                  <w:divBdr>
                                    <w:top w:val="none" w:sz="0" w:space="0" w:color="auto"/>
                                    <w:left w:val="none" w:sz="0" w:space="0" w:color="auto"/>
                                    <w:bottom w:val="none" w:sz="0" w:space="0" w:color="auto"/>
                                    <w:right w:val="none" w:sz="0" w:space="0" w:color="auto"/>
                                  </w:divBdr>
                                </w:div>
                              </w:divsChild>
                            </w:div>
                            <w:div w:id="255407301">
                              <w:marLeft w:val="0"/>
                              <w:marRight w:val="0"/>
                              <w:marTop w:val="0"/>
                              <w:marBottom w:val="0"/>
                              <w:divBdr>
                                <w:top w:val="none" w:sz="0" w:space="0" w:color="auto"/>
                                <w:left w:val="none" w:sz="0" w:space="0" w:color="auto"/>
                                <w:bottom w:val="none" w:sz="0" w:space="0" w:color="auto"/>
                                <w:right w:val="none" w:sz="0" w:space="0" w:color="auto"/>
                              </w:divBdr>
                              <w:divsChild>
                                <w:div w:id="22414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1093289">
                          <w:marLeft w:val="0"/>
                          <w:marRight w:val="0"/>
                          <w:marTop w:val="0"/>
                          <w:marBottom w:val="0"/>
                          <w:divBdr>
                            <w:top w:val="none" w:sz="0" w:space="0" w:color="auto"/>
                            <w:left w:val="none" w:sz="0" w:space="0" w:color="auto"/>
                            <w:bottom w:val="none" w:sz="0" w:space="0" w:color="auto"/>
                            <w:right w:val="none" w:sz="0" w:space="0" w:color="auto"/>
                          </w:divBdr>
                          <w:divsChild>
                            <w:div w:id="1916891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6323480">
          <w:marLeft w:val="0"/>
          <w:marRight w:val="0"/>
          <w:marTop w:val="0"/>
          <w:marBottom w:val="0"/>
          <w:divBdr>
            <w:top w:val="none" w:sz="0" w:space="0" w:color="auto"/>
            <w:left w:val="none" w:sz="0" w:space="0" w:color="auto"/>
            <w:bottom w:val="none" w:sz="0" w:space="0" w:color="auto"/>
            <w:right w:val="none" w:sz="0" w:space="0" w:color="auto"/>
          </w:divBdr>
        </w:div>
      </w:divsChild>
    </w:div>
    <w:div w:id="1986232289">
      <w:bodyDiv w:val="1"/>
      <w:marLeft w:val="0"/>
      <w:marRight w:val="0"/>
      <w:marTop w:val="0"/>
      <w:marBottom w:val="0"/>
      <w:divBdr>
        <w:top w:val="none" w:sz="0" w:space="0" w:color="auto"/>
        <w:left w:val="none" w:sz="0" w:space="0" w:color="auto"/>
        <w:bottom w:val="none" w:sz="0" w:space="0" w:color="auto"/>
        <w:right w:val="none" w:sz="0" w:space="0" w:color="auto"/>
      </w:divBdr>
    </w:div>
    <w:div w:id="1999840705">
      <w:bodyDiv w:val="1"/>
      <w:marLeft w:val="0"/>
      <w:marRight w:val="0"/>
      <w:marTop w:val="0"/>
      <w:marBottom w:val="0"/>
      <w:divBdr>
        <w:top w:val="none" w:sz="0" w:space="0" w:color="auto"/>
        <w:left w:val="none" w:sz="0" w:space="0" w:color="auto"/>
        <w:bottom w:val="none" w:sz="0" w:space="0" w:color="auto"/>
        <w:right w:val="none" w:sz="0" w:space="0" w:color="auto"/>
      </w:divBdr>
      <w:divsChild>
        <w:div w:id="163938152">
          <w:marLeft w:val="0"/>
          <w:marRight w:val="0"/>
          <w:marTop w:val="0"/>
          <w:marBottom w:val="0"/>
          <w:divBdr>
            <w:top w:val="none" w:sz="0" w:space="0" w:color="auto"/>
            <w:left w:val="none" w:sz="0" w:space="0" w:color="auto"/>
            <w:bottom w:val="none" w:sz="0" w:space="0" w:color="auto"/>
            <w:right w:val="none" w:sz="0" w:space="0" w:color="auto"/>
          </w:divBdr>
          <w:divsChild>
            <w:div w:id="1981614751">
              <w:marLeft w:val="0"/>
              <w:marRight w:val="0"/>
              <w:marTop w:val="0"/>
              <w:marBottom w:val="0"/>
              <w:divBdr>
                <w:top w:val="none" w:sz="0" w:space="0" w:color="auto"/>
                <w:left w:val="none" w:sz="0" w:space="0" w:color="auto"/>
                <w:bottom w:val="none" w:sz="0" w:space="0" w:color="auto"/>
                <w:right w:val="none" w:sz="0" w:space="0" w:color="auto"/>
              </w:divBdr>
              <w:divsChild>
                <w:div w:id="1267689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3411423">
      <w:bodyDiv w:val="1"/>
      <w:marLeft w:val="0"/>
      <w:marRight w:val="0"/>
      <w:marTop w:val="0"/>
      <w:marBottom w:val="0"/>
      <w:divBdr>
        <w:top w:val="none" w:sz="0" w:space="0" w:color="auto"/>
        <w:left w:val="none" w:sz="0" w:space="0" w:color="auto"/>
        <w:bottom w:val="none" w:sz="0" w:space="0" w:color="auto"/>
        <w:right w:val="none" w:sz="0" w:space="0" w:color="auto"/>
      </w:divBdr>
      <w:divsChild>
        <w:div w:id="403837763">
          <w:marLeft w:val="0"/>
          <w:marRight w:val="0"/>
          <w:marTop w:val="0"/>
          <w:marBottom w:val="0"/>
          <w:divBdr>
            <w:top w:val="none" w:sz="0" w:space="0" w:color="auto"/>
            <w:left w:val="none" w:sz="0" w:space="0" w:color="auto"/>
            <w:bottom w:val="none" w:sz="0" w:space="0" w:color="auto"/>
            <w:right w:val="none" w:sz="0" w:space="0" w:color="auto"/>
          </w:divBdr>
        </w:div>
        <w:div w:id="1875925370">
          <w:marLeft w:val="0"/>
          <w:marRight w:val="0"/>
          <w:marTop w:val="0"/>
          <w:marBottom w:val="0"/>
          <w:divBdr>
            <w:top w:val="none" w:sz="0" w:space="0" w:color="auto"/>
            <w:left w:val="none" w:sz="0" w:space="0" w:color="auto"/>
            <w:bottom w:val="none" w:sz="0" w:space="0" w:color="auto"/>
            <w:right w:val="none" w:sz="0" w:space="0" w:color="auto"/>
          </w:divBdr>
        </w:div>
        <w:div w:id="1265112226">
          <w:marLeft w:val="0"/>
          <w:marRight w:val="0"/>
          <w:marTop w:val="0"/>
          <w:marBottom w:val="0"/>
          <w:divBdr>
            <w:top w:val="none" w:sz="0" w:space="0" w:color="auto"/>
            <w:left w:val="none" w:sz="0" w:space="0" w:color="auto"/>
            <w:bottom w:val="none" w:sz="0" w:space="0" w:color="auto"/>
            <w:right w:val="none" w:sz="0" w:space="0" w:color="auto"/>
          </w:divBdr>
        </w:div>
        <w:div w:id="109446636">
          <w:marLeft w:val="0"/>
          <w:marRight w:val="0"/>
          <w:marTop w:val="0"/>
          <w:marBottom w:val="0"/>
          <w:divBdr>
            <w:top w:val="none" w:sz="0" w:space="0" w:color="auto"/>
            <w:left w:val="none" w:sz="0" w:space="0" w:color="auto"/>
            <w:bottom w:val="none" w:sz="0" w:space="0" w:color="auto"/>
            <w:right w:val="none" w:sz="0" w:space="0" w:color="auto"/>
          </w:divBdr>
        </w:div>
        <w:div w:id="900022596">
          <w:marLeft w:val="0"/>
          <w:marRight w:val="0"/>
          <w:marTop w:val="0"/>
          <w:marBottom w:val="0"/>
          <w:divBdr>
            <w:top w:val="none" w:sz="0" w:space="0" w:color="auto"/>
            <w:left w:val="none" w:sz="0" w:space="0" w:color="auto"/>
            <w:bottom w:val="none" w:sz="0" w:space="0" w:color="auto"/>
            <w:right w:val="none" w:sz="0" w:space="0" w:color="auto"/>
          </w:divBdr>
        </w:div>
      </w:divsChild>
    </w:div>
    <w:div w:id="2051147502">
      <w:bodyDiv w:val="1"/>
      <w:marLeft w:val="0"/>
      <w:marRight w:val="0"/>
      <w:marTop w:val="0"/>
      <w:marBottom w:val="0"/>
      <w:divBdr>
        <w:top w:val="none" w:sz="0" w:space="0" w:color="auto"/>
        <w:left w:val="none" w:sz="0" w:space="0" w:color="auto"/>
        <w:bottom w:val="none" w:sz="0" w:space="0" w:color="auto"/>
        <w:right w:val="none" w:sz="0" w:space="0" w:color="auto"/>
      </w:divBdr>
    </w:div>
    <w:div w:id="2052683412">
      <w:bodyDiv w:val="1"/>
      <w:marLeft w:val="0"/>
      <w:marRight w:val="0"/>
      <w:marTop w:val="0"/>
      <w:marBottom w:val="0"/>
      <w:divBdr>
        <w:top w:val="none" w:sz="0" w:space="0" w:color="auto"/>
        <w:left w:val="none" w:sz="0" w:space="0" w:color="auto"/>
        <w:bottom w:val="none" w:sz="0" w:space="0" w:color="auto"/>
        <w:right w:val="none" w:sz="0" w:space="0" w:color="auto"/>
      </w:divBdr>
      <w:divsChild>
        <w:div w:id="307322026">
          <w:marLeft w:val="0"/>
          <w:marRight w:val="0"/>
          <w:marTop w:val="0"/>
          <w:marBottom w:val="0"/>
          <w:divBdr>
            <w:top w:val="none" w:sz="0" w:space="0" w:color="auto"/>
            <w:left w:val="none" w:sz="0" w:space="0" w:color="auto"/>
            <w:bottom w:val="none" w:sz="0" w:space="0" w:color="auto"/>
            <w:right w:val="none" w:sz="0" w:space="0" w:color="auto"/>
          </w:divBdr>
          <w:divsChild>
            <w:div w:id="663775757">
              <w:marLeft w:val="0"/>
              <w:marRight w:val="0"/>
              <w:marTop w:val="0"/>
              <w:marBottom w:val="0"/>
              <w:divBdr>
                <w:top w:val="none" w:sz="0" w:space="0" w:color="auto"/>
                <w:left w:val="none" w:sz="0" w:space="0" w:color="auto"/>
                <w:bottom w:val="none" w:sz="0" w:space="0" w:color="auto"/>
                <w:right w:val="none" w:sz="0" w:space="0" w:color="auto"/>
              </w:divBdr>
              <w:divsChild>
                <w:div w:id="1858424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3991011">
      <w:bodyDiv w:val="1"/>
      <w:marLeft w:val="0"/>
      <w:marRight w:val="0"/>
      <w:marTop w:val="0"/>
      <w:marBottom w:val="0"/>
      <w:divBdr>
        <w:top w:val="none" w:sz="0" w:space="0" w:color="auto"/>
        <w:left w:val="none" w:sz="0" w:space="0" w:color="auto"/>
        <w:bottom w:val="none" w:sz="0" w:space="0" w:color="auto"/>
        <w:right w:val="none" w:sz="0" w:space="0" w:color="auto"/>
      </w:divBdr>
    </w:div>
    <w:div w:id="2085954992">
      <w:bodyDiv w:val="1"/>
      <w:marLeft w:val="0"/>
      <w:marRight w:val="0"/>
      <w:marTop w:val="0"/>
      <w:marBottom w:val="0"/>
      <w:divBdr>
        <w:top w:val="none" w:sz="0" w:space="0" w:color="auto"/>
        <w:left w:val="none" w:sz="0" w:space="0" w:color="auto"/>
        <w:bottom w:val="none" w:sz="0" w:space="0" w:color="auto"/>
        <w:right w:val="none" w:sz="0" w:space="0" w:color="auto"/>
      </w:divBdr>
      <w:divsChild>
        <w:div w:id="1187329164">
          <w:marLeft w:val="0"/>
          <w:marRight w:val="0"/>
          <w:marTop w:val="0"/>
          <w:marBottom w:val="0"/>
          <w:divBdr>
            <w:top w:val="none" w:sz="0" w:space="0" w:color="auto"/>
            <w:left w:val="none" w:sz="0" w:space="0" w:color="auto"/>
            <w:bottom w:val="none" w:sz="0" w:space="0" w:color="auto"/>
            <w:right w:val="none" w:sz="0" w:space="0" w:color="auto"/>
          </w:divBdr>
          <w:divsChild>
            <w:div w:id="1495031706">
              <w:marLeft w:val="0"/>
              <w:marRight w:val="0"/>
              <w:marTop w:val="0"/>
              <w:marBottom w:val="0"/>
              <w:divBdr>
                <w:top w:val="none" w:sz="0" w:space="0" w:color="auto"/>
                <w:left w:val="none" w:sz="0" w:space="0" w:color="auto"/>
                <w:bottom w:val="none" w:sz="0" w:space="0" w:color="auto"/>
                <w:right w:val="none" w:sz="0" w:space="0" w:color="auto"/>
              </w:divBdr>
              <w:divsChild>
                <w:div w:id="18887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026424">
      <w:bodyDiv w:val="1"/>
      <w:marLeft w:val="0"/>
      <w:marRight w:val="0"/>
      <w:marTop w:val="0"/>
      <w:marBottom w:val="0"/>
      <w:divBdr>
        <w:top w:val="none" w:sz="0" w:space="0" w:color="auto"/>
        <w:left w:val="none" w:sz="0" w:space="0" w:color="auto"/>
        <w:bottom w:val="none" w:sz="0" w:space="0" w:color="auto"/>
        <w:right w:val="none" w:sz="0" w:space="0" w:color="auto"/>
      </w:divBdr>
    </w:div>
    <w:div w:id="2093043518">
      <w:bodyDiv w:val="1"/>
      <w:marLeft w:val="0"/>
      <w:marRight w:val="0"/>
      <w:marTop w:val="0"/>
      <w:marBottom w:val="0"/>
      <w:divBdr>
        <w:top w:val="none" w:sz="0" w:space="0" w:color="auto"/>
        <w:left w:val="none" w:sz="0" w:space="0" w:color="auto"/>
        <w:bottom w:val="none" w:sz="0" w:space="0" w:color="auto"/>
        <w:right w:val="none" w:sz="0" w:space="0" w:color="auto"/>
      </w:divBdr>
      <w:divsChild>
        <w:div w:id="2057660370">
          <w:marLeft w:val="0"/>
          <w:marRight w:val="0"/>
          <w:marTop w:val="0"/>
          <w:marBottom w:val="0"/>
          <w:divBdr>
            <w:top w:val="none" w:sz="0" w:space="0" w:color="auto"/>
            <w:left w:val="none" w:sz="0" w:space="0" w:color="auto"/>
            <w:bottom w:val="none" w:sz="0" w:space="0" w:color="auto"/>
            <w:right w:val="none" w:sz="0" w:space="0" w:color="auto"/>
          </w:divBdr>
          <w:divsChild>
            <w:div w:id="911157157">
              <w:marLeft w:val="0"/>
              <w:marRight w:val="0"/>
              <w:marTop w:val="0"/>
              <w:marBottom w:val="0"/>
              <w:divBdr>
                <w:top w:val="none" w:sz="0" w:space="0" w:color="auto"/>
                <w:left w:val="none" w:sz="0" w:space="0" w:color="auto"/>
                <w:bottom w:val="none" w:sz="0" w:space="0" w:color="auto"/>
                <w:right w:val="none" w:sz="0" w:space="0" w:color="auto"/>
              </w:divBdr>
              <w:divsChild>
                <w:div w:id="105600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www.icc-cpi.int/about/interacting-with-communities" TargetMode="External"/><Relationship Id="rId13" Type="http://schemas.openxmlformats.org/officeDocument/2006/relationships/hyperlink" Target="http://www.bbc.com/news/world-latin-america-40944329" TargetMode="External"/><Relationship Id="rId18" Type="http://schemas.openxmlformats.org/officeDocument/2006/relationships/hyperlink" Target="https://www.sahistory.org.za/archive/art-inspired-truth-and-reconciliation-commission" TargetMode="External"/><Relationship Id="rId3" Type="http://schemas.openxmlformats.org/officeDocument/2006/relationships/hyperlink" Target="https://www.un.org/ruleoflaw/files/2004%20report.pdf" TargetMode="External"/><Relationship Id="rId7" Type="http://schemas.openxmlformats.org/officeDocument/2006/relationships/hyperlink" Target="https://www.icc-cpi.int/NR/rdonlyres/0CE5967F-EADC-44C9-8CCA-7A7E9AC89C30/140126/ICCASP432Res3_English.pdf" TargetMode="External"/><Relationship Id="rId12" Type="http://schemas.openxmlformats.org/officeDocument/2006/relationships/hyperlink" Target="http://es.presidencia.gov.co/normativa/normativa/ACTO%20LEGISLATIVO%20N%C2%B0%2001%20DE%204%20DE%20ABRIL%20DE%202017.pdf" TargetMode="External"/><Relationship Id="rId17" Type="http://schemas.openxmlformats.org/officeDocument/2006/relationships/hyperlink" Target="https://artij.org/en/blog.html" TargetMode="External"/><Relationship Id="rId2" Type="http://schemas.openxmlformats.org/officeDocument/2006/relationships/hyperlink" Target="http://www.icty.org/x/file/Press/Events/2017/171221-legacy-symposium-kirk-mc-donald-statement.pdf" TargetMode="External"/><Relationship Id="rId16" Type="http://schemas.openxmlformats.org/officeDocument/2006/relationships/hyperlink" Target="http://www.artij.org" TargetMode="External"/><Relationship Id="rId20" Type="http://schemas.openxmlformats.org/officeDocument/2006/relationships/hyperlink" Target="http://www.eltiempo.com/justicia/investigacion/ataque-a-monumento-de-las-victimas-de-la-masacre-de-mapiripan-140566" TargetMode="External"/><Relationship Id="rId1" Type="http://schemas.openxmlformats.org/officeDocument/2006/relationships/hyperlink" Target="file:///Users/marinaaksenova/Library/Containers/com.apple.mail/Data/Library/Mail%20Downloads/53704AF8-F087-498D-B209-FE9180936A60/www.icty.org/en/about/tribunal/achievements" TargetMode="External"/><Relationship Id="rId6" Type="http://schemas.openxmlformats.org/officeDocument/2006/relationships/hyperlink" Target="https://simonosullivan.net/articles/aesthetics-of-affect.pdf" TargetMode="External"/><Relationship Id="rId11" Type="http://schemas.openxmlformats.org/officeDocument/2006/relationships/hyperlink" Target="https://artij.org/en/blog.html" TargetMode="External"/><Relationship Id="rId5" Type="http://schemas.openxmlformats.org/officeDocument/2006/relationships/hyperlink" Target="http://ssrn.com/abstract=1403929" TargetMode="External"/><Relationship Id="rId15" Type="http://schemas.openxmlformats.org/officeDocument/2006/relationships/hyperlink" Target="https://www.kcl.ac.uk/sspp/departments/warstudies/news/newsrecords/Art-and-Reconciliation.aspx" TargetMode="External"/><Relationship Id="rId10" Type="http://schemas.openxmlformats.org/officeDocument/2006/relationships/hyperlink" Target="https://artij.org/en/blog.html" TargetMode="External"/><Relationship Id="rId19" Type="http://schemas.openxmlformats.org/officeDocument/2006/relationships/hyperlink" Target="https://www.theatlantic.com/magazine/archive/2011/07/the-brain-on-trial/308520/" TargetMode="External"/><Relationship Id="rId4" Type="http://schemas.openxmlformats.org/officeDocument/2006/relationships/hyperlink" Target="https://www.researchgate.net/publication/journal/1556-5068_SSRN_Electronic_Journal" TargetMode="External"/><Relationship Id="rId9" Type="http://schemas.openxmlformats.org/officeDocument/2006/relationships/hyperlink" Target="https://www.icc-cpi.int/traumahealinghope/index.html" TargetMode="External"/><Relationship Id="rId14" Type="http://schemas.openxmlformats.org/officeDocument/2006/relationships/hyperlink" Target="http://www.uwindsor.ca/dailynews/2017-10-10/putting-reconciliation-practice-aim-arts-projec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7DA42921-D591-A24A-AFE4-2ECFF7FA5A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9828</Words>
  <Characters>56023</Characters>
  <Application>Microsoft Office Word</Application>
  <DocSecurity>0</DocSecurity>
  <Lines>466</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 Aksenova</dc:creator>
  <cp:keywords/>
  <dc:description/>
  <cp:lastModifiedBy>Marina Aksenova</cp:lastModifiedBy>
  <cp:revision>3</cp:revision>
  <cp:lastPrinted>2018-12-03T22:18:00Z</cp:lastPrinted>
  <dcterms:created xsi:type="dcterms:W3CDTF">2019-10-09T16:29:00Z</dcterms:created>
  <dcterms:modified xsi:type="dcterms:W3CDTF">2019-10-18T15:46:00Z</dcterms:modified>
</cp:coreProperties>
</file>