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53C9F" w14:textId="77777777" w:rsidR="00F8558D" w:rsidRPr="00322CD6" w:rsidRDefault="00F8558D" w:rsidP="00F8558D">
      <w:pPr>
        <w:ind w:firstLine="0"/>
        <w:jc w:val="center"/>
        <w:rPr>
          <w:rFonts w:asciiTheme="majorHAnsi" w:hAnsiTheme="majorHAnsi"/>
          <w:b/>
          <w:sz w:val="32"/>
        </w:rPr>
      </w:pPr>
      <w:r w:rsidRPr="00322CD6">
        <w:rPr>
          <w:rFonts w:asciiTheme="majorHAnsi" w:hAnsiTheme="majorHAnsi"/>
          <w:b/>
          <w:sz w:val="32"/>
        </w:rPr>
        <w:t>Legal Origins, Corporate Governance and Environmental Outcomes</w:t>
      </w:r>
    </w:p>
    <w:p w14:paraId="40A355C9" w14:textId="77777777" w:rsidR="00F8558D" w:rsidRPr="002D5303" w:rsidRDefault="00F8558D" w:rsidP="00F8558D">
      <w:pPr>
        <w:ind w:firstLine="0"/>
        <w:rPr>
          <w:b/>
          <w:sz w:val="32"/>
        </w:rPr>
      </w:pPr>
    </w:p>
    <w:p w14:paraId="551ED86F" w14:textId="77777777" w:rsidR="00F8558D" w:rsidRDefault="00F8558D" w:rsidP="00F8558D"/>
    <w:p w14:paraId="1B62010E" w14:textId="77777777" w:rsidR="00F8558D" w:rsidRDefault="00F8558D" w:rsidP="00F8558D">
      <w:pPr>
        <w:ind w:firstLine="0"/>
        <w:jc w:val="center"/>
        <w:rPr>
          <w:b/>
        </w:rPr>
      </w:pPr>
      <w:r>
        <w:rPr>
          <w:b/>
        </w:rPr>
        <w:t>Carl J. Kock and Byung S. Min*</w:t>
      </w:r>
    </w:p>
    <w:p w14:paraId="19CF2AB0" w14:textId="77777777" w:rsidR="00F8558D" w:rsidRDefault="00F8558D" w:rsidP="00F8558D">
      <w:pPr>
        <w:ind w:firstLine="0"/>
        <w:jc w:val="center"/>
        <w:rPr>
          <w:b/>
        </w:rPr>
      </w:pPr>
    </w:p>
    <w:p w14:paraId="3BA5690C" w14:textId="77777777" w:rsidR="00F8558D" w:rsidRDefault="00F8558D" w:rsidP="00F8558D">
      <w:pPr>
        <w:tabs>
          <w:tab w:val="right" w:pos="7938"/>
        </w:tabs>
      </w:pPr>
      <w:r>
        <w:t>IE Business School</w:t>
      </w:r>
      <w:r>
        <w:tab/>
        <w:t>Griffith Business School</w:t>
      </w:r>
    </w:p>
    <w:p w14:paraId="53BBB34C" w14:textId="77777777" w:rsidR="00F8558D" w:rsidRDefault="00F8558D" w:rsidP="00F8558D">
      <w:pPr>
        <w:tabs>
          <w:tab w:val="right" w:pos="7938"/>
        </w:tabs>
      </w:pPr>
      <w:r>
        <w:t>Maria de Molina 11, 13, 15</w:t>
      </w:r>
      <w:r>
        <w:tab/>
        <w:t>Griffith University</w:t>
      </w:r>
    </w:p>
    <w:p w14:paraId="62DA3E74" w14:textId="77777777" w:rsidR="00F8558D" w:rsidRDefault="00F8558D" w:rsidP="00F8558D">
      <w:pPr>
        <w:tabs>
          <w:tab w:val="right" w:pos="7938"/>
        </w:tabs>
      </w:pPr>
      <w:r>
        <w:t>Madrid</w:t>
      </w:r>
      <w:r>
        <w:tab/>
        <w:t>Brisbane</w:t>
      </w:r>
    </w:p>
    <w:p w14:paraId="699ACBCB" w14:textId="77777777" w:rsidR="00F8558D" w:rsidRDefault="00F8558D" w:rsidP="00F8558D">
      <w:pPr>
        <w:tabs>
          <w:tab w:val="right" w:pos="7938"/>
        </w:tabs>
        <w:ind w:left="720" w:firstLine="0"/>
      </w:pPr>
      <w:r>
        <w:t>Spain</w:t>
      </w:r>
      <w:r>
        <w:tab/>
        <w:t>Australia</w:t>
      </w:r>
    </w:p>
    <w:p w14:paraId="72891AE9" w14:textId="77777777" w:rsidR="00F8558D" w:rsidRDefault="00F8558D" w:rsidP="00F8558D">
      <w:pPr>
        <w:tabs>
          <w:tab w:val="right" w:pos="7938"/>
        </w:tabs>
        <w:spacing w:line="480" w:lineRule="auto"/>
        <w:ind w:left="720" w:firstLine="0"/>
      </w:pPr>
      <w:r>
        <w:t>carl.kock@ie.edu</w:t>
      </w:r>
      <w:r>
        <w:tab/>
      </w:r>
      <w:hyperlink r:id="rId9" w:history="1">
        <w:r w:rsidRPr="00EC485F">
          <w:rPr>
            <w:rStyle w:val="Hyperlink"/>
          </w:rPr>
          <w:t>b.min@griffith.edu.au</w:t>
        </w:r>
      </w:hyperlink>
    </w:p>
    <w:p w14:paraId="10DA59A1" w14:textId="77777777" w:rsidR="00F8558D" w:rsidRDefault="0086707B" w:rsidP="00F8558D">
      <w:pPr>
        <w:tabs>
          <w:tab w:val="right" w:pos="7938"/>
        </w:tabs>
        <w:ind w:left="720" w:firstLine="0"/>
      </w:pPr>
      <w:hyperlink r:id="rId10" w:history="1">
        <w:r w:rsidR="00F8558D" w:rsidRPr="00EC485F">
          <w:rPr>
            <w:rStyle w:val="Hyperlink"/>
          </w:rPr>
          <w:t>Tel:</w:t>
        </w:r>
        <w:r w:rsidR="00F8558D">
          <w:rPr>
            <w:rStyle w:val="Hyperlink"/>
          </w:rPr>
          <w:t xml:space="preserve"> </w:t>
        </w:r>
        <w:r w:rsidR="00F8558D" w:rsidRPr="00EC485F">
          <w:rPr>
            <w:rStyle w:val="Hyperlink"/>
          </w:rPr>
          <w:t>915</w:t>
        </w:r>
      </w:hyperlink>
      <w:r w:rsidR="00F8558D">
        <w:t xml:space="preserve"> 689737 (Ext.9737)</w:t>
      </w:r>
      <w:r w:rsidR="00F8558D">
        <w:tab/>
        <w:t>Tel: 617 3735 5248</w:t>
      </w:r>
    </w:p>
    <w:p w14:paraId="23AD2811" w14:textId="77777777" w:rsidR="00F8558D" w:rsidRPr="00AD2D15" w:rsidRDefault="00F8558D" w:rsidP="00F8558D">
      <w:pPr>
        <w:tabs>
          <w:tab w:val="right" w:pos="7938"/>
        </w:tabs>
        <w:spacing w:line="480" w:lineRule="auto"/>
        <w:ind w:left="720" w:firstLine="0"/>
      </w:pPr>
      <w:r>
        <w:t xml:space="preserve">                                                                                         Fax: 617 3735 5111</w:t>
      </w:r>
    </w:p>
    <w:p w14:paraId="44E6DEF4" w14:textId="77777777" w:rsidR="00F8558D" w:rsidRDefault="0086707B" w:rsidP="00F8558D">
      <w:pPr>
        <w:ind w:firstLine="0"/>
        <w:jc w:val="center"/>
        <w:rPr>
          <w:b/>
        </w:rPr>
      </w:pPr>
      <w:r>
        <w:rPr>
          <w:b/>
        </w:rPr>
        <w:t>Accepted at the</w:t>
      </w:r>
      <w:r w:rsidR="001F4587">
        <w:rPr>
          <w:b/>
        </w:rPr>
        <w:t xml:space="preserve"> Journal of Business Ethics</w:t>
      </w:r>
    </w:p>
    <w:p w14:paraId="68041B1E" w14:textId="77777777" w:rsidR="00F8558D" w:rsidRDefault="0086707B" w:rsidP="00F8558D">
      <w:pPr>
        <w:ind w:firstLine="0"/>
        <w:jc w:val="center"/>
        <w:rPr>
          <w:b/>
        </w:rPr>
      </w:pPr>
      <w:r>
        <w:rPr>
          <w:b/>
        </w:rPr>
        <w:t>March 2015</w:t>
      </w:r>
    </w:p>
    <w:p w14:paraId="00913DFF" w14:textId="77777777" w:rsidR="00F8558D" w:rsidRDefault="00F8558D" w:rsidP="00F8558D">
      <w:pPr>
        <w:ind w:firstLine="0"/>
        <w:jc w:val="center"/>
        <w:rPr>
          <w:b/>
        </w:rPr>
      </w:pPr>
    </w:p>
    <w:p w14:paraId="5F0408EC" w14:textId="77777777" w:rsidR="00F8558D" w:rsidRDefault="00F8558D" w:rsidP="00F8558D">
      <w:pPr>
        <w:ind w:firstLine="0"/>
        <w:jc w:val="center"/>
        <w:rPr>
          <w:b/>
        </w:rPr>
      </w:pPr>
    </w:p>
    <w:p w14:paraId="38D722CC" w14:textId="77777777" w:rsidR="00F8558D" w:rsidRPr="00322CD6" w:rsidRDefault="00F8558D" w:rsidP="00F8558D">
      <w:pPr>
        <w:ind w:firstLine="0"/>
        <w:jc w:val="center"/>
        <w:rPr>
          <w:rFonts w:asciiTheme="majorHAnsi" w:hAnsiTheme="majorHAnsi"/>
          <w:b/>
          <w:sz w:val="32"/>
          <w:szCs w:val="32"/>
        </w:rPr>
      </w:pPr>
      <w:r w:rsidRPr="00322CD6">
        <w:rPr>
          <w:rFonts w:asciiTheme="majorHAnsi" w:hAnsiTheme="majorHAnsi"/>
          <w:b/>
          <w:sz w:val="32"/>
          <w:szCs w:val="32"/>
        </w:rPr>
        <w:t>Abstract</w:t>
      </w:r>
    </w:p>
    <w:p w14:paraId="305EC1FA" w14:textId="77777777" w:rsidR="00F8558D" w:rsidRDefault="00F8558D" w:rsidP="00F8558D"/>
    <w:p w14:paraId="3E4473CE" w14:textId="77777777" w:rsidR="00F8558D" w:rsidRDefault="00F8558D" w:rsidP="00F8558D">
      <w:pPr>
        <w:jc w:val="both"/>
      </w:pPr>
      <w:r>
        <w:t xml:space="preserve">Environmental governance has emerged as a recent perspective to explain the link between corporate governance mechanisms and environmental performance such as pollution reduction. We extend current models by incorporating the crucial role of the underlying </w:t>
      </w:r>
      <w:r w:rsidR="00B27266">
        <w:t xml:space="preserve">institutional </w:t>
      </w:r>
      <w:r>
        <w:t xml:space="preserve">logics in terms of an a priori focus on either shareholder rights or stakeholder inclusion, which, in turn, can be traced back to the legal origin of a specific country. Using data on a sample of common and </w:t>
      </w:r>
      <w:r w:rsidR="003F2FF3">
        <w:t>civil</w:t>
      </w:r>
      <w:r>
        <w:t xml:space="preserve"> law countries we find support for our predictions that a shareholder focused common law legal origin is associated with significantly higher emissions of CO</w:t>
      </w:r>
      <w:r>
        <w:rPr>
          <w:vertAlign w:val="subscript"/>
        </w:rPr>
        <w:t>2</w:t>
      </w:r>
      <w:r w:rsidR="00FF5C69">
        <w:t>, but also that international environmental agreements like the Kyoto prot</w:t>
      </w:r>
      <w:r w:rsidR="00E212F9">
        <w:t>o</w:t>
      </w:r>
      <w:r w:rsidR="00FF5C69">
        <w:t xml:space="preserve">col seem to have a more pronounced effect in shareholder centric economies than </w:t>
      </w:r>
      <w:r w:rsidR="002D0203">
        <w:t>thus</w:t>
      </w:r>
      <w:r w:rsidR="00FF5C69">
        <w:t xml:space="preserve"> far assumed.</w:t>
      </w:r>
    </w:p>
    <w:p w14:paraId="631B7376" w14:textId="77777777" w:rsidR="00F8558D" w:rsidRDefault="00F8558D" w:rsidP="00F8558D">
      <w:pPr>
        <w:ind w:firstLine="0"/>
      </w:pPr>
    </w:p>
    <w:p w14:paraId="2F29569A" w14:textId="77777777" w:rsidR="00F8558D" w:rsidRPr="00D4433F" w:rsidRDefault="00F8558D" w:rsidP="00F8558D">
      <w:pPr>
        <w:ind w:firstLine="0"/>
        <w:jc w:val="both"/>
        <w:rPr>
          <w:b/>
        </w:rPr>
      </w:pPr>
      <w:r w:rsidRPr="00D4433F">
        <w:rPr>
          <w:b/>
        </w:rPr>
        <w:t>Environmental Governance, Emission</w:t>
      </w:r>
      <w:r>
        <w:rPr>
          <w:b/>
        </w:rPr>
        <w:t xml:space="preserve">s </w:t>
      </w:r>
      <w:r w:rsidRPr="00D4433F">
        <w:rPr>
          <w:b/>
        </w:rPr>
        <w:t>Contro</w:t>
      </w:r>
      <w:r w:rsidR="001F4587">
        <w:rPr>
          <w:b/>
        </w:rPr>
        <w:t>l, Legal Origins, Institutional Logics</w:t>
      </w:r>
      <w:r>
        <w:rPr>
          <w:b/>
        </w:rPr>
        <w:t>, Corporate Governance, International Environmental Agreements</w:t>
      </w:r>
    </w:p>
    <w:p w14:paraId="5FEC1887" w14:textId="77777777" w:rsidR="0086707B" w:rsidRPr="00322CD6" w:rsidRDefault="0086707B" w:rsidP="0086707B">
      <w:pPr>
        <w:ind w:firstLine="0"/>
        <w:jc w:val="center"/>
        <w:rPr>
          <w:rFonts w:asciiTheme="majorHAnsi" w:hAnsiTheme="majorHAnsi"/>
          <w:b/>
          <w:sz w:val="32"/>
        </w:rPr>
      </w:pPr>
      <w:r>
        <w:br w:type="page"/>
      </w:r>
      <w:r w:rsidRPr="00322CD6">
        <w:rPr>
          <w:rFonts w:asciiTheme="majorHAnsi" w:hAnsiTheme="majorHAnsi"/>
          <w:b/>
          <w:sz w:val="32"/>
        </w:rPr>
        <w:lastRenderedPageBreak/>
        <w:t>Legal Origins, Corporate Governance and Environmental Outcomes</w:t>
      </w:r>
    </w:p>
    <w:p w14:paraId="7F75D0ED" w14:textId="77777777" w:rsidR="0086707B" w:rsidRDefault="0086707B" w:rsidP="0086707B">
      <w:pPr>
        <w:widowControl/>
        <w:ind w:firstLine="0"/>
      </w:pPr>
    </w:p>
    <w:p w14:paraId="65DD04CA" w14:textId="77777777" w:rsidR="0086707B" w:rsidRDefault="0086707B" w:rsidP="0086707B">
      <w:pPr>
        <w:pStyle w:val="bodytextpaper"/>
        <w:ind w:firstLine="0"/>
        <w:jc w:val="center"/>
      </w:pPr>
      <w:r>
        <w:rPr>
          <w:rFonts w:asciiTheme="majorHAnsi" w:hAnsiTheme="majorHAnsi"/>
          <w:b/>
          <w:sz w:val="32"/>
        </w:rPr>
        <w:t>INTRODUCTION</w:t>
      </w:r>
    </w:p>
    <w:p w14:paraId="6B0D9A6A" w14:textId="77777777" w:rsidR="0086707B" w:rsidRDefault="0086707B" w:rsidP="0086707B">
      <w:pPr>
        <w:pStyle w:val="bodytextpaper"/>
        <w:ind w:firstLine="0"/>
      </w:pPr>
      <w:r>
        <w:t xml:space="preserve">Environmental management and corporate sustainability are emerging as some of the central themes of public concern and academic research (Henriques and Sadorsky, 1999; </w:t>
      </w:r>
      <w:r>
        <w:rPr>
          <w:rFonts w:eastAsia="Malgun Gothic"/>
        </w:rPr>
        <w:t>Porter and</w:t>
      </w:r>
      <w:r w:rsidRPr="000F7CF6">
        <w:rPr>
          <w:rFonts w:eastAsia="Malgun Gothic"/>
        </w:rPr>
        <w:t xml:space="preserve"> van der Linde, </w:t>
      </w:r>
      <w:r>
        <w:rPr>
          <w:rFonts w:eastAsia="Malgun Gothic"/>
        </w:rPr>
        <w:t xml:space="preserve">1995; Buzzelli, 1991; </w:t>
      </w:r>
      <w:r>
        <w:t xml:space="preserve">Greeno and Robinson, 1992; Newman and Breeden, 1992), with the latter leading to an accumulating body of insights into the link between environmental outcomes and various firm level issues. Prior studies have, for instance, looked at the relation between environmental management and performance (e.g., Russo and Fouts, 1997; King and Lenox, 2002), and the contingencies under which managers or firms are more or less likely to reduce their impact on the environment (e.g., King and Lenox, 2002, Aragón-Correa et al., </w:t>
      </w:r>
      <w:r w:rsidRPr="004A2145">
        <w:t>2004</w:t>
      </w:r>
      <w:r>
        <w:t xml:space="preserve">). One recently emerging area of this environmental management perspective is the focus on corporate governance mechanisms and their effect on environmental performance. Within this ‘environmental governance’ perspective, Kock, Santaló and Diestre (2012), for instance, show that a variety of ‘good’ governance mechanisms lead to lower pollution levels, while </w:t>
      </w:r>
      <w:r w:rsidRPr="008D0435">
        <w:t>Berrone</w:t>
      </w:r>
      <w:r>
        <w:t xml:space="preserve"> et al. (2010) find that specific types of shareholders like families similarly have a positive effect on pollution reduction.</w:t>
      </w:r>
    </w:p>
    <w:p w14:paraId="03E9B6F8" w14:textId="77777777" w:rsidR="0086707B" w:rsidRDefault="0086707B" w:rsidP="0086707B">
      <w:pPr>
        <w:pStyle w:val="bodytextpaper"/>
      </w:pPr>
      <w:r>
        <w:t xml:space="preserve">However, while these and other work on environmental governance (see review in </w:t>
      </w:r>
      <w:r w:rsidRPr="00C61DFC">
        <w:rPr>
          <w:bCs/>
        </w:rPr>
        <w:t>Walls</w:t>
      </w:r>
      <w:r>
        <w:rPr>
          <w:bCs/>
        </w:rPr>
        <w:t xml:space="preserve"> et al., 2012</w:t>
      </w:r>
      <w:r w:rsidRPr="00901AC3">
        <w:rPr>
          <w:bCs/>
        </w:rPr>
        <w:t>)</w:t>
      </w:r>
      <w:r>
        <w:t xml:space="preserve"> have derived valuable insights into the effects of a wide variety of corporate governance mechanisms on environmental outcomes, they have not considered the underlying origins of these governance structures. In particular, based on the work of La Porta et al. (1</w:t>
      </w:r>
      <w:r>
        <w:rPr>
          <w:rFonts w:hint="eastAsia"/>
        </w:rPr>
        <w:t xml:space="preserve">997, </w:t>
      </w:r>
      <w:r>
        <w:t xml:space="preserve">1998, </w:t>
      </w:r>
      <w:r>
        <w:rPr>
          <w:rFonts w:hint="eastAsia"/>
        </w:rPr>
        <w:t>2000</w:t>
      </w:r>
      <w:r>
        <w:t xml:space="preserve">, 2002), a number of scholars have documented a </w:t>
      </w:r>
      <w:r>
        <w:lastRenderedPageBreak/>
        <w:t>seemingly pervasive effect of the ‘origins of law’ on a variety of institutions, such as industrial-relations, securities or corporation law, that govern how firms, investors, labour and other groups act. Recent studies have, for instance, illustrated the role of country-level governance in corporate strategic decisions such as the development of new technologies (Hiller et al., 2011) and foreign investment (Luo et al., 2009). In this origin of law perspective, the primary distinction is made between countries following an Anglo-Saxon case-based ‘common law’ versus those that apply a version of code-based ‘civil law’. Our study extends this perspective to the field of environmental governance.</w:t>
      </w:r>
    </w:p>
    <w:p w14:paraId="381CEF48" w14:textId="77777777" w:rsidR="0086707B" w:rsidRDefault="0086707B" w:rsidP="0086707B">
      <w:pPr>
        <w:pStyle w:val="bodytextpaper"/>
      </w:pPr>
      <w:r w:rsidRPr="009C3448">
        <w:t xml:space="preserve">The work of La Porta </w:t>
      </w:r>
      <w:r>
        <w:t>et al.</w:t>
      </w:r>
      <w:r w:rsidRPr="009C3448">
        <w:t xml:space="preserve"> has, in fact, been criticized for a lack of focus on </w:t>
      </w:r>
      <w:r>
        <w:t xml:space="preserve">such </w:t>
      </w:r>
      <w:r w:rsidRPr="009C3448">
        <w:t xml:space="preserve">social outcomes. </w:t>
      </w:r>
      <w:r w:rsidRPr="00FB6780">
        <w:t xml:space="preserve">Collison et al. </w:t>
      </w:r>
      <w:r w:rsidRPr="009C3448">
        <w:t xml:space="preserve">(2012: 394), for instance, diagnose a </w:t>
      </w:r>
      <w:r w:rsidRPr="009C3448">
        <w:rPr>
          <w:i/>
          <w:sz w:val="20"/>
        </w:rPr>
        <w:t>“narrow ethical perspective”</w:t>
      </w:r>
      <w:r w:rsidRPr="009C3448">
        <w:t xml:space="preserve"> </w:t>
      </w:r>
      <w:r>
        <w:t>for</w:t>
      </w:r>
      <w:r w:rsidRPr="009C3448">
        <w:t xml:space="preserve"> the legal origins perspective and contend that it essentially prescribes the market based common law system as superior for economic development, </w:t>
      </w:r>
      <w:r>
        <w:t>leading</w:t>
      </w:r>
      <w:r w:rsidRPr="009C3448">
        <w:t xml:space="preserve"> to </w:t>
      </w:r>
      <w:r w:rsidRPr="009C3448">
        <w:rPr>
          <w:i/>
          <w:sz w:val="20"/>
        </w:rPr>
        <w:t>“the marginalisation of a stakeholder orientated approach to corporate governance which tends to be identified with practice in civil law countries.”</w:t>
      </w:r>
      <w:r w:rsidRPr="009C3448">
        <w:t xml:space="preserve"> </w:t>
      </w:r>
      <w:r>
        <w:t>Like Collison et al. (2012), who show that measures of societal well-being are enhanced in civil law countries, we also seek to add a ‘social dimension’ to the traditionally economical outcomes La Porta et al. focus on. We are particularly interested in what the existence of these two legal systems,</w:t>
      </w:r>
      <w:r w:rsidRPr="0049611B">
        <w:t xml:space="preserve"> </w:t>
      </w:r>
      <w:r>
        <w:t>given their previously documented strong influence on the prevailing institutional logics (</w:t>
      </w:r>
      <w:r w:rsidRPr="0025411D">
        <w:rPr>
          <w:lang w:val="de-DE"/>
        </w:rPr>
        <w:t>Herremans</w:t>
      </w:r>
      <w:r>
        <w:rPr>
          <w:lang w:val="de-DE"/>
        </w:rPr>
        <w:t xml:space="preserve">, </w:t>
      </w:r>
      <w:r w:rsidRPr="0025411D">
        <w:rPr>
          <w:lang w:val="de-DE"/>
        </w:rPr>
        <w:t>Herschovis</w:t>
      </w:r>
      <w:r>
        <w:rPr>
          <w:lang w:val="de-DE"/>
        </w:rPr>
        <w:t xml:space="preserve">, and </w:t>
      </w:r>
      <w:r w:rsidRPr="0025411D">
        <w:rPr>
          <w:lang w:val="de-DE"/>
        </w:rPr>
        <w:t>Bertels</w:t>
      </w:r>
      <w:r>
        <w:rPr>
          <w:lang w:val="de-DE"/>
        </w:rPr>
        <w:t xml:space="preserve">, 2009, </w:t>
      </w:r>
      <w:r>
        <w:t xml:space="preserve">Collison et al., 2012) and corporate governance systems at country level (e.g., Daniel, Cieslewicz and </w:t>
      </w:r>
      <w:r w:rsidRPr="0094165C">
        <w:t>Pourjalali</w:t>
      </w:r>
      <w:r>
        <w:t>, 2012), implies for differences in environmental performance. W</w:t>
      </w:r>
      <w:r w:rsidRPr="007073F1">
        <w:t xml:space="preserve">e suggest that this fills a gap in prior work in environmental governance that has assumed a direct link between governance structures and environmental outcomes without considering the possibility that equal governance structures may lead to rather different outcomes depending on the institutional logics that </w:t>
      </w:r>
      <w:r w:rsidRPr="007073F1">
        <w:lastRenderedPageBreak/>
        <w:t xml:space="preserve">influence the decisions of managers, shareholders and other </w:t>
      </w:r>
      <w:r>
        <w:t>stakeholders</w:t>
      </w:r>
      <w:r w:rsidRPr="007073F1">
        <w:t>.</w:t>
      </w:r>
    </w:p>
    <w:p w14:paraId="491476EC" w14:textId="77777777" w:rsidR="0086707B" w:rsidRDefault="0086707B" w:rsidP="0086707B">
      <w:pPr>
        <w:pStyle w:val="bodytextpaper"/>
      </w:pPr>
      <w:r>
        <w:t>We argue that the origin of the legal foundations, and the fundamental philosophical orientations associated with these ‘origins’, will shape the institutional logic of how private property is regarded and treated in a given country. F</w:t>
      </w:r>
      <w:r w:rsidRPr="004B5706">
        <w:t xml:space="preserve">ollowing Thornton and Ocasio (1999: 804; Friedland and Alford, 1991) we define institutional logics as </w:t>
      </w:r>
      <w:r w:rsidRPr="00716708">
        <w:rPr>
          <w:i/>
          <w:sz w:val="20"/>
        </w:rPr>
        <w:t>“the socially constructed, historical pattern of material practices, assumptions, values, beliefs, and rules by which individuals produce and reproduce their material subsistence, organize time and space, and provide meaning to their social reality</w:t>
      </w:r>
      <w:r>
        <w:rPr>
          <w:i/>
          <w:sz w:val="20"/>
        </w:rPr>
        <w:t>”</w:t>
      </w:r>
      <w:r w:rsidRPr="0094165C">
        <w:t xml:space="preserve"> </w:t>
      </w:r>
      <w:r>
        <w:t>which</w:t>
      </w:r>
      <w:r w:rsidRPr="00716708">
        <w:rPr>
          <w:i/>
          <w:sz w:val="20"/>
        </w:rPr>
        <w:t xml:space="preserve"> </w:t>
      </w:r>
      <w:r>
        <w:rPr>
          <w:i/>
          <w:sz w:val="20"/>
        </w:rPr>
        <w:t>“</w:t>
      </w:r>
      <w:r w:rsidRPr="00716708">
        <w:rPr>
          <w:i/>
          <w:sz w:val="20"/>
        </w:rPr>
        <w:t>guide and constrain decision makers in accomplishing the organization’s tasks</w:t>
      </w:r>
      <w:r>
        <w:rPr>
          <w:i/>
          <w:sz w:val="20"/>
        </w:rPr>
        <w:t>.</w:t>
      </w:r>
      <w:r w:rsidRPr="00716708">
        <w:rPr>
          <w:i/>
          <w:sz w:val="20"/>
        </w:rPr>
        <w:t>”</w:t>
      </w:r>
      <w:r>
        <w:t xml:space="preserve"> In fact, prior theorizing and evidence (e.g., Collison et al., 2012</w:t>
      </w:r>
      <w:r>
        <w:rPr>
          <w:lang w:val="de-DE"/>
        </w:rPr>
        <w:t>)</w:t>
      </w:r>
      <w:r>
        <w:t xml:space="preserve"> suggests, on one hand, a near perfect alignment between common law and a </w:t>
      </w:r>
      <w:r w:rsidRPr="004E2454">
        <w:rPr>
          <w:i/>
        </w:rPr>
        <w:t>shareholder primacy</w:t>
      </w:r>
      <w:r>
        <w:t xml:space="preserve"> view that regards property as the sole prerogative of its owners. Civil law, on the other hand, appears to be strongly aligned with common definitions of a </w:t>
      </w:r>
      <w:r w:rsidRPr="004E2454">
        <w:rPr>
          <w:i/>
        </w:rPr>
        <w:t>stakeholder orientation</w:t>
      </w:r>
      <w:r>
        <w:t xml:space="preserve">, because in this law tradition </w:t>
      </w:r>
      <w:r w:rsidRPr="00E34945">
        <w:rPr>
          <w:i/>
          <w:sz w:val="20"/>
          <w:szCs w:val="20"/>
        </w:rPr>
        <w:t>“property and social responsibility are seen as two sides of the same coin”</w:t>
      </w:r>
      <w:r>
        <w:rPr>
          <w:i/>
          <w:sz w:val="20"/>
          <w:szCs w:val="20"/>
        </w:rPr>
        <w:t xml:space="preserve"> </w:t>
      </w:r>
      <w:r w:rsidRPr="00E53F58">
        <w:t>(La Porta et al, 2008: 309). These shareholder vs. stakeholder focused logics, furthermore,</w:t>
      </w:r>
      <w:r>
        <w:t xml:space="preserve"> should have a strong shaping influence on the development of corporate governance mechanisms in common vs. civil law countries, which, given the prior findings on environmental governance, should in turn affect firms’ environmental performance. </w:t>
      </w:r>
    </w:p>
    <w:p w14:paraId="31230670" w14:textId="77777777" w:rsidR="0086707B" w:rsidRDefault="0086707B" w:rsidP="0086707B">
      <w:pPr>
        <w:pStyle w:val="bodytextpaper"/>
      </w:pPr>
      <w:r>
        <w:t>We test our model with country level data on carbon dioxide (CO</w:t>
      </w:r>
      <w:r w:rsidRPr="004E2454">
        <w:rPr>
          <w:vertAlign w:val="subscript"/>
        </w:rPr>
        <w:t>2</w:t>
      </w:r>
      <w:r>
        <w:t>) emissions. Since the latter account for</w:t>
      </w:r>
      <w:r>
        <w:rPr>
          <w:rFonts w:hint="eastAsia"/>
        </w:rPr>
        <w:t xml:space="preserve"> approximately 80</w:t>
      </w:r>
      <w:r>
        <w:t>%</w:t>
      </w:r>
      <w:r>
        <w:rPr>
          <w:rFonts w:hint="eastAsia"/>
        </w:rPr>
        <w:t xml:space="preserve"> of total greenhouse gas emissions </w:t>
      </w:r>
      <w:r>
        <w:t>(</w:t>
      </w:r>
      <w:r>
        <w:rPr>
          <w:rFonts w:hint="eastAsia"/>
        </w:rPr>
        <w:t xml:space="preserve">when expressed in </w:t>
      </w:r>
      <w:r>
        <w:t>CO</w:t>
      </w:r>
      <w:r w:rsidRPr="004E2454">
        <w:rPr>
          <w:vertAlign w:val="subscript"/>
        </w:rPr>
        <w:t>2</w:t>
      </w:r>
      <w:r>
        <w:t xml:space="preserve"> e</w:t>
      </w:r>
      <w:r>
        <w:rPr>
          <w:rFonts w:hint="eastAsia"/>
        </w:rPr>
        <w:t>quivalent</w:t>
      </w:r>
      <w:r>
        <w:t>s</w:t>
      </w:r>
      <w:r>
        <w:rPr>
          <w:rFonts w:hint="eastAsia"/>
        </w:rPr>
        <w:t>, Nordhaus, 1991), and are the focus of at least two major international agreements (the</w:t>
      </w:r>
      <w:r>
        <w:t xml:space="preserve"> 1992 Earth Summit and the 1997 </w:t>
      </w:r>
      <w:r>
        <w:rPr>
          <w:rFonts w:hint="eastAsia"/>
        </w:rPr>
        <w:t xml:space="preserve">Kyoto </w:t>
      </w:r>
      <w:r w:rsidRPr="0054724C">
        <w:rPr>
          <w:rFonts w:hint="eastAsia"/>
        </w:rPr>
        <w:t>Protocol</w:t>
      </w:r>
      <w:r w:rsidRPr="0054724C">
        <w:t>, e.g., Janicke</w:t>
      </w:r>
      <w:r>
        <w:t>,</w:t>
      </w:r>
      <w:r w:rsidRPr="0054724C">
        <w:t xml:space="preserve"> 2006</w:t>
      </w:r>
      <w:r>
        <w:t xml:space="preserve">; </w:t>
      </w:r>
      <w:r w:rsidRPr="0054724C">
        <w:rPr>
          <w:rFonts w:eastAsia="Malgun Gothic"/>
        </w:rPr>
        <w:t>Byrne and Glover, 2002</w:t>
      </w:r>
      <w:r w:rsidRPr="0054724C">
        <w:t>) we address with this measure a</w:t>
      </w:r>
      <w:r>
        <w:t xml:space="preserve"> very important and, at the same time, high profile element of worldwide pollution. Our findings show </w:t>
      </w:r>
      <w:r>
        <w:lastRenderedPageBreak/>
        <w:t>that the origins of law indeed have a strong effect on CO</w:t>
      </w:r>
      <w:r w:rsidRPr="004E2454">
        <w:rPr>
          <w:vertAlign w:val="subscript"/>
        </w:rPr>
        <w:t>2</w:t>
      </w:r>
      <w:r>
        <w:t xml:space="preserve"> emissions, both, via the mediation through the shaping of governance mechanisms as well as directly by influencing the overall institutional logics that govern human behavior.</w:t>
      </w:r>
    </w:p>
    <w:p w14:paraId="27BAD433" w14:textId="77777777" w:rsidR="0086707B" w:rsidRDefault="0086707B" w:rsidP="0086707B">
      <w:pPr>
        <w:pStyle w:val="bodytextpaper"/>
      </w:pPr>
      <w:r w:rsidRPr="006224DE">
        <w:t>In addition to this primary shaping effect of legal origins and resulting institutional logics on environmental performance we are also interested in the potential evolution of these effects.</w:t>
      </w:r>
      <w:r w:rsidRPr="00614FFC">
        <w:t xml:space="preserve"> Thornton and Ocasio (1999: 802), for instance, called institutional logics </w:t>
      </w:r>
      <w:r w:rsidRPr="00614FFC">
        <w:rPr>
          <w:i/>
          <w:sz w:val="20"/>
        </w:rPr>
        <w:t>“historically variant”</w:t>
      </w:r>
      <w:r w:rsidRPr="00614FFC">
        <w:t xml:space="preserve"> and see them as </w:t>
      </w:r>
      <w:r w:rsidRPr="00614FFC">
        <w:rPr>
          <w:i/>
          <w:sz w:val="20"/>
        </w:rPr>
        <w:t xml:space="preserve">“shaped by economic and social structural changes”, </w:t>
      </w:r>
      <w:r w:rsidRPr="00614FFC">
        <w:t xml:space="preserve">and some authors suggest that competing logics may co-exist in the same organizational field (e.g., Lounsbury, 2007; </w:t>
      </w:r>
      <w:r w:rsidRPr="00614FFC">
        <w:rPr>
          <w:lang w:val="de-DE"/>
        </w:rPr>
        <w:t>Herremans et al., 2009</w:t>
      </w:r>
      <w:r w:rsidRPr="00614FFC">
        <w:t xml:space="preserve">). Accordingly, we are also curious as to the effects on environmental performance if a predominantly shareholder or stakeholder focused logic in a certain country changes or is challenged by a competing logic. Our specific focus is on the aforementioned international environmental agreements that, we argue, are representative of a stakeholder centric logic of mandating economic actors to care for the environment. If such agreements are entered into by a common law country we would expect new regulatory activity or simply a novel emphasis on ‘the environment’ to challenge the status quo of the shareholder centric logic and, on the margin – and most likely against resistance – prompt a shift in the direction of a stakeholder logic. Since such a shift is likely to be more pronounced in a common law country than in an already more stakeholder focused civil law society we would actually expect the impact of international agreements to be stronger in </w:t>
      </w:r>
      <w:r>
        <w:t>the</w:t>
      </w:r>
      <w:r w:rsidRPr="00614FFC">
        <w:t xml:space="preserve"> common law country. Our empirical findings indeed show that while the direct effect of international agreements – in line with much lamentation about the failure of the Kyoto Protocol and other accords (e.g., Purvis, 2004; Fisher et al., 2004) – is not significant</w:t>
      </w:r>
      <w:r>
        <w:t xml:space="preserve"> on </w:t>
      </w:r>
      <w:r>
        <w:lastRenderedPageBreak/>
        <w:t>average</w:t>
      </w:r>
      <w:r w:rsidRPr="00614FFC">
        <w:t xml:space="preserve">, common law countries </w:t>
      </w:r>
      <w:r>
        <w:t xml:space="preserve">do </w:t>
      </w:r>
      <w:r w:rsidRPr="00614FFC">
        <w:t>show a highly significant positive environmental effect in response to these agreements.</w:t>
      </w:r>
    </w:p>
    <w:p w14:paraId="456B7661" w14:textId="77777777" w:rsidR="0086707B" w:rsidRDefault="0086707B" w:rsidP="0086707B">
      <w:pPr>
        <w:pStyle w:val="bodytextpaper"/>
      </w:pPr>
      <w:r>
        <w:t>We submit that our theoretical model and empirical findings contribute to our understanding of corporate governance and institutional theory as well as more specifically environmental governance by explaining and documenting the strong underlying influence of external legal origins and the associated institutional logics. Our work furthermore suggests a reassessment of the role international agreements play in the quest for environmental protection.</w:t>
      </w:r>
    </w:p>
    <w:p w14:paraId="46A93683" w14:textId="77777777" w:rsidR="0086707B" w:rsidRDefault="0086707B" w:rsidP="0086707B">
      <w:pPr>
        <w:pStyle w:val="Heading1"/>
        <w:jc w:val="center"/>
        <w:rPr>
          <w:rFonts w:eastAsia="Batang"/>
          <w:lang w:eastAsia="ko-KR"/>
        </w:rPr>
      </w:pPr>
      <w:r>
        <w:rPr>
          <w:rFonts w:eastAsia="Batang"/>
          <w:lang w:eastAsia="ko-KR"/>
        </w:rPr>
        <w:t>Background: Environmental Governance</w:t>
      </w:r>
    </w:p>
    <w:p w14:paraId="649D202C" w14:textId="77777777" w:rsidR="0086707B" w:rsidRDefault="0086707B" w:rsidP="0086707B">
      <w:pPr>
        <w:pStyle w:val="bodytextpaper"/>
        <w:ind w:firstLine="0"/>
      </w:pPr>
      <w:r>
        <w:t xml:space="preserve">Recent work on environmental governance has highlighted a number of significant interactions between corporate governance mechanisms and environmental performance at the firm level. Kock et al. (2012), in particular, have demonstrated that what is generally considered to be ‘good’ governance – for instance a board dominated by independent outside directors, or the absence of anti-takeover provisions in corporate charters – is associated with a better environmental performance as measured by US environmental protection agency (EPA) pollution data. Building on the </w:t>
      </w:r>
      <w:r>
        <w:rPr>
          <w:lang w:val="en-US"/>
        </w:rPr>
        <w:t>s</w:t>
      </w:r>
      <w:r w:rsidRPr="00901AC3">
        <w:rPr>
          <w:lang w:val="en-US"/>
        </w:rPr>
        <w:t>takehol</w:t>
      </w:r>
      <w:r>
        <w:rPr>
          <w:lang w:val="en-US"/>
        </w:rPr>
        <w:t xml:space="preserve">der-agency paradigm developed by </w:t>
      </w:r>
      <w:r w:rsidRPr="00901AC3">
        <w:rPr>
          <w:lang w:val="en-US"/>
        </w:rPr>
        <w:t>Hill and Jones (199</w:t>
      </w:r>
      <w:r>
        <w:rPr>
          <w:lang w:val="en-US"/>
        </w:rPr>
        <w:t>2</w:t>
      </w:r>
      <w:r w:rsidRPr="00901AC3">
        <w:rPr>
          <w:lang w:val="en-US"/>
        </w:rPr>
        <w:t xml:space="preserve">) </w:t>
      </w:r>
      <w:r>
        <w:rPr>
          <w:lang w:val="en-US"/>
        </w:rPr>
        <w:t>who suggest that</w:t>
      </w:r>
      <w:r w:rsidRPr="00901AC3">
        <w:rPr>
          <w:lang w:val="en-US"/>
        </w:rPr>
        <w:t xml:space="preserve"> managers can be seen as the agents of </w:t>
      </w:r>
      <w:r>
        <w:rPr>
          <w:lang w:val="en-US"/>
        </w:rPr>
        <w:t>various</w:t>
      </w:r>
      <w:r w:rsidRPr="00901AC3">
        <w:rPr>
          <w:lang w:val="en-US"/>
        </w:rPr>
        <w:t xml:space="preserve"> stakeholders</w:t>
      </w:r>
      <w:r>
        <w:rPr>
          <w:lang w:val="en-US"/>
        </w:rPr>
        <w:t xml:space="preserve">, Kock et al. </w:t>
      </w:r>
      <w:r>
        <w:t>argue that this result obtains because both, shareholders and other stakeholders prefer higher environmental firm efforts than managers since the latter stand to partake only in a fraction of the benefits but have to bear all the effort of implementing difficult environmental strategies. A ‘good’ governance then allows shareholders – and to an extent also other stakeholders – to change the payoff function of managers to favor more environmentally friendly policies.</w:t>
      </w:r>
    </w:p>
    <w:p w14:paraId="7AE816FD" w14:textId="77777777" w:rsidR="0086707B" w:rsidRDefault="0086707B" w:rsidP="0086707B">
      <w:pPr>
        <w:pStyle w:val="bodytextpaper"/>
      </w:pPr>
      <w:r>
        <w:lastRenderedPageBreak/>
        <w:t xml:space="preserve">Similarly, Berrone et al. (2010) used an institutional lens to explain that ‘family firms’ protect their ‘socio-emotional wealth’ by catering to external institutional pressures for better environmental performance. Like Johnson and Greening (1999) in the broader context of corporate social performance (CSP), Berrone et al. have suggested a moderating effect of ownership on environmental or social performance. Recently, however, a review by </w:t>
      </w:r>
      <w:r w:rsidRPr="00C61DFC">
        <w:t>Walls et al.</w:t>
      </w:r>
      <w:r>
        <w:t xml:space="preserve"> (2012) of select current articles on environmental governance found more mixed results for the link between governance and environmental performance. The summary of prior work in the latter article also suggests that most prior work has utilized a rather simple underlying theoretical model of a direct link between corporate governance mechanisms (e.g., board or compensation</w:t>
      </w:r>
      <w:r w:rsidRPr="0038277E">
        <w:t xml:space="preserve"> </w:t>
      </w:r>
      <w:r>
        <w:t>structure) and environmental outcomes, often accompanied by moderating effects such as ownership.</w:t>
      </w:r>
    </w:p>
    <w:p w14:paraId="34C6F467" w14:textId="77777777" w:rsidR="0086707B" w:rsidRDefault="0086707B" w:rsidP="0086707B">
      <w:pPr>
        <w:pStyle w:val="bodytextpaper"/>
      </w:pPr>
      <w:r>
        <w:t>In the current paper, we argue that a more comprehensive model is required to integrate these various and partially contradictory findings. Specifically, we suggest that, for instance, institutional effects that may stem from ownership or other sources as suggested by Berrone et al. (2010), themselves are very much rooted in a particular local context, and that our understanding of the governance–environment link is incomplete without an explicit consideration of the underlying institutional logics that at the country level govern both, the structure of corporate governance or ownership of property, and the basic understanding that actors have of these structures and their own roles. To that end we propose to extend the current model of environmental governance by infusing it with ideas developed in the literatures on legal origins (e.g., La Porta et al., 1998, 2002) and institutional logics (</w:t>
      </w:r>
      <w:r w:rsidRPr="00BD7AEE">
        <w:t xml:space="preserve">Friedland and Alford 1991, </w:t>
      </w:r>
      <w:r>
        <w:t>Thornton and Ocasio, 1999, 2008).</w:t>
      </w:r>
    </w:p>
    <w:p w14:paraId="4F9ADD12" w14:textId="77777777" w:rsidR="0086707B" w:rsidRPr="00D245FC" w:rsidRDefault="0086707B" w:rsidP="0086707B">
      <w:pPr>
        <w:pStyle w:val="Heading1"/>
        <w:jc w:val="center"/>
      </w:pPr>
      <w:r>
        <w:rPr>
          <w:rFonts w:eastAsia="Batang"/>
          <w:lang w:eastAsia="ko-KR"/>
        </w:rPr>
        <w:lastRenderedPageBreak/>
        <w:t>Theory and Hypotheses</w:t>
      </w:r>
    </w:p>
    <w:p w14:paraId="031FEA96" w14:textId="77777777" w:rsidR="0086707B" w:rsidRDefault="0086707B" w:rsidP="0086707B">
      <w:pPr>
        <w:pStyle w:val="bodytextpaper"/>
        <w:ind w:firstLine="0"/>
        <w:rPr>
          <w:lang w:val="en-US"/>
        </w:rPr>
      </w:pPr>
      <w:r>
        <w:t>La Porta et al. (1</w:t>
      </w:r>
      <w:r>
        <w:rPr>
          <w:rFonts w:hint="eastAsia"/>
        </w:rPr>
        <w:t xml:space="preserve">997, </w:t>
      </w:r>
      <w:r>
        <w:t xml:space="preserve">1998, </w:t>
      </w:r>
      <w:r>
        <w:rPr>
          <w:rFonts w:hint="eastAsia"/>
        </w:rPr>
        <w:t>2000</w:t>
      </w:r>
      <w:r>
        <w:t xml:space="preserve">, 2002, 2008) suggested that two basic legal traditions are formative of the law systems of most countries in the world – in turn, these ‘origins of law’ affect a variety of institutions in a given country such as industrial-relation or company law, judicial independence etc., which then shape outcomes such as unemployment rates, stock market development or firm valuations (2008: 292) as well as corporate governance practices (Daniel et al., 2012). These legal origins are, on one hand, Anglo-Saxon style </w:t>
      </w:r>
      <w:r w:rsidRPr="009201EE">
        <w:rPr>
          <w:i/>
        </w:rPr>
        <w:t>common law</w:t>
      </w:r>
      <w:r>
        <w:t xml:space="preserve"> that relies on a low degree of codification and a style of dispute resolution that tends to be adversarial rather than inquisitorial, and, on the other hand, a variety of </w:t>
      </w:r>
      <w:r w:rsidRPr="009201EE">
        <w:rPr>
          <w:i/>
        </w:rPr>
        <w:t>civil law</w:t>
      </w:r>
      <w:r>
        <w:t xml:space="preserve"> systems that rely on strong codification of law and trace back to ancient Roman law, as well as French, German or Scandinavian law traditions (in the following collectively referred to as ‘civil law’). Importantly, these two legal origins have developed from and reflect rather different underlying philosophies and concepts of freedom as La Porta et al. (2008: 303) express with a quote from Hayek (1960: 56): </w:t>
      </w:r>
      <w:r w:rsidRPr="002524B8">
        <w:rPr>
          <w:i/>
          <w:sz w:val="20"/>
          <w:szCs w:val="20"/>
        </w:rPr>
        <w:t>“[Hayek] distinguishes two views of freedom directly traceable to the predominance of an essentially empiricist view of the world in England and a rationalist approach in France: ‘One finds the essence of freedom in spontaneity and the absence of coercion, the other believes</w:t>
      </w:r>
      <w:r>
        <w:rPr>
          <w:i/>
          <w:sz w:val="20"/>
          <w:szCs w:val="20"/>
        </w:rPr>
        <w:t xml:space="preserve"> </w:t>
      </w:r>
      <w:r w:rsidRPr="002524B8">
        <w:rPr>
          <w:i/>
          <w:sz w:val="20"/>
          <w:szCs w:val="20"/>
        </w:rPr>
        <w:t>it to be realized only in the pursuit and attainment of an absolute social purpose</w:t>
      </w:r>
      <w:r>
        <w:rPr>
          <w:i/>
          <w:sz w:val="20"/>
          <w:szCs w:val="20"/>
        </w:rPr>
        <w:t>.</w:t>
      </w:r>
      <w:r w:rsidRPr="002524B8">
        <w:rPr>
          <w:i/>
          <w:sz w:val="20"/>
          <w:szCs w:val="20"/>
        </w:rPr>
        <w:t>’”</w:t>
      </w:r>
      <w:r>
        <w:rPr>
          <w:i/>
          <w:sz w:val="20"/>
          <w:szCs w:val="20"/>
        </w:rPr>
        <w:t xml:space="preserve"> </w:t>
      </w:r>
      <w:r>
        <w:t xml:space="preserve">In other words, the English common law derives from a search for freedom, which corresponds to historical explanations that see common law developing as a reaction of an emerging economic class against the power of landed gentry and crown in the UK – that is, an attempt to liberate and create security for, and </w:t>
      </w:r>
      <w:r w:rsidRPr="00E34945">
        <w:rPr>
          <w:u w:val="single"/>
        </w:rPr>
        <w:t>through</w:t>
      </w:r>
      <w:r>
        <w:t xml:space="preserve">, private property (La Porta et al., 2008). Law, in this context, can be seen as an approach to arbitrate problems, rather than administer civil action. The latter approach is more reflective of the traditional civil law systems that consider property not so much as </w:t>
      </w:r>
      <w:r>
        <w:lastRenderedPageBreak/>
        <w:t xml:space="preserve">the sole prerogative of its owner but as having a social component as well. As La Porta et al. (2008: 300) state: </w:t>
      </w:r>
      <w:r w:rsidRPr="00720A80">
        <w:rPr>
          <w:i/>
          <w:sz w:val="20"/>
          <w:szCs w:val="20"/>
        </w:rPr>
        <w:t>“</w:t>
      </w:r>
      <w:r w:rsidRPr="00720A80">
        <w:rPr>
          <w:i/>
          <w:sz w:val="20"/>
          <w:szCs w:val="20"/>
          <w:lang w:val="en-US"/>
        </w:rPr>
        <w:t>in civil law countries, unlike in common law ones, freedom of contract is counterbalanced by the exercise of public power for the protection of workers in the French tradition, and the communitarian conception of t</w:t>
      </w:r>
      <w:r>
        <w:rPr>
          <w:i/>
          <w:sz w:val="20"/>
          <w:szCs w:val="20"/>
          <w:lang w:val="en-US"/>
        </w:rPr>
        <w:t>he enterprise in the German one,</w:t>
      </w:r>
      <w:r w:rsidRPr="00720A80">
        <w:rPr>
          <w:i/>
          <w:sz w:val="20"/>
          <w:szCs w:val="20"/>
          <w:lang w:val="en-US"/>
        </w:rPr>
        <w:t>”</w:t>
      </w:r>
      <w:r>
        <w:rPr>
          <w:i/>
          <w:sz w:val="20"/>
          <w:szCs w:val="20"/>
          <w:lang w:val="en-US"/>
        </w:rPr>
        <w:t xml:space="preserve"> </w:t>
      </w:r>
      <w:r w:rsidRPr="00C35867">
        <w:rPr>
          <w:lang w:val="en-US"/>
        </w:rPr>
        <w:t>while in common law settings</w:t>
      </w:r>
      <w:r>
        <w:rPr>
          <w:lang w:val="en-US"/>
        </w:rPr>
        <w:t xml:space="preserve"> </w:t>
      </w:r>
      <w:r w:rsidRPr="00C35867">
        <w:rPr>
          <w:i/>
          <w:sz w:val="20"/>
          <w:szCs w:val="20"/>
          <w:lang w:val="en-US"/>
        </w:rPr>
        <w:t>“contractual freedom is unencumbered by social conditionality.”</w:t>
      </w:r>
    </w:p>
    <w:p w14:paraId="7A77374F" w14:textId="77777777" w:rsidR="0086707B" w:rsidRDefault="0086707B" w:rsidP="0086707B">
      <w:pPr>
        <w:pStyle w:val="bodytextpaper"/>
      </w:pPr>
      <w:r>
        <w:t xml:space="preserve">From this discussion a relatively clear distinction emerges that corresponds to common definitions of a shareholder primacy view (Milton Friedman, 1970: </w:t>
      </w:r>
      <w:r w:rsidRPr="00CA25A5">
        <w:rPr>
          <w:i/>
          <w:sz w:val="20"/>
          <w:szCs w:val="20"/>
        </w:rPr>
        <w:t>“</w:t>
      </w:r>
      <w:r w:rsidRPr="00CA25A5">
        <w:rPr>
          <w:i/>
          <w:sz w:val="20"/>
          <w:szCs w:val="20"/>
          <w:lang w:val="en-US"/>
        </w:rPr>
        <w:t>The social responsibility of business is to increase its profits</w:t>
      </w:r>
      <w:r w:rsidRPr="00CA25A5">
        <w:rPr>
          <w:i/>
          <w:sz w:val="20"/>
          <w:szCs w:val="20"/>
        </w:rPr>
        <w:t>”</w:t>
      </w:r>
      <w:r>
        <w:t xml:space="preserve">) for common law, and a stakeholder orientation that sees a responsibility of property for a variety of groups other than shareholders (Freeman, 1984, 1999; Collins et al. 2012). Thus, there appears to be a very strong link between different legal origins and the institutionalized beliefs or ‘logics’ of ownership (e.g., DiMaggio and Powell, 1983; Meyer and Rowan, </w:t>
      </w:r>
      <w:r w:rsidRPr="00CE0586">
        <w:t>1977</w:t>
      </w:r>
      <w:r>
        <w:t xml:space="preserve">, Thornton and Ocasio, 1999; </w:t>
      </w:r>
      <w:r w:rsidRPr="004B5706">
        <w:t>Friedland and Alford, 1991</w:t>
      </w:r>
      <w:r>
        <w:t xml:space="preserve">; Scott, 1995) that either property is a sacrosanct expression of freedom and that property owners therefore should have sole discretion over the same, or that property stands in a social responsibility and that therefore the interests of various stakeholders have a legitimate claim over it. </w:t>
      </w:r>
    </w:p>
    <w:p w14:paraId="4A91C218" w14:textId="77777777" w:rsidR="0086707B" w:rsidRDefault="0086707B" w:rsidP="0086707B">
      <w:pPr>
        <w:pStyle w:val="bodytextpaper"/>
        <w:rPr>
          <w:rStyle w:val="body1"/>
        </w:rPr>
      </w:pPr>
      <w:r>
        <w:t xml:space="preserve">Illustrating this difference in shareholder vs. stakeholder logics, </w:t>
      </w:r>
      <w:r w:rsidRPr="003C3C54">
        <w:rPr>
          <w:rStyle w:val="body1"/>
          <w:rFonts w:ascii="Times New Roman" w:eastAsiaTheme="majorEastAsia" w:hAnsi="Times New Roman"/>
          <w:sz w:val="24"/>
          <w:szCs w:val="24"/>
        </w:rPr>
        <w:t>Soshimori</w:t>
      </w:r>
      <w:r>
        <w:rPr>
          <w:rStyle w:val="body1"/>
          <w:rFonts w:ascii="Times New Roman" w:eastAsiaTheme="majorEastAsia" w:hAnsi="Times New Roman"/>
          <w:sz w:val="24"/>
          <w:szCs w:val="24"/>
        </w:rPr>
        <w:t xml:space="preserve"> (1995) reports survey results indicating that around 74% of respondents in common law countries (US, UK) perceived their firms as owned by shareholders whereas in civil law countries (Japan, Germany, France) 86% saw firms as owned by multiple stakeholders.</w:t>
      </w:r>
    </w:p>
    <w:p w14:paraId="54CFEEF4" w14:textId="77777777" w:rsidR="0086707B" w:rsidRPr="008A37F8" w:rsidRDefault="0086707B" w:rsidP="0086707B">
      <w:pPr>
        <w:pStyle w:val="bodytextpaper"/>
        <w:rPr>
          <w:lang w:val="en-US"/>
        </w:rPr>
      </w:pPr>
      <w:r>
        <w:t xml:space="preserve">A reasonable assumption that resonates with recent findings by Daniel et al. (2012) is that these different logics are then reflected in the system of corporate governance as it develops in a certain context. For example, a common law focus on the protection of private property should be reflected in strong minority shareholder protection and rules </w:t>
      </w:r>
      <w:r>
        <w:lastRenderedPageBreak/>
        <w:t xml:space="preserve">that assure shareholders of primary control of their organizations. In fact, La Porta et al. (2008: 294) argue that </w:t>
      </w:r>
      <w:r w:rsidRPr="00E0648D">
        <w:rPr>
          <w:i/>
          <w:sz w:val="20"/>
          <w:szCs w:val="20"/>
        </w:rPr>
        <w:t>“c</w:t>
      </w:r>
      <w:r w:rsidRPr="00E0648D">
        <w:rPr>
          <w:i/>
          <w:sz w:val="20"/>
          <w:szCs w:val="20"/>
          <w:lang w:val="en-US"/>
        </w:rPr>
        <w:t>ivil law is generally associated with lower shareholder and creditor protection, less efficient debt enforcement, and higher government ownership of banks.”</w:t>
      </w:r>
      <w:r>
        <w:rPr>
          <w:lang w:val="en-US"/>
        </w:rPr>
        <w:t xml:space="preserve"> Accordingly, as a baseline hypothesis in accordance with prior research we suggest:</w:t>
      </w:r>
    </w:p>
    <w:p w14:paraId="480EF77C" w14:textId="77777777" w:rsidR="0086707B" w:rsidRDefault="0086707B" w:rsidP="0086707B">
      <w:pPr>
        <w:pStyle w:val="hyps"/>
      </w:pPr>
      <w:r>
        <w:t>Hypothesis 1: Common Law legal origins will be associated with a corporate governance system that emphasizes shareholder protection.</w:t>
      </w:r>
    </w:p>
    <w:p w14:paraId="013918A8" w14:textId="77777777" w:rsidR="0086707B" w:rsidRDefault="0086707B" w:rsidP="0086707B">
      <w:pPr>
        <w:spacing w:line="480" w:lineRule="auto"/>
        <w:jc w:val="both"/>
      </w:pPr>
      <w:r>
        <w:t xml:space="preserve">Combining this baseline from the legal origins literature with the logic of prior work on environmental governance, these socially shaped governance structures should, in turn, affect environmental performance. This happens as the demands of shareholders and stakeholders on individual firms are filtered by the available governance structures. Specifically, reformulating Kock et al.’s (2012) argument presented above by taking managers out of the equation and focusing exclusively on the tension between shareholders and stakeholders, we find it reasonable to assume that the latter have a higher preference for environmental performance than shareholders </w:t>
      </w:r>
      <w:r w:rsidRPr="00B00E50">
        <w:rPr>
          <w:bCs/>
          <w:lang w:val="en-US"/>
        </w:rPr>
        <w:t>(</w:t>
      </w:r>
      <w:r>
        <w:rPr>
          <w:bCs/>
          <w:lang w:val="en-US"/>
        </w:rPr>
        <w:t>e.g.,</w:t>
      </w:r>
      <w:r w:rsidRPr="00B00E50">
        <w:rPr>
          <w:bCs/>
          <w:lang w:val="en-US"/>
        </w:rPr>
        <w:t xml:space="preserve"> Henriques and Sadorsky, 1999; </w:t>
      </w:r>
      <w:r w:rsidRPr="00B00E50">
        <w:rPr>
          <w:lang w:val="en-US"/>
        </w:rPr>
        <w:t>Sharma and Henriques, 2005</w:t>
      </w:r>
      <w:r w:rsidRPr="00B00E50">
        <w:rPr>
          <w:bCs/>
          <w:lang w:val="en-US"/>
        </w:rPr>
        <w:t>)</w:t>
      </w:r>
      <w:r>
        <w:t xml:space="preserve">. Both groups benefit from environmental protection, but only shareholders also gain directly from the financial performance of a firm – and have to pay for environmental efforts. Thus, the two groups will be in synch as long as environmental performance also leads to good financial performance – in which case it would not matter whether the local corporate governance structure gives preference to shareholder or stakeholder interests. Yet, if environmental and financial performances are not aligned, or if shareholders perceive that to be the case, then preferences should diverge. In fact, historically, there appears to have been a sequence in the logics by which managers and investors perceive of environmental actions – from rejecting environmental efforts as a pure cost, to a more recent trend of pro-actively </w:t>
      </w:r>
      <w:r>
        <w:lastRenderedPageBreak/>
        <w:t xml:space="preserve">investing in creating environmental capabilities and competitive advantage based on higher production efficiencies or market preference by increasingly environmentally conscious customers (e.g., Russo and Fouts, 1997; King and Lenox, 2001, 2002; </w:t>
      </w:r>
      <w:r w:rsidRPr="00902D32">
        <w:rPr>
          <w:lang w:val="en-US"/>
        </w:rPr>
        <w:t xml:space="preserve">Klassen </w:t>
      </w:r>
      <w:r>
        <w:rPr>
          <w:lang w:val="en-US"/>
        </w:rPr>
        <w:t>and</w:t>
      </w:r>
      <w:r w:rsidRPr="00902D32">
        <w:rPr>
          <w:lang w:val="en-US"/>
        </w:rPr>
        <w:t xml:space="preserve"> Whybark, 1999</w:t>
      </w:r>
      <w:r>
        <w:rPr>
          <w:lang w:val="en-US"/>
        </w:rPr>
        <w:t xml:space="preserve">). If environmental efforts are seen as negative for performance </w:t>
      </w:r>
      <w:r>
        <w:t>then governance systems that provide primacy for shareholders will allow the latter to enforce their preferences via managerial agents to the detriment of stakeholder interests, causing low environmental performance.</w:t>
      </w:r>
    </w:p>
    <w:p w14:paraId="067398E3" w14:textId="77777777" w:rsidR="0086707B" w:rsidRDefault="0086707B" w:rsidP="0086707B">
      <w:pPr>
        <w:spacing w:line="480" w:lineRule="auto"/>
        <w:jc w:val="both"/>
      </w:pPr>
      <w:r>
        <w:t>Conversely, governance systems that allow for more stakeholder inclusion will afford shareholders with less influence and thus leave managers more exposed to other stakeholder’s requests. In fact, accommodating stakeholders including the community or environmental groups who might influence public opinion about a firm’s environmental performance (Henriques and Sadorsky, 1999) has been shown to be a conduit to increase environmental performance (Kassinis and Vafeas 2006; Berry and Rondinelli, 1998). Managers, especially when exposed to such pressures through a more stakeholder focused governance system, will then likely attempt to enhance or protect their own or their organization’s legitimacy by conforming to the expectations of such stakeholders and thus invest in better environmental performance (Deephouse, 1999; Scott, 1995; Myer and Rowan, 1977; DiMaggio and Powell 1983; Aldrich and Fiol 1994). Overall:</w:t>
      </w:r>
    </w:p>
    <w:p w14:paraId="1BBCE441" w14:textId="77777777" w:rsidR="0086707B" w:rsidRDefault="0086707B" w:rsidP="0086707B">
      <w:pPr>
        <w:pStyle w:val="hyps"/>
      </w:pPr>
      <w:r>
        <w:t>Hypothesis 2: Corporate governance systems that emphasize shareholder protection will be associated with worse environmental performance than those with a lower shareholder protection.</w:t>
      </w:r>
    </w:p>
    <w:p w14:paraId="388D61E5" w14:textId="77777777" w:rsidR="0086707B" w:rsidRDefault="0086707B" w:rsidP="0086707B">
      <w:pPr>
        <w:pStyle w:val="bodytextpaper"/>
      </w:pPr>
      <w:r>
        <w:t xml:space="preserve">Furthermore, there is likely also a direct effect of institutional logic on environmental performance, as managers and shareholders socialized in a stakeholder system even in the absence of corporate governance mechanisms are likely to act to a </w:t>
      </w:r>
      <w:r>
        <w:lastRenderedPageBreak/>
        <w:t xml:space="preserve">certain extent more in line with a logic that assigns property a social function. Therefore: </w:t>
      </w:r>
    </w:p>
    <w:p w14:paraId="22F1654C" w14:textId="77777777" w:rsidR="0086707B" w:rsidRDefault="0086707B" w:rsidP="0086707B">
      <w:pPr>
        <w:pStyle w:val="hyps"/>
      </w:pPr>
      <w:r>
        <w:t>Hypothesis 3: Common law legal origins will be associated with worse environmental performance than civil law legal origins.</w:t>
      </w:r>
    </w:p>
    <w:p w14:paraId="21C7E157" w14:textId="77777777" w:rsidR="0086707B" w:rsidRDefault="0086707B" w:rsidP="0086707B">
      <w:pPr>
        <w:pStyle w:val="bodytextpaper"/>
      </w:pPr>
      <w:r>
        <w:t xml:space="preserve">Finally, there may also be a moderating effect between institutional logic and the effect of corporate governance systems on environmental firm performance. That is, even if the governance system in a common and civil law country were structurally equivalent in providing primacy for shareholders, it seems reasonable to assume that in a country with a strong stakeholder logic shareholders would still make their decisions with a relatively high regard for the social responsibility of their property.  Hence, we expect that a given degree of ‘shareholder protection’ afforded by local governance structures should lead to decisions at the firm level that are relatively less ‘shareholder only’ focused as compared to those in common law countries where shareholders are assumed to focus more on their self-interest (e.g., Collins et al. 2012) and thus utilize the governance structures to assert the same. Accordingly, we suggest: </w:t>
      </w:r>
    </w:p>
    <w:p w14:paraId="0C1C7A16" w14:textId="77777777" w:rsidR="0086707B" w:rsidRDefault="0086707B" w:rsidP="0086707B">
      <w:pPr>
        <w:pStyle w:val="hyps"/>
      </w:pPr>
      <w:r>
        <w:t>Hypothesis 4: The negative link between corporate governance systems that emphasizes shareholder protection and environmental performance will be stronger in countries with a common law legal origin.</w:t>
      </w:r>
    </w:p>
    <w:p w14:paraId="3B84494D" w14:textId="77777777" w:rsidR="0086707B" w:rsidRDefault="0086707B" w:rsidP="0086707B">
      <w:pPr>
        <w:pStyle w:val="bodytextpaper"/>
        <w:rPr>
          <w:lang w:val="en-US"/>
        </w:rPr>
      </w:pPr>
      <w:r w:rsidRPr="00472B86">
        <w:rPr>
          <w:b/>
        </w:rPr>
        <w:t>Changing Logics – The Influence of International Environmental Agreements.</w:t>
      </w:r>
      <w:r w:rsidRPr="00193BDA">
        <w:rPr>
          <w:b/>
        </w:rPr>
        <w:t xml:space="preserve"> </w:t>
      </w:r>
      <w:r w:rsidRPr="007F6CC1">
        <w:t>So far we have implicitly treated common and civil law countries as having one dominant logic of either shareholder or stakeholder primacy, respectively. Yet, an increasing body of work focuses</w:t>
      </w:r>
      <w:r w:rsidRPr="00021133">
        <w:t xml:space="preserve"> on the co-existence of competing logics within organizational fields and the </w:t>
      </w:r>
      <w:r w:rsidRPr="00882ADE">
        <w:t xml:space="preserve">question </w:t>
      </w:r>
      <w:r w:rsidRPr="007A5F1E">
        <w:t xml:space="preserve">of </w:t>
      </w:r>
      <w:r w:rsidRPr="00F9767F">
        <w:t xml:space="preserve">how institutional logics emerge and develop over time (e.g., Thornton and Ocasio, 1999; Lounsbury, 2007; </w:t>
      </w:r>
      <w:r w:rsidRPr="00CA731C">
        <w:rPr>
          <w:lang w:val="de-DE"/>
        </w:rPr>
        <w:t>Herremans et al., 2009</w:t>
      </w:r>
      <w:r w:rsidRPr="00472B86">
        <w:t>; Nigam and Ocasio, 2010</w:t>
      </w:r>
      <w:r w:rsidRPr="00472B86">
        <w:rPr>
          <w:lang w:val="de-DE"/>
        </w:rPr>
        <w:t xml:space="preserve">). </w:t>
      </w:r>
      <w:r w:rsidRPr="00472B86">
        <w:rPr>
          <w:lang w:val="en-US"/>
        </w:rPr>
        <w:t xml:space="preserve">Accordingly, while the link between legal origins and logics </w:t>
      </w:r>
      <w:r w:rsidRPr="00472B86">
        <w:rPr>
          <w:lang w:val="en-US"/>
        </w:rPr>
        <w:lastRenderedPageBreak/>
        <w:t xml:space="preserve">seems compelling, it is reasonable to assume that not every actor in, for instance, a common law country is guided by a shareholder primacy logic. Reflecting precisely such a competition between stakeholder and shareholder logics, Herremans et al. (2009: 450) describe how in the Canadian (a common law country) petroleum industry </w:t>
      </w:r>
      <w:r w:rsidRPr="00472B86">
        <w:rPr>
          <w:i/>
          <w:sz w:val="22"/>
          <w:lang w:val="en-US"/>
        </w:rPr>
        <w:t>“one population of firms was aligned with increasing pressures from its stakeholders for improved environmental performance, and the other was influenced by local cultural, political, and economic ideals less demanding of environmental actions.”</w:t>
      </w:r>
      <w:r w:rsidRPr="00472B86">
        <w:rPr>
          <w:lang w:val="en-US"/>
        </w:rPr>
        <w:t xml:space="preserve"> Thus, rather than being a deterministic force, legal origins appear to be just one, albeit seemingly important, influence on the institutional logics specific actors follow. Our first set of hypotheses above, like research in the La Porta et al. tradition in general, is therefore based on the assumption that legal origins are strong enough to sway a majority of actors in a country to behave in line with either a belief that property is sacrosanct or that property has a social dimension and decisions thus require integration of stakeholder interests. </w:t>
      </w:r>
      <w:r w:rsidRPr="008C28BE">
        <w:rPr>
          <w:lang w:val="en-US"/>
        </w:rPr>
        <w:t xml:space="preserve">While the strength of prior findings by </w:t>
      </w:r>
      <w:r>
        <w:rPr>
          <w:lang w:val="en-US"/>
        </w:rPr>
        <w:t>researchers in the legal origins tradition</w:t>
      </w:r>
      <w:r w:rsidRPr="008C28BE">
        <w:rPr>
          <w:lang w:val="en-US"/>
        </w:rPr>
        <w:t xml:space="preserve"> suggests that this is a very reasonable assumption, </w:t>
      </w:r>
      <w:r w:rsidRPr="00472B86">
        <w:rPr>
          <w:lang w:val="en-US"/>
        </w:rPr>
        <w:t xml:space="preserve">the work of Herremans et al. </w:t>
      </w:r>
      <w:r>
        <w:rPr>
          <w:lang w:val="en-US"/>
        </w:rPr>
        <w:t xml:space="preserve">and others cited above also implies </w:t>
      </w:r>
      <w:r w:rsidRPr="008C28BE">
        <w:rPr>
          <w:lang w:val="en-US"/>
        </w:rPr>
        <w:t>that this</w:t>
      </w:r>
      <w:r w:rsidRPr="00472B86">
        <w:rPr>
          <w:lang w:val="en-US"/>
        </w:rPr>
        <w:t xml:space="preserve"> balance between competing logics is open to an evolution.</w:t>
      </w:r>
      <w:r>
        <w:rPr>
          <w:lang w:val="en-US"/>
        </w:rPr>
        <w:t xml:space="preserve"> In the following we explore some of these dynamics. </w:t>
      </w:r>
    </w:p>
    <w:p w14:paraId="5CFCE85C" w14:textId="77777777" w:rsidR="0086707B" w:rsidRDefault="0086707B" w:rsidP="0086707B">
      <w:pPr>
        <w:pStyle w:val="bodytextpaper"/>
      </w:pPr>
      <w:r>
        <w:rPr>
          <w:lang w:val="en-US"/>
        </w:rPr>
        <w:t>The nature of an institutionalized belief is precisely that actors will tend to hold on to their existing belief structure, yet, a number of issues may conceivably influence these structures and thus change the actors’ institutional logics. Such factors could include pressure from stakeholders such as regulators (e.g., during the 1990s, the US EPA has added hundreds of Chemicals to the list of substances requiring disclosure in the ‘toxic release inventory’ in case of spillage – see EPA TRI program timeline), social or media attention like Al Gore’s ‘</w:t>
      </w:r>
      <w:r w:rsidRPr="00BC6FAB">
        <w:rPr>
          <w:lang w:val="en-US"/>
        </w:rPr>
        <w:t>An Inconve</w:t>
      </w:r>
      <w:r>
        <w:rPr>
          <w:lang w:val="en-US"/>
        </w:rPr>
        <w:t xml:space="preserve">nient Truth’ (Guggenheim, 2006), </w:t>
      </w:r>
      <w:r>
        <w:rPr>
          <w:lang w:val="en-US"/>
        </w:rPr>
        <w:lastRenderedPageBreak/>
        <w:t xml:space="preserve">globalization with multinational companies </w:t>
      </w:r>
      <w:r w:rsidRPr="00153A88">
        <w:t xml:space="preserve">(MNCs) </w:t>
      </w:r>
      <w:r>
        <w:rPr>
          <w:lang w:val="en-US"/>
        </w:rPr>
        <w:t>potentially attempting to ‘import’ their own institutional logic into host countries with different legal origins (e.g., Tan and Wang, 2011), or an increasing awareness that environmental investments may create competitive advantages and positive financial outcomes (</w:t>
      </w:r>
      <w:r>
        <w:t xml:space="preserve">e.g., Russo and Fouts, 1997; King and Lenox, 2001, 2002). </w:t>
      </w:r>
    </w:p>
    <w:p w14:paraId="6D6B0602" w14:textId="77777777" w:rsidR="0086707B" w:rsidRPr="00CA2FB0" w:rsidRDefault="0086707B" w:rsidP="0086707B">
      <w:pPr>
        <w:pStyle w:val="bodytextpaper"/>
        <w:rPr>
          <w:lang w:val="en-US"/>
        </w:rPr>
      </w:pPr>
      <w:r>
        <w:rPr>
          <w:lang w:val="en-US"/>
        </w:rPr>
        <w:t xml:space="preserve">Eberlein and Matten (2009: 247), provide a vivid account of such an evolution of logics, again for the Canadian context, where initially </w:t>
      </w:r>
      <w:r w:rsidRPr="00716708">
        <w:rPr>
          <w:i/>
          <w:sz w:val="20"/>
          <w:lang w:val="en-US"/>
        </w:rPr>
        <w:t>“aligned with the position of many US counterparts at the time, Canadian business associations vigorously campaigned against the ratification of the Kyoto Protocol”</w:t>
      </w:r>
      <w:r>
        <w:rPr>
          <w:lang w:val="en-US"/>
        </w:rPr>
        <w:t xml:space="preserve">, yet, after ratification </w:t>
      </w:r>
      <w:r w:rsidRPr="00716708">
        <w:rPr>
          <w:i/>
          <w:sz w:val="20"/>
          <w:lang w:val="en-US"/>
        </w:rPr>
        <w:t>“in late 2005, in a surprising reversal of position, prominent business leaders called for climate change action, through a letter to the Prime Minister wherein the leaders of major Canadian MNCs … acknowledged corporate responsibilities under the Kyoto Protocol and called for a long-term Canadian strategy to combat climate change</w:t>
      </w:r>
      <w:r>
        <w:rPr>
          <w:i/>
          <w:sz w:val="20"/>
          <w:lang w:val="en-US"/>
        </w:rPr>
        <w:t>.</w:t>
      </w:r>
      <w:r w:rsidRPr="00716708">
        <w:rPr>
          <w:i/>
          <w:sz w:val="20"/>
          <w:lang w:val="en-US"/>
        </w:rPr>
        <w:t>”</w:t>
      </w:r>
    </w:p>
    <w:p w14:paraId="3DD26CD8" w14:textId="77777777" w:rsidR="0086707B" w:rsidRDefault="0086707B" w:rsidP="0086707B">
      <w:pPr>
        <w:pStyle w:val="bodytextpaper"/>
      </w:pPr>
      <w:r>
        <w:t xml:space="preserve">The Kyoto Protocol mentioned in this quote is the second of two high profile international environmental agreements that, we suggest, may have put particular pressure on institutional logics to include a stronger stakeholder orientation. Specifically, the </w:t>
      </w:r>
      <w:r w:rsidRPr="00FE781A">
        <w:rPr>
          <w:bCs/>
        </w:rPr>
        <w:t>United Nations Framework Convention on Climate Change</w:t>
      </w:r>
      <w:r>
        <w:t xml:space="preserve"> (UNFCCC),</w:t>
      </w:r>
      <w:r w:rsidRPr="00FE781A">
        <w:t xml:space="preserve"> an international environmental treaty </w:t>
      </w:r>
      <w:r w:rsidRPr="00430931">
        <w:t xml:space="preserve">signed </w:t>
      </w:r>
      <w:r>
        <w:t xml:space="preserve">by </w:t>
      </w:r>
      <w:r w:rsidRPr="00430931">
        <w:t xml:space="preserve">154 countries </w:t>
      </w:r>
      <w:r w:rsidRPr="00FE781A">
        <w:t xml:space="preserve">at the </w:t>
      </w:r>
      <w:r>
        <w:t xml:space="preserve">1992 </w:t>
      </w:r>
      <w:r w:rsidRPr="00FE781A">
        <w:t>United Nations Conference on Environment and Development (UNCED)</w:t>
      </w:r>
      <w:r>
        <w:t xml:space="preserve">, was </w:t>
      </w:r>
      <w:r w:rsidRPr="00691F7A">
        <w:t xml:space="preserve">the first environmental event at </w:t>
      </w:r>
      <w:r>
        <w:t xml:space="preserve">an </w:t>
      </w:r>
      <w:r w:rsidRPr="00691F7A">
        <w:t>international level</w:t>
      </w:r>
      <w:r>
        <w:t xml:space="preserve"> </w:t>
      </w:r>
      <w:r w:rsidRPr="00430931">
        <w:t xml:space="preserve">(Janicke, 2006; Byrne and Glover, 2002). </w:t>
      </w:r>
      <w:r>
        <w:t xml:space="preserve">Dubbed </w:t>
      </w:r>
      <w:r w:rsidRPr="00430931">
        <w:t>the ‘Earth Summit’</w:t>
      </w:r>
      <w:r>
        <w:t xml:space="preserve">, this </w:t>
      </w:r>
      <w:r w:rsidRPr="00691F7A">
        <w:t xml:space="preserve">treaty emphasizes in its non-binding commitments </w:t>
      </w:r>
      <w:r w:rsidRPr="00FE781A">
        <w:t xml:space="preserve">to reduce </w:t>
      </w:r>
      <w:r>
        <w:t xml:space="preserve">greenhouse gases </w:t>
      </w:r>
      <w:r w:rsidRPr="00691F7A">
        <w:t xml:space="preserve">that </w:t>
      </w:r>
      <w:r w:rsidRPr="00691F7A">
        <w:rPr>
          <w:rFonts w:hint="eastAsia"/>
        </w:rPr>
        <w:t>corporation</w:t>
      </w:r>
      <w:r w:rsidRPr="00691F7A">
        <w:t xml:space="preserve">s should make changes to their behavior including </w:t>
      </w:r>
      <w:r>
        <w:t xml:space="preserve">increased </w:t>
      </w:r>
      <w:r w:rsidRPr="00691F7A">
        <w:t>use</w:t>
      </w:r>
      <w:r>
        <w:t xml:space="preserve"> </w:t>
      </w:r>
      <w:r w:rsidRPr="00691F7A">
        <w:t>of renewable energy and the adoption of measures</w:t>
      </w:r>
      <w:r>
        <w:t xml:space="preserve"> </w:t>
      </w:r>
      <w:r w:rsidRPr="00691F7A">
        <w:t xml:space="preserve">to </w:t>
      </w:r>
      <w:r w:rsidRPr="00430931">
        <w:t>improve energy efficiency (Janicke, 2006; Byrne and Glover, 2002)</w:t>
      </w:r>
      <w:r w:rsidRPr="00430931">
        <w:rPr>
          <w:rFonts w:hint="eastAsia"/>
        </w:rPr>
        <w:t>.</w:t>
      </w:r>
      <w:r>
        <w:t xml:space="preserve"> Subsequent to 1992, further UNCED Conferences took place. In particular, the meeting in Kyoto in 1997 produced a protocol </w:t>
      </w:r>
      <w:r>
        <w:lastRenderedPageBreak/>
        <w:t xml:space="preserve">with 141 signatory countries, which </w:t>
      </w:r>
      <w:r>
        <w:rPr>
          <w:color w:val="333333"/>
        </w:rPr>
        <w:t xml:space="preserve">set legally </w:t>
      </w:r>
      <w:r w:rsidRPr="0008063C">
        <w:rPr>
          <w:color w:val="333333"/>
        </w:rPr>
        <w:t xml:space="preserve">binding targets for developed countries to reduce greenhouse emissions </w:t>
      </w:r>
      <w:r>
        <w:rPr>
          <w:color w:val="333333"/>
        </w:rPr>
        <w:t>over</w:t>
      </w:r>
      <w:r w:rsidRPr="0008063C">
        <w:rPr>
          <w:color w:val="333333"/>
        </w:rPr>
        <w:t xml:space="preserve"> 7 years </w:t>
      </w:r>
      <w:r>
        <w:rPr>
          <w:color w:val="333333"/>
        </w:rPr>
        <w:t xml:space="preserve">(from </w:t>
      </w:r>
      <w:r>
        <w:t xml:space="preserve">2005 to 2012) </w:t>
      </w:r>
      <w:r w:rsidRPr="0008063C">
        <w:rPr>
          <w:color w:val="333333"/>
        </w:rPr>
        <w:t xml:space="preserve">to about 5% </w:t>
      </w:r>
      <w:r w:rsidRPr="00430931">
        <w:rPr>
          <w:color w:val="333333"/>
        </w:rPr>
        <w:t>below 1990 levels</w:t>
      </w:r>
      <w:r>
        <w:rPr>
          <w:color w:val="333333"/>
        </w:rPr>
        <w:t xml:space="preserve"> and</w:t>
      </w:r>
      <w:r w:rsidRPr="00430931">
        <w:t xml:space="preserve"> introduced the use of market mechanisms such as emission trading scheme</w:t>
      </w:r>
      <w:r>
        <w:t xml:space="preserve">s </w:t>
      </w:r>
      <w:r w:rsidRPr="00430931">
        <w:t xml:space="preserve">(Government of Japan, 2008; Manne and Richels, 1998; </w:t>
      </w:r>
      <w:r w:rsidRPr="00430931">
        <w:rPr>
          <w:rFonts w:eastAsiaTheme="minorHAnsi"/>
        </w:rPr>
        <w:t>Jotzo</w:t>
      </w:r>
      <w:r w:rsidRPr="00430931">
        <w:t xml:space="preserve"> et al., 1999).</w:t>
      </w:r>
      <w:r>
        <w:t xml:space="preserve"> </w:t>
      </w:r>
    </w:p>
    <w:p w14:paraId="4CA66685" w14:textId="77777777" w:rsidR="0086707B" w:rsidRPr="00422DBA" w:rsidRDefault="0086707B" w:rsidP="0086707B">
      <w:pPr>
        <w:pStyle w:val="bodytextpaper"/>
      </w:pPr>
      <w:r w:rsidRPr="00021133">
        <w:t>We suggest that</w:t>
      </w:r>
      <w:r w:rsidRPr="00882ADE">
        <w:t xml:space="preserve"> by signing these accords </w:t>
      </w:r>
      <w:r w:rsidRPr="00021133">
        <w:t>g</w:t>
      </w:r>
      <w:r w:rsidRPr="00882ADE">
        <w:t>overnments</w:t>
      </w:r>
      <w:r w:rsidRPr="00882ADE" w:rsidDel="00882ADE">
        <w:t xml:space="preserve"> </w:t>
      </w:r>
      <w:r>
        <w:t>make</w:t>
      </w:r>
      <w:r w:rsidRPr="00882ADE">
        <w:t xml:space="preserve"> </w:t>
      </w:r>
      <w:r>
        <w:t>rather</w:t>
      </w:r>
      <w:r w:rsidRPr="00882ADE">
        <w:t xml:space="preserve"> visible commitments to stricter environmental targets</w:t>
      </w:r>
      <w:r>
        <w:t xml:space="preserve"> and thus</w:t>
      </w:r>
      <w:r w:rsidRPr="00882ADE">
        <w:t xml:space="preserve"> essentially impose an (environmental) stakeholder centric view on their local firms. </w:t>
      </w:r>
      <w:r>
        <w:t>By endorsing environmental targets as legitimate, g</w:t>
      </w:r>
      <w:r w:rsidRPr="00E86718">
        <w:t xml:space="preserve">overnments, as powerful actors, </w:t>
      </w:r>
      <w:r w:rsidRPr="00882ADE">
        <w:t xml:space="preserve">send a strong signal of the importance of the environment </w:t>
      </w:r>
      <w:r>
        <w:t xml:space="preserve">to </w:t>
      </w:r>
      <w:r w:rsidRPr="00882ADE">
        <w:t>stakeholder</w:t>
      </w:r>
      <w:r>
        <w:t xml:space="preserve">s, thereby </w:t>
      </w:r>
      <w:r w:rsidRPr="00882ADE">
        <w:t>likely caus</w:t>
      </w:r>
      <w:r>
        <w:t>ing</w:t>
      </w:r>
      <w:r w:rsidRPr="00882ADE">
        <w:t xml:space="preserve"> isomorphic effects (DiMaggio and Powell, 1983)</w:t>
      </w:r>
      <w:r>
        <w:t xml:space="preserve"> </w:t>
      </w:r>
      <w:r w:rsidRPr="00882ADE">
        <w:t>of similar changes in other actors</w:t>
      </w:r>
      <w:r>
        <w:t xml:space="preserve">. Furthermore, by </w:t>
      </w:r>
      <w:r w:rsidRPr="00882ADE">
        <w:t>chang</w:t>
      </w:r>
      <w:r>
        <w:t>ing</w:t>
      </w:r>
      <w:r w:rsidRPr="00882ADE">
        <w:t xml:space="preserve"> the </w:t>
      </w:r>
      <w:r>
        <w:t>ground-rules</w:t>
      </w:r>
      <w:r w:rsidRPr="00882ADE">
        <w:t xml:space="preserve"> of what is considered legitimate</w:t>
      </w:r>
      <w:r>
        <w:t>, these signals contribute to widen</w:t>
      </w:r>
      <w:r w:rsidRPr="00882ADE">
        <w:t xml:space="preserve"> </w:t>
      </w:r>
      <w:r>
        <w:t xml:space="preserve">perceived </w:t>
      </w:r>
      <w:r w:rsidRPr="00882ADE">
        <w:t xml:space="preserve">legitimacy gaps </w:t>
      </w:r>
      <w:r>
        <w:t xml:space="preserve">that </w:t>
      </w:r>
      <w:r w:rsidRPr="00882ADE">
        <w:t>will then elicit reactions from various actors ranging from resistance to acquiescence to the new rules as</w:t>
      </w:r>
      <w:r>
        <w:t>, for instance, documented by</w:t>
      </w:r>
      <w:r w:rsidRPr="00882ADE">
        <w:t xml:space="preserve"> Herremans et al. (2009). Besides directly affecting the values and beliefs that govern the logics of individual actors, such endorsement</w:t>
      </w:r>
      <w:r>
        <w:t>s</w:t>
      </w:r>
      <w:r w:rsidRPr="00882ADE">
        <w:t xml:space="preserve"> may also act indirectly via sensitiz</w:t>
      </w:r>
      <w:r>
        <w:t>ing</w:t>
      </w:r>
      <w:r w:rsidRPr="00882ADE">
        <w:t xml:space="preserve"> other </w:t>
      </w:r>
      <w:r>
        <w:t>stakeholders</w:t>
      </w:r>
      <w:r w:rsidRPr="00882ADE">
        <w:t xml:space="preserve"> </w:t>
      </w:r>
      <w:r>
        <w:t>like</w:t>
      </w:r>
      <w:r w:rsidRPr="00882ADE">
        <w:t xml:space="preserve"> consumers to environmental issues</w:t>
      </w:r>
      <w:r>
        <w:t xml:space="preserve">. As a result, </w:t>
      </w:r>
      <w:r w:rsidRPr="00882ADE">
        <w:t>market opportunities for green products</w:t>
      </w:r>
      <w:r>
        <w:t xml:space="preserve"> may emerge</w:t>
      </w:r>
      <w:r w:rsidRPr="00882ADE">
        <w:t xml:space="preserve"> and thus shift the pure economic logic of environmental actions from a ‘cost’ to an ‘</w:t>
      </w:r>
      <w:r>
        <w:t>opportunity</w:t>
      </w:r>
      <w:r w:rsidRPr="00882ADE">
        <w:t xml:space="preserve">’. </w:t>
      </w:r>
      <w:r w:rsidRPr="00746874">
        <w:rPr>
          <w:lang w:val="en-US"/>
        </w:rPr>
        <w:t xml:space="preserve">These effects </w:t>
      </w:r>
      <w:r>
        <w:rPr>
          <w:lang w:val="en-US"/>
        </w:rPr>
        <w:t>are</w:t>
      </w:r>
      <w:r w:rsidRPr="00746874">
        <w:rPr>
          <w:lang w:val="en-US"/>
        </w:rPr>
        <w:t xml:space="preserve"> likely to </w:t>
      </w:r>
      <w:r>
        <w:rPr>
          <w:lang w:val="en-US"/>
        </w:rPr>
        <w:t xml:space="preserve">be even more pronounced when the agreements include not just voluntary but binding environmental goals. </w:t>
      </w:r>
      <w:r w:rsidRPr="00746874">
        <w:rPr>
          <w:lang w:val="en-US"/>
        </w:rPr>
        <w:t>Countries that commit to such goals will face the need to implement regulation and enforcement mechanisms at the local level, thereby opening another conduit of influence</w:t>
      </w:r>
      <w:r>
        <w:rPr>
          <w:lang w:val="en-US"/>
        </w:rPr>
        <w:t xml:space="preserve">. </w:t>
      </w:r>
      <w:r>
        <w:t>In particular, r</w:t>
      </w:r>
      <w:r w:rsidRPr="007A5F1E">
        <w:t>egulation (like the r</w:t>
      </w:r>
      <w:r w:rsidRPr="00F9767F">
        <w:t xml:space="preserve">eporting and punishment regimen created by the US EPA – EPA TRI program timeline) </w:t>
      </w:r>
      <w:r>
        <w:t>alters</w:t>
      </w:r>
      <w:r w:rsidRPr="00F9767F">
        <w:t xml:space="preserve"> the economic logic of </w:t>
      </w:r>
      <w:r w:rsidRPr="00F9767F">
        <w:lastRenderedPageBreak/>
        <w:t xml:space="preserve">environmental investments by imposing costs on non-compliance and exposing socially negative behavior; similarly, market based solutions like the emission trading schemes of the Kyoto protocol </w:t>
      </w:r>
      <w:r w:rsidRPr="00CA731C">
        <w:t xml:space="preserve">will also change the economic payoffs of ‘polluting’. Both of these </w:t>
      </w:r>
      <w:r w:rsidRPr="00021133">
        <w:t xml:space="preserve">enforcement approaches furthermore publicly emphasize that beliefs and values at the country level favor stakeholder concerns. </w:t>
      </w:r>
    </w:p>
    <w:p w14:paraId="26B7E42B" w14:textId="77777777" w:rsidR="0086707B" w:rsidRPr="00CA731C" w:rsidRDefault="0086707B" w:rsidP="0086707B">
      <w:pPr>
        <w:pStyle w:val="bodytextpaper"/>
      </w:pPr>
      <w:r w:rsidRPr="00895C4A">
        <w:t>Altogether, we suggest that joining international environmental agreements will tend to ei</w:t>
      </w:r>
      <w:r w:rsidRPr="0060290B">
        <w:t>ther directly change the values and beliefs of actors’ institutional logics in the direction of more stakeholder inclusion or, even if individual actor</w:t>
      </w:r>
      <w:r w:rsidRPr="00895C4A">
        <w:t xml:space="preserve">s maintain a belief of shareholder primacy </w:t>
      </w:r>
      <w:r>
        <w:t>despite</w:t>
      </w:r>
      <w:r w:rsidRPr="00895C4A">
        <w:t xml:space="preserve"> government endorsed alternative values, will change contingencies in such a way that environmental and financial performance of firms become more aligned. As we</w:t>
      </w:r>
      <w:r w:rsidRPr="00CA731C">
        <w:t xml:space="preserve"> argued above, if environmental and financial goals are synchronized, there is no de facto difference between a shareholder and stakeholder logic in terms of eventual outcomes. Accordingly, whether by direct change in logics or just an alignment of stakeholder and shareholder logics, we should expect international environmental agreements to affect the governing institutional logics in a focal country such as to enhance the status of stakeholders that are not shareholders.</w:t>
      </w:r>
    </w:p>
    <w:p w14:paraId="77B91604" w14:textId="77777777" w:rsidR="0086707B" w:rsidRDefault="0086707B" w:rsidP="0086707B">
      <w:pPr>
        <w:pStyle w:val="bodytextpaper"/>
      </w:pPr>
      <w:r w:rsidRPr="0060290B">
        <w:t xml:space="preserve">Yet, the impact of such an enhancement of (environmental) stakeholders’ position should vary depending on whether the prevailing institutional logic in a country is already stakeholder focused or not. If it is, then adding some extra governmental pressure due to the international accords will only increment the existing level of stakeholder focus – and, depending on what role environmental stakeholders are already playing in a focal country, that increment may even be negligible. However, in countries that follow a more shareholder focused logic the introduction of such a stakeholder focus instead of </w:t>
      </w:r>
      <w:r w:rsidRPr="0060290B">
        <w:lastRenderedPageBreak/>
        <w:t>just adding an ‘increment’ is likely to cause more friction between existing and newly</w:t>
      </w:r>
      <w:r>
        <w:t xml:space="preserve"> contending logic and eventually a more pronounced change to the existing logic by now incorporating environmental stakeholders demands. Eberlein and Matten’s (2009) description of the reactions of Canadian (common law) and German (civil law) firms to the ratification of the Kyoto protocol provides some initial validation for our thesis. Specifically, they report – as quoted above – that Canadian firms were initially strongly opposed to environmental efforts, but later on became rather engaged; yet, </w:t>
      </w:r>
      <w:r w:rsidRPr="00AA3CE0">
        <w:rPr>
          <w:i/>
          <w:sz w:val="20"/>
        </w:rPr>
        <w:t>“contrary to the Canadian business community, German corporations collectively never campaigned against the principle of climate change policy or the landmark Kyoto Protocol. German industry signed on to an early national consensus on the need for mitigation and abatement action.”</w:t>
      </w:r>
      <w:r w:rsidRPr="00AA3CE0">
        <w:t xml:space="preserve"> </w:t>
      </w:r>
      <w:r>
        <w:t xml:space="preserve">(2009: 249). In line with our theory, in the common law country the Kyoto protocol challenged the existing logic (hence the strong protests), which eventually led to significant changes. In the civil law country, however, the absence of strong reactions suggests that the prevailing institutional logic was simply not challenged much, which also led to less of a change due to the Kyoto protocol as Eberlein and Matten (251) conclude: </w:t>
      </w:r>
      <w:r w:rsidRPr="00AA3CE0">
        <w:rPr>
          <w:i/>
          <w:sz w:val="20"/>
        </w:rPr>
        <w:t>“Collectively, we have seen how Canadian businesses, after initial resistance, are now constructively engaged in the national debate on a federal regulatory framework … Similar initiatives in Germany are much less prevalent…”</w:t>
      </w:r>
      <w:r>
        <w:t xml:space="preserve"> Hence, we suggest::</w:t>
      </w:r>
    </w:p>
    <w:p w14:paraId="128E93D6" w14:textId="77777777" w:rsidR="0086707B" w:rsidRDefault="0086707B" w:rsidP="0086707B">
      <w:pPr>
        <w:pStyle w:val="hyps"/>
      </w:pPr>
      <w:r>
        <w:t>Hypothesis 5: High profile international legal agreements for environmental protection will have a greater positive effect on environmental performance in countries with a common law legal origin.</w:t>
      </w:r>
    </w:p>
    <w:p w14:paraId="02CA404E" w14:textId="77777777" w:rsidR="0086707B" w:rsidRDefault="0086707B" w:rsidP="0086707B">
      <w:pPr>
        <w:pStyle w:val="bodytextpaper"/>
      </w:pPr>
      <w:r>
        <w:t xml:space="preserve">Our overall model is depicted in Figure 1. </w:t>
      </w:r>
    </w:p>
    <w:p w14:paraId="24118F5C" w14:textId="77777777" w:rsidR="0086707B" w:rsidRDefault="0086707B" w:rsidP="0086707B">
      <w:pPr>
        <w:pBdr>
          <w:top w:val="single" w:sz="6" w:space="1" w:color="auto"/>
          <w:bottom w:val="single" w:sz="6" w:space="1" w:color="auto"/>
        </w:pBdr>
        <w:spacing w:line="480" w:lineRule="auto"/>
        <w:ind w:firstLine="0"/>
        <w:jc w:val="center"/>
      </w:pPr>
      <w:r>
        <w:t>Insert Figure 1 about here</w:t>
      </w:r>
    </w:p>
    <w:p w14:paraId="50B5778B" w14:textId="77777777" w:rsidR="0086707B" w:rsidRPr="00053CF2" w:rsidRDefault="0086707B" w:rsidP="0086707B">
      <w:pPr>
        <w:pStyle w:val="Heading1"/>
        <w:jc w:val="center"/>
      </w:pPr>
      <w:r w:rsidRPr="00053CF2">
        <w:t>Data and Methods</w:t>
      </w:r>
    </w:p>
    <w:p w14:paraId="5CB7E609" w14:textId="77777777" w:rsidR="0086707B" w:rsidRPr="008B75E1" w:rsidRDefault="0086707B" w:rsidP="0086707B">
      <w:pPr>
        <w:pStyle w:val="bodytextpaper"/>
        <w:ind w:firstLine="0"/>
      </w:pPr>
      <w:r>
        <w:t xml:space="preserve">We test our hypotheses with country-level data on legal origins and corporate governance </w:t>
      </w:r>
      <w:r>
        <w:lastRenderedPageBreak/>
        <w:t>regimes in the context of CO</w:t>
      </w:r>
      <w:r w:rsidRPr="004E2454">
        <w:rPr>
          <w:vertAlign w:val="subscript"/>
        </w:rPr>
        <w:t>2</w:t>
      </w:r>
      <w:r>
        <w:rPr>
          <w:vertAlign w:val="subscript"/>
        </w:rPr>
        <w:t xml:space="preserve"> </w:t>
      </w:r>
      <w:r>
        <w:t xml:space="preserve">emissions. These particular </w:t>
      </w:r>
      <w:r>
        <w:rPr>
          <w:rFonts w:hint="eastAsia"/>
        </w:rPr>
        <w:t xml:space="preserve">emissions </w:t>
      </w:r>
      <w:r>
        <w:t>account for</w:t>
      </w:r>
      <w:r>
        <w:rPr>
          <w:rFonts w:hint="eastAsia"/>
        </w:rPr>
        <w:t xml:space="preserve"> approximately 80</w:t>
      </w:r>
      <w:r>
        <w:t>%</w:t>
      </w:r>
      <w:r>
        <w:rPr>
          <w:rFonts w:hint="eastAsia"/>
        </w:rPr>
        <w:t xml:space="preserve"> of the total </w:t>
      </w:r>
      <w:r>
        <w:t xml:space="preserve">worldwide </w:t>
      </w:r>
      <w:r>
        <w:rPr>
          <w:rFonts w:hint="eastAsia"/>
        </w:rPr>
        <w:t xml:space="preserve">emissions </w:t>
      </w:r>
      <w:r>
        <w:t>of ‘</w:t>
      </w:r>
      <w:r>
        <w:rPr>
          <w:rFonts w:hint="eastAsia"/>
        </w:rPr>
        <w:t>greenhouse</w:t>
      </w:r>
      <w:r>
        <w:t>’</w:t>
      </w:r>
      <w:r>
        <w:rPr>
          <w:rFonts w:hint="eastAsia"/>
        </w:rPr>
        <w:t xml:space="preserve"> gas</w:t>
      </w:r>
      <w:r>
        <w:t>es</w:t>
      </w:r>
      <w:r>
        <w:rPr>
          <w:rFonts w:hint="eastAsia"/>
        </w:rPr>
        <w:t xml:space="preserve"> (Nordhaus, 1991), and </w:t>
      </w:r>
      <w:r>
        <w:t xml:space="preserve">are blamed by a large fraction of </w:t>
      </w:r>
      <w:r w:rsidRPr="00172146">
        <w:t xml:space="preserve">the research community for global warming and climate change (e.g., Solomon et al. 2009; Cox et al., 2000). While the specific role of carbon emissions remains a contentious issue (Edwards et al. 2001; Solomon et al. 2007; </w:t>
      </w:r>
      <w:r w:rsidRPr="00172146">
        <w:rPr>
          <w:rFonts w:eastAsiaTheme="minorHAnsi"/>
        </w:rPr>
        <w:t>Lafferty, 1999</w:t>
      </w:r>
      <w:r w:rsidRPr="00172146">
        <w:t>), several high</w:t>
      </w:r>
      <w:r>
        <w:t xml:space="preserve"> profile International Conferences and Agreements (e.g., the Earth Summit in 1992, Kyoto Protocol in 1997) have revolved around CO</w:t>
      </w:r>
      <w:r w:rsidRPr="00E20347">
        <w:rPr>
          <w:vertAlign w:val="subscript"/>
        </w:rPr>
        <w:t>2</w:t>
      </w:r>
      <w:r>
        <w:t xml:space="preserve"> emissions. Accordingly, we focus on CO</w:t>
      </w:r>
      <w:r w:rsidRPr="00E20347">
        <w:rPr>
          <w:vertAlign w:val="subscript"/>
        </w:rPr>
        <w:t>2</w:t>
      </w:r>
      <w:r>
        <w:t xml:space="preserve"> emissions as a (negative) proxy for environmental performance because these emissions are both, important in their own right, and subject to a number of international agreements that allow us to test our hypotheses regarding external pressures on institutional logics.</w:t>
      </w:r>
    </w:p>
    <w:p w14:paraId="1600DF9B" w14:textId="77777777" w:rsidR="0086707B" w:rsidRDefault="0086707B" w:rsidP="0086707B">
      <w:pPr>
        <w:pStyle w:val="bodytextpaper"/>
        <w:ind w:firstLine="0"/>
      </w:pPr>
      <w:r w:rsidRPr="003529DD">
        <w:rPr>
          <w:b/>
        </w:rPr>
        <w:t>Dependent Variable.</w:t>
      </w:r>
      <w:r>
        <w:rPr>
          <w:b/>
        </w:rPr>
        <w:t xml:space="preserve"> </w:t>
      </w:r>
      <w:r>
        <w:t xml:space="preserve">To construct our negative environmental performance variable we collect country-level data on emission of </w:t>
      </w:r>
      <w:r w:rsidRPr="00EA17E3">
        <w:rPr>
          <w:i/>
        </w:rPr>
        <w:t>CO</w:t>
      </w:r>
      <w:r w:rsidRPr="00EA17E3">
        <w:rPr>
          <w:i/>
          <w:vertAlign w:val="subscript"/>
        </w:rPr>
        <w:t>2</w:t>
      </w:r>
      <w:r>
        <w:t xml:space="preserve"> emissions measured in metric tons per capita from the World Bank’s World Development Indicator. This</w:t>
      </w:r>
      <w:r w:rsidRPr="00172146">
        <w:t xml:space="preserve"> data </w:t>
      </w:r>
      <w:r>
        <w:t>is</w:t>
      </w:r>
      <w:r w:rsidRPr="00172146">
        <w:t xml:space="preserve"> available for the years</w:t>
      </w:r>
      <w:r>
        <w:t xml:space="preserve"> </w:t>
      </w:r>
      <w:r w:rsidRPr="00172146">
        <w:t>1980 to 2011, which defines the maximum sample period for our analysis</w:t>
      </w:r>
      <w:r w:rsidRPr="00716708">
        <w:t>.</w:t>
      </w:r>
      <w:r w:rsidRPr="00716708">
        <w:rPr>
          <w:highlight w:val="green"/>
        </w:rPr>
        <w:t xml:space="preserve"> </w:t>
      </w:r>
    </w:p>
    <w:p w14:paraId="3A8F0C35" w14:textId="77777777" w:rsidR="0086707B" w:rsidRDefault="0086707B" w:rsidP="0086707B">
      <w:pPr>
        <w:spacing w:line="480" w:lineRule="auto"/>
        <w:ind w:firstLine="0"/>
        <w:jc w:val="both"/>
      </w:pPr>
      <w:r w:rsidRPr="003529DD">
        <w:rPr>
          <w:b/>
        </w:rPr>
        <w:t>Explanatory Variables.</w:t>
      </w:r>
      <w:r>
        <w:rPr>
          <w:b/>
        </w:rPr>
        <w:t xml:space="preserve"> </w:t>
      </w:r>
      <w:r>
        <w:t xml:space="preserve">Our primary explanatory variables are measures of the legal origin as well as the structure of corporate governance mechanisms of a given country (the latter are also used as dependent variables in addressing hyp. 1). </w:t>
      </w:r>
    </w:p>
    <w:p w14:paraId="1CD4315C" w14:textId="77777777" w:rsidR="0086707B" w:rsidRDefault="0086707B" w:rsidP="0086707B">
      <w:pPr>
        <w:pStyle w:val="bodytextpaper"/>
      </w:pPr>
      <w:r w:rsidRPr="00751B92">
        <w:rPr>
          <w:i/>
        </w:rPr>
        <w:t>Legal Origin</w:t>
      </w:r>
      <w:r>
        <w:t xml:space="preserve"> is a cross-sectional binary variable (with common-law origin coded 1) for 28 countries that were </w:t>
      </w:r>
      <w:r w:rsidRPr="00172146">
        <w:t xml:space="preserve">originally selected by La Porta et al. (1998), who also provided this data. </w:t>
      </w:r>
      <w:r>
        <w:t xml:space="preserve">Our identification of the </w:t>
      </w:r>
      <w:r w:rsidRPr="00D862B4">
        <w:rPr>
          <w:i/>
        </w:rPr>
        <w:t>Legal Origin</w:t>
      </w:r>
      <w:r>
        <w:t xml:space="preserve"> variable is based on La Porta et al. (1998) and Head, Mayer and Ries (2010). </w:t>
      </w:r>
      <w:r w:rsidRPr="00172146">
        <w:t>Given the time-</w:t>
      </w:r>
      <w:r>
        <w:t xml:space="preserve">invariant nature of </w:t>
      </w:r>
      <w:r w:rsidRPr="00315FB1">
        <w:rPr>
          <w:i/>
        </w:rPr>
        <w:t>Legal Origin</w:t>
      </w:r>
      <w:r>
        <w:t xml:space="preserve">, it forms a constant value throughout our longitudinal data set. Importantly, </w:t>
      </w:r>
      <w:r w:rsidRPr="00315FB1">
        <w:rPr>
          <w:i/>
        </w:rPr>
        <w:t xml:space="preserve">Legal </w:t>
      </w:r>
      <w:r w:rsidRPr="00315FB1">
        <w:rPr>
          <w:i/>
        </w:rPr>
        <w:lastRenderedPageBreak/>
        <w:t>Origin</w:t>
      </w:r>
      <w:r>
        <w:t>, as the historical choice or endowment of a given country with a legal system and associated philosophy of property, can safely be considered to be exogenous to our dependent variables, thus avoiding estimation bias due to reverse causality.</w:t>
      </w:r>
    </w:p>
    <w:p w14:paraId="137663AD" w14:textId="77777777" w:rsidR="0086707B" w:rsidRPr="001F0D28" w:rsidRDefault="0086707B" w:rsidP="0086707B">
      <w:pPr>
        <w:pStyle w:val="bodytextpaper"/>
      </w:pPr>
      <w:r w:rsidRPr="00014807">
        <w:t xml:space="preserve">The first prediction of our model is that the underlying philosophies that are reflected in different origins of law manifest themselves in an institutionalization of either a shareholder or stakeholder focused </w:t>
      </w:r>
      <w:r>
        <w:t>logic</w:t>
      </w:r>
      <w:r w:rsidRPr="00014807">
        <w:t xml:space="preserve"> when it comes to private property. This, in turn, should lead to distinct structures of Corporate Governance across common and </w:t>
      </w:r>
      <w:r>
        <w:t>civil</w:t>
      </w:r>
      <w:r w:rsidRPr="00014807">
        <w:t xml:space="preserve"> law legal origins, with the former emphasizing shareholder protection. While we do not have viable data on the intervening construct of shareholder or stakeholder </w:t>
      </w:r>
      <w:r>
        <w:t>logics</w:t>
      </w:r>
      <w:r w:rsidRPr="00014807">
        <w:t xml:space="preserve">, the theoretical </w:t>
      </w:r>
      <w:r>
        <w:t>model</w:t>
      </w:r>
      <w:r w:rsidRPr="00014807">
        <w:t xml:space="preserve"> derived from La Porta et al. is quite compelling in terms of suggesting that common law from its very origins supports a shareholder primacy view, while the various civil law systems have developed around some level of treating property as instruments of social policy, which harmonizes with the logic of the stakeholder perspective</w:t>
      </w:r>
      <w:r>
        <w:t>. Prior studies have come to a similar conclusion (e.g., Collison et al. 2012)</w:t>
      </w:r>
      <w:r w:rsidRPr="00014807">
        <w:t>. We therefore treat the shareholder/stakeholder institutional logic as a latent variable and use the legal origin of a country as an instrument to proxy for this unobserved variable.</w:t>
      </w:r>
    </w:p>
    <w:p w14:paraId="3FDAA1BD" w14:textId="77777777" w:rsidR="0086707B" w:rsidRDefault="0086707B" w:rsidP="0086707B">
      <w:pPr>
        <w:pStyle w:val="bodytextpaper"/>
      </w:pPr>
      <w:r>
        <w:t xml:space="preserve">To capture the structure of corporate governance in a given country we collected a number of different measures. First, prior studies by La Porta et al. (1998, 2002) provided us with cross-sectional measures for the same 28 countries as above, for </w:t>
      </w:r>
      <w:r w:rsidRPr="00637092">
        <w:rPr>
          <w:i/>
        </w:rPr>
        <w:t>Shareholder Rights</w:t>
      </w:r>
      <w:r>
        <w:t xml:space="preserve">, </w:t>
      </w:r>
      <w:r w:rsidRPr="00637092">
        <w:rPr>
          <w:i/>
        </w:rPr>
        <w:t>Creditor Rights</w:t>
      </w:r>
      <w:r>
        <w:t xml:space="preserve"> and the </w:t>
      </w:r>
      <w:r w:rsidRPr="00637092">
        <w:rPr>
          <w:i/>
        </w:rPr>
        <w:t>Wedge</w:t>
      </w:r>
      <w:r>
        <w:t xml:space="preserve"> between cash flow and control rights. This data has been used by prior researchers as well (e.g., Acharya et al., 2011). </w:t>
      </w:r>
    </w:p>
    <w:p w14:paraId="417BAAD9" w14:textId="77777777" w:rsidR="0086707B" w:rsidRDefault="0086707B" w:rsidP="0086707B">
      <w:pPr>
        <w:pStyle w:val="bodytextpaper"/>
      </w:pPr>
      <w:r w:rsidRPr="002146CF">
        <w:t xml:space="preserve">The </w:t>
      </w:r>
      <w:r w:rsidRPr="00F35497">
        <w:rPr>
          <w:i/>
        </w:rPr>
        <w:t>Shareholder Rights</w:t>
      </w:r>
      <w:r w:rsidRPr="002146CF">
        <w:t xml:space="preserve"> index is formed by adding one count each for the presence of six shareholder friendly rules at the country level (</w:t>
      </w:r>
      <w:r>
        <w:t>see appendix 1 for details)</w:t>
      </w:r>
      <w:r w:rsidRPr="00474AE8">
        <w:rPr>
          <w:rStyle w:val="EndnoteReference"/>
        </w:rPr>
        <w:endnoteReference w:id="1"/>
      </w:r>
      <w:r>
        <w:t xml:space="preserve">. </w:t>
      </w:r>
      <w:r>
        <w:lastRenderedPageBreak/>
        <w:t xml:space="preserve">This </w:t>
      </w:r>
      <w:r w:rsidRPr="002146CF">
        <w:t xml:space="preserve">index ranges from zero to five, with higher numbers expressing a stronger protection </w:t>
      </w:r>
      <w:r>
        <w:t xml:space="preserve">of shareholders. </w:t>
      </w:r>
      <w:r w:rsidRPr="00F35497">
        <w:rPr>
          <w:i/>
        </w:rPr>
        <w:t>Creditor Rights</w:t>
      </w:r>
      <w:r>
        <w:rPr>
          <w:i/>
        </w:rPr>
        <w:t xml:space="preserve"> </w:t>
      </w:r>
      <w:r>
        <w:t xml:space="preserve">is a similarly constructed index aggregating creditor rights, and ranges from zero to four (see appendix 2). </w:t>
      </w:r>
      <w:r w:rsidRPr="006407E3">
        <w:t xml:space="preserve">The </w:t>
      </w:r>
      <w:r w:rsidRPr="006407E3">
        <w:rPr>
          <w:i/>
        </w:rPr>
        <w:t>Wedge</w:t>
      </w:r>
      <w:r w:rsidRPr="006407E3">
        <w:t xml:space="preserve"> is defined as the discrepancy between cash flows (i.e., legal ownership) and voting rights. Specifically, voting rights tend to be larger than cash flows (i.e., legal ownership) when an economy is dominated by firms with cross-shareholdings and pyramid structures, because a controlling shareholder of a ‘higher level’ firm can extend his or her influence (i.e. voting rights) to firms that are positioned further down the pyramidal structure (i.e., owned by the higher level firm) even if that shareholder has no direct ownership of the latter.</w:t>
      </w:r>
      <w:r>
        <w:t xml:space="preserve"> </w:t>
      </w:r>
      <w:r w:rsidRPr="006407E3">
        <w:t xml:space="preserve">Higher values of this </w:t>
      </w:r>
      <w:r w:rsidRPr="006407E3">
        <w:rPr>
          <w:i/>
        </w:rPr>
        <w:t>wedge</w:t>
      </w:r>
      <w:r w:rsidRPr="006407E3">
        <w:t xml:space="preserve"> therefore indicate a higher degree of control by major shareholders, and a higher potential of exploitation of </w:t>
      </w:r>
      <w:r>
        <w:t xml:space="preserve">other </w:t>
      </w:r>
      <w:r w:rsidRPr="006407E3">
        <w:t xml:space="preserve">(minority) shareholders as argued by La Porta et al. (1999) and extended by Claessens et al. (2000). </w:t>
      </w:r>
    </w:p>
    <w:p w14:paraId="405622D8" w14:textId="77777777" w:rsidR="0086707B" w:rsidRDefault="0086707B" w:rsidP="0086707B">
      <w:pPr>
        <w:pStyle w:val="bodytextpaper"/>
      </w:pPr>
      <w:r>
        <w:t xml:space="preserve">Second, we obtained time-varying corporate governance data from Aggarwal, Erel, Ferreira, and Matos (2011), which provide an annual country-level governance index for the 2004-2008 period. This variable, </w:t>
      </w:r>
      <w:r w:rsidRPr="00BF5CC9">
        <w:rPr>
          <w:i/>
        </w:rPr>
        <w:t>G-Index 41</w:t>
      </w:r>
      <w:r>
        <w:t xml:space="preserve">, </w:t>
      </w:r>
      <w:r w:rsidRPr="00BF5CC9">
        <w:t xml:space="preserve">is the </w:t>
      </w:r>
      <w:r>
        <w:t xml:space="preserve">degree to which specific firms do or do not meet </w:t>
      </w:r>
      <w:r w:rsidRPr="00BF5CC9">
        <w:t>41</w:t>
      </w:r>
      <w:r>
        <w:t xml:space="preserve"> different governance attributes, expressed as an average per country and year. This average ranges from 0 to 100%, with higher numbers again reflecting a stronger protection of shareholders (see appendix 3). To construct this index, Aggarwal et al. (2011) analysed for 23 industrialized countries a large number of individual firms that accounted for, on average, 80.2% of the </w:t>
      </w:r>
      <w:r w:rsidRPr="00DA38C1">
        <w:t>total market capitalisation by country in 2008</w:t>
      </w:r>
      <w:r>
        <w:t xml:space="preserve"> (all data based on Worldscope). Accordingly, estimations using </w:t>
      </w:r>
      <w:r w:rsidRPr="00825269">
        <w:rPr>
          <w:i/>
        </w:rPr>
        <w:t>G-Index 41</w:t>
      </w:r>
      <w:r>
        <w:t xml:space="preserve"> are based on a significantly restricted sample in </w:t>
      </w:r>
      <w:r w:rsidRPr="0062492B">
        <w:t>terms</w:t>
      </w:r>
      <w:r>
        <w:t xml:space="preserve"> of countries and years. Yet, given</w:t>
      </w:r>
      <w:r w:rsidRPr="00DA38C1">
        <w:t xml:space="preserve"> the </w:t>
      </w:r>
      <w:r>
        <w:t xml:space="preserve">global economic </w:t>
      </w:r>
      <w:r w:rsidRPr="00DA38C1">
        <w:t xml:space="preserve">significance </w:t>
      </w:r>
      <w:r>
        <w:t>and the substantial coverage of</w:t>
      </w:r>
      <w:r w:rsidRPr="00DA38C1">
        <w:t xml:space="preserve"> companies in </w:t>
      </w:r>
      <w:r w:rsidRPr="00DA38C1">
        <w:lastRenderedPageBreak/>
        <w:t xml:space="preserve">each country we expect this data to effectively cover </w:t>
      </w:r>
      <w:r>
        <w:t xml:space="preserve">the </w:t>
      </w:r>
      <w:r w:rsidRPr="00DA38C1">
        <w:t xml:space="preserve">main carbon emitters in the world. Our database also indicates that the shares of </w:t>
      </w:r>
      <w:r>
        <w:t xml:space="preserve">these 23 selected countries’ </w:t>
      </w:r>
      <w:r w:rsidRPr="00DA38C1">
        <w:t xml:space="preserve">CO2 emissions </w:t>
      </w:r>
      <w:r>
        <w:t>of</w:t>
      </w:r>
      <w:r w:rsidRPr="00DA38C1">
        <w:t xml:space="preserve"> the total global emissions </w:t>
      </w:r>
      <w:r>
        <w:t>exceeded</w:t>
      </w:r>
      <w:r w:rsidRPr="00DA38C1">
        <w:t xml:space="preserve"> 55</w:t>
      </w:r>
      <w:r>
        <w:t>%</w:t>
      </w:r>
      <w:r w:rsidRPr="00DA38C1">
        <w:t xml:space="preserve"> during</w:t>
      </w:r>
      <w:r>
        <w:t xml:space="preserve"> the</w:t>
      </w:r>
      <w:r w:rsidRPr="00DA38C1">
        <w:t xml:space="preserve"> 2004-2008</w:t>
      </w:r>
      <w:r>
        <w:t xml:space="preserve"> period. </w:t>
      </w:r>
    </w:p>
    <w:p w14:paraId="43839468" w14:textId="77777777" w:rsidR="0086707B" w:rsidRPr="0029330F" w:rsidRDefault="0086707B" w:rsidP="0086707B">
      <w:pPr>
        <w:pStyle w:val="bodytextpaper"/>
        <w:rPr>
          <w:color w:val="333333"/>
        </w:rPr>
      </w:pPr>
      <w:r>
        <w:t xml:space="preserve">Finally, three binary variables capture the effects of major </w:t>
      </w:r>
      <w:r w:rsidRPr="00FE781A">
        <w:t xml:space="preserve">international events </w:t>
      </w:r>
      <w:r>
        <w:t>aimed at reducing</w:t>
      </w:r>
      <w:r w:rsidRPr="00FE781A">
        <w:t xml:space="preserve"> greenhouse gases including </w:t>
      </w:r>
      <w:r>
        <w:t>CO</w:t>
      </w:r>
      <w:r w:rsidRPr="00005DEB">
        <w:rPr>
          <w:vertAlign w:val="subscript"/>
        </w:rPr>
        <w:t>2</w:t>
      </w:r>
      <w:r>
        <w:t xml:space="preserve">. </w:t>
      </w:r>
      <w:r w:rsidRPr="00C266C0">
        <w:rPr>
          <w:i/>
        </w:rPr>
        <w:t>Earth Summit</w:t>
      </w:r>
      <w:r>
        <w:t xml:space="preserve"> indicates the 1992 UNFCCC agreement, </w:t>
      </w:r>
      <w:r w:rsidRPr="00C266C0">
        <w:rPr>
          <w:i/>
        </w:rPr>
        <w:t>Kyoto 97</w:t>
      </w:r>
      <w:r>
        <w:t xml:space="preserve"> reflects the signing of the Kyoto Protocol in 1997 and </w:t>
      </w:r>
      <w:r w:rsidRPr="00C266C0">
        <w:rPr>
          <w:i/>
        </w:rPr>
        <w:t>Kyoto 05</w:t>
      </w:r>
      <w:r>
        <w:t xml:space="preserve"> captures the implementation phase of the Kyoto protocol commencing in 2005. Each binary variable is set to ‘1’ in the year the respective agreement or implementation commenced and kept at that value for later years, thus covering the ‘post Agreement/Implementation start’ periods.</w:t>
      </w:r>
    </w:p>
    <w:p w14:paraId="29E12EC0" w14:textId="77777777" w:rsidR="0086707B" w:rsidRPr="00CC0874" w:rsidRDefault="0086707B" w:rsidP="0086707B">
      <w:pPr>
        <w:pStyle w:val="bodytextpaper"/>
      </w:pPr>
      <w:r w:rsidRPr="003529DD">
        <w:rPr>
          <w:b/>
        </w:rPr>
        <w:t>Control variables.</w:t>
      </w:r>
      <w:r>
        <w:rPr>
          <w:b/>
        </w:rPr>
        <w:t xml:space="preserve"> </w:t>
      </w:r>
      <w:r w:rsidRPr="00481A26">
        <w:t>Following</w:t>
      </w:r>
      <w:r>
        <w:rPr>
          <w:b/>
        </w:rPr>
        <w:t xml:space="preserve"> </w:t>
      </w:r>
      <w:r>
        <w:t>prior studies, o</w:t>
      </w:r>
      <w:r w:rsidRPr="00481A26">
        <w:t>ur main</w:t>
      </w:r>
      <w:r>
        <w:t xml:space="preserve"> control variables include the GDP per capita (GDPPC) and urban population. We were tempted to include more controls. For example, </w:t>
      </w:r>
      <w:r w:rsidRPr="00B025BD">
        <w:rPr>
          <w:iCs/>
        </w:rPr>
        <w:t xml:space="preserve">Mazzanti and Zoboli (2008) as well as </w:t>
      </w:r>
      <w:r w:rsidRPr="00B025BD">
        <w:t>Klassen and</w:t>
      </w:r>
      <w:r>
        <w:t xml:space="preserve"> Whybark (1999) </w:t>
      </w:r>
      <w:r>
        <w:rPr>
          <w:rFonts w:hint="eastAsia"/>
          <w:iCs/>
        </w:rPr>
        <w:t>demonstrated that t</w:t>
      </w:r>
      <w:r w:rsidRPr="002B42CE">
        <w:rPr>
          <w:rFonts w:eastAsia="Malgun Gothic"/>
          <w:iCs/>
        </w:rPr>
        <w:t>echnological</w:t>
      </w:r>
      <w:r>
        <w:rPr>
          <w:rFonts w:eastAsia="Malgun Gothic"/>
          <w:iCs/>
        </w:rPr>
        <w:t xml:space="preserve"> innovation – to the extent that it </w:t>
      </w:r>
      <w:r w:rsidRPr="002B42CE">
        <w:rPr>
          <w:rFonts w:eastAsia="Malgun Gothic"/>
          <w:iCs/>
        </w:rPr>
        <w:t xml:space="preserve">helps </w:t>
      </w:r>
      <w:r>
        <w:rPr>
          <w:rFonts w:eastAsia="Malgun Gothic"/>
          <w:iCs/>
        </w:rPr>
        <w:t xml:space="preserve">to increase </w:t>
      </w:r>
      <w:r w:rsidRPr="002B42CE">
        <w:rPr>
          <w:rFonts w:eastAsia="Malgun Gothic"/>
          <w:iCs/>
        </w:rPr>
        <w:t>the material</w:t>
      </w:r>
      <w:r>
        <w:rPr>
          <w:rFonts w:eastAsia="Malgun Gothic"/>
          <w:iCs/>
        </w:rPr>
        <w:t xml:space="preserve"> or </w:t>
      </w:r>
      <w:r w:rsidRPr="002B42CE">
        <w:rPr>
          <w:rFonts w:eastAsia="Malgun Gothic"/>
          <w:iCs/>
        </w:rPr>
        <w:t>energy efficiency of production</w:t>
      </w:r>
      <w:r>
        <w:rPr>
          <w:rFonts w:eastAsia="Malgun Gothic"/>
          <w:iCs/>
        </w:rPr>
        <w:t xml:space="preserve"> </w:t>
      </w:r>
      <w:r w:rsidRPr="002B42CE">
        <w:rPr>
          <w:rFonts w:eastAsia="Malgun Gothic"/>
          <w:iCs/>
        </w:rPr>
        <w:t xml:space="preserve">processes and </w:t>
      </w:r>
      <w:r>
        <w:rPr>
          <w:rFonts w:eastAsia="Malgun Gothic"/>
          <w:iCs/>
        </w:rPr>
        <w:t>to reduce</w:t>
      </w:r>
      <w:r w:rsidRPr="002B42CE">
        <w:rPr>
          <w:rFonts w:eastAsia="Malgun Gothic"/>
          <w:iCs/>
        </w:rPr>
        <w:t xml:space="preserve"> emission</w:t>
      </w:r>
      <w:r>
        <w:rPr>
          <w:rFonts w:eastAsia="Malgun Gothic"/>
          <w:iCs/>
        </w:rPr>
        <w:t xml:space="preserve"> or </w:t>
      </w:r>
      <w:r w:rsidRPr="002B42CE">
        <w:rPr>
          <w:rFonts w:eastAsia="Malgun Gothic"/>
          <w:iCs/>
        </w:rPr>
        <w:t>effluents associated to outputs</w:t>
      </w:r>
      <w:r>
        <w:rPr>
          <w:rFonts w:eastAsia="Malgun Gothic"/>
          <w:iCs/>
        </w:rPr>
        <w:t xml:space="preserve"> – is a key factor for </w:t>
      </w:r>
      <w:r w:rsidRPr="002B42CE">
        <w:rPr>
          <w:rFonts w:eastAsia="Malgun Gothic"/>
          <w:iCs/>
        </w:rPr>
        <w:t>achieving a better</w:t>
      </w:r>
      <w:r>
        <w:rPr>
          <w:rFonts w:eastAsia="Malgun Gothic"/>
          <w:iCs/>
        </w:rPr>
        <w:t xml:space="preserve"> </w:t>
      </w:r>
      <w:r w:rsidRPr="002B42CE">
        <w:rPr>
          <w:rFonts w:eastAsia="Malgun Gothic"/>
          <w:iCs/>
        </w:rPr>
        <w:t>environmental performance of f</w:t>
      </w:r>
      <w:r>
        <w:rPr>
          <w:rFonts w:eastAsia="Malgun Gothic"/>
          <w:iCs/>
        </w:rPr>
        <w:t>irms and the economy as a whole</w:t>
      </w:r>
      <w:r w:rsidRPr="002B42CE">
        <w:rPr>
          <w:rFonts w:eastAsia="Malgun Gothic"/>
          <w:iCs/>
        </w:rPr>
        <w:t>.</w:t>
      </w:r>
      <w:r>
        <w:rPr>
          <w:rFonts w:eastAsia="Malgun Gothic"/>
          <w:iCs/>
        </w:rPr>
        <w:t xml:space="preserve"> To control for this effect we </w:t>
      </w:r>
      <w:r>
        <w:t xml:space="preserve">included a </w:t>
      </w:r>
      <w:r w:rsidRPr="000B1BB5">
        <w:rPr>
          <w:i/>
        </w:rPr>
        <w:t>Technology</w:t>
      </w:r>
      <w:r>
        <w:t xml:space="preserve"> variable calculated as the number of patents applied for by a country’s residents in thousands divided by total country population using data from the </w:t>
      </w:r>
      <w:r w:rsidRPr="00CC0874">
        <w:t>World Bank’s World Development Indicator</w:t>
      </w:r>
      <w:r>
        <w:t xml:space="preserve"> (not reported)</w:t>
      </w:r>
      <w:r w:rsidRPr="00CC0874">
        <w:t xml:space="preserve">. </w:t>
      </w:r>
      <w:r>
        <w:t xml:space="preserve">However, inclusion of this Technology variable created a multicolliniarity problem with GDP per capita. We had similar problems with controls for </w:t>
      </w:r>
      <w:r>
        <w:rPr>
          <w:i/>
        </w:rPr>
        <w:t>Energy Consumption</w:t>
      </w:r>
      <w:r>
        <w:t xml:space="preserve">, measured as kg of oil equivalent energy use per 1,000 USD in 2005 constant purchasing power adjusted GDP, and </w:t>
      </w:r>
      <w:r w:rsidRPr="00E86E25">
        <w:rPr>
          <w:i/>
        </w:rPr>
        <w:t xml:space="preserve">Fossil </w:t>
      </w:r>
      <w:r w:rsidRPr="00E86E25">
        <w:rPr>
          <w:i/>
        </w:rPr>
        <w:lastRenderedPageBreak/>
        <w:t>Fuel</w:t>
      </w:r>
      <w:r>
        <w:t xml:space="preserve"> energy consumption, expressed as the percentage share of fossil fuel in total energy consumption. As such, and in line with suggestions by </w:t>
      </w:r>
      <w:r w:rsidRPr="00B025BD">
        <w:t xml:space="preserve">Angrist and Pischke (2009) </w:t>
      </w:r>
      <w:r>
        <w:t>or Amiti and Weinstein (2011), we focus on a more parsimonious model specification. Table 1 provides summary statistics for our variables.</w:t>
      </w:r>
    </w:p>
    <w:p w14:paraId="3ECB54D7" w14:textId="77777777" w:rsidR="0086707B" w:rsidRPr="009B6184" w:rsidRDefault="0086707B" w:rsidP="0086707B">
      <w:pPr>
        <w:pBdr>
          <w:top w:val="single" w:sz="6" w:space="1" w:color="auto"/>
          <w:bottom w:val="single" w:sz="6" w:space="1" w:color="auto"/>
        </w:pBdr>
        <w:spacing w:before="120" w:after="120" w:line="480" w:lineRule="auto"/>
        <w:ind w:firstLine="0"/>
        <w:jc w:val="center"/>
      </w:pPr>
      <w:r>
        <w:t>Insert Table 1 about here</w:t>
      </w:r>
    </w:p>
    <w:p w14:paraId="198294D3" w14:textId="77777777" w:rsidR="0086707B" w:rsidRPr="00906F79" w:rsidRDefault="0086707B" w:rsidP="0086707B">
      <w:pPr>
        <w:spacing w:line="480" w:lineRule="auto"/>
        <w:jc w:val="both"/>
        <w:rPr>
          <w:b/>
        </w:rPr>
      </w:pPr>
      <w:r w:rsidRPr="00053CF2">
        <w:rPr>
          <w:b/>
        </w:rPr>
        <w:t>Model</w:t>
      </w:r>
      <w:r>
        <w:rPr>
          <w:b/>
        </w:rPr>
        <w:t xml:space="preserve">. </w:t>
      </w:r>
      <w:r>
        <w:t>To test our hypotheses we estimate a model of the general form:</w:t>
      </w:r>
    </w:p>
    <w:p w14:paraId="41941887" w14:textId="77777777" w:rsidR="0086707B" w:rsidRDefault="0086707B" w:rsidP="0086707B">
      <w:pPr>
        <w:spacing w:line="480" w:lineRule="auto"/>
        <w:jc w:val="both"/>
      </w:pPr>
      <w:r>
        <w:rPr>
          <w:b/>
          <w:noProof/>
          <w:position w:val="-28"/>
          <w:lang w:val="en-US"/>
        </w:rPr>
        <w:drawing>
          <wp:inline distT="0" distB="0" distL="0" distR="0" wp14:anchorId="7BC9570B" wp14:editId="761D3F06">
            <wp:extent cx="2438400" cy="431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38400" cy="431800"/>
                    </a:xfrm>
                    <a:prstGeom prst="rect">
                      <a:avLst/>
                    </a:prstGeom>
                    <a:noFill/>
                    <a:ln>
                      <a:noFill/>
                    </a:ln>
                  </pic:spPr>
                </pic:pic>
              </a:graphicData>
            </a:graphic>
          </wp:inline>
        </w:drawing>
      </w:r>
      <w:r w:rsidRPr="00260344">
        <w:t>.</w:t>
      </w:r>
      <w:r w:rsidRPr="00260344">
        <w:tab/>
      </w:r>
      <w:r w:rsidRPr="00260344">
        <w:tab/>
      </w:r>
      <w:r w:rsidRPr="00260344">
        <w:tab/>
      </w:r>
      <w:r>
        <w:tab/>
      </w:r>
      <w:r w:rsidRPr="00260344">
        <w:tab/>
        <w:t>(1)</w:t>
      </w:r>
    </w:p>
    <w:p w14:paraId="697DBD85" w14:textId="77777777" w:rsidR="0086707B" w:rsidRDefault="0086707B" w:rsidP="0086707B">
      <w:pPr>
        <w:pStyle w:val="bodytextpaper"/>
      </w:pPr>
      <w:r>
        <w:t xml:space="preserve">where Y is either a measure of corporate governance structure at the country level </w:t>
      </w:r>
      <w:r w:rsidRPr="00D151E8">
        <w:t xml:space="preserve">or our (negative) measure of environmental performance, </w:t>
      </w:r>
      <w:r w:rsidRPr="00D151E8">
        <w:rPr>
          <w:i/>
        </w:rPr>
        <w:t xml:space="preserve">Legal Origin </w:t>
      </w:r>
      <w:r>
        <w:t xml:space="preserve">is a binary variable that is equal to 1 if a country is from a common law legal environment and 0 otherwise, and X is a vector of other regressors, </w:t>
      </w:r>
      <w:r w:rsidRPr="007E527C">
        <w:rPr>
          <w:b/>
        </w:rPr>
        <w:t>x</w:t>
      </w:r>
      <w:r>
        <w:rPr>
          <w:b/>
        </w:rPr>
        <w:t xml:space="preserve">, </w:t>
      </w:r>
      <w:r w:rsidRPr="00881C6C">
        <w:t>which may include a number of interaction effects between Legal Origin and other variables of interest;</w:t>
      </w:r>
      <w:r>
        <w:rPr>
          <w:noProof/>
          <w:position w:val="-12"/>
          <w:lang w:val="en-US" w:eastAsia="en-US"/>
        </w:rPr>
        <w:drawing>
          <wp:inline distT="0" distB="0" distL="0" distR="0" wp14:anchorId="5B07B719" wp14:editId="520825E7">
            <wp:extent cx="155575" cy="233680"/>
            <wp:effectExtent l="2540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155575" cy="233680"/>
                    </a:xfrm>
                    <a:prstGeom prst="rect">
                      <a:avLst/>
                    </a:prstGeom>
                    <a:noFill/>
                    <a:ln w="9525">
                      <a:noFill/>
                      <a:miter lim="800000"/>
                      <a:headEnd/>
                      <a:tailEnd/>
                    </a:ln>
                  </pic:spPr>
                </pic:pic>
              </a:graphicData>
            </a:graphic>
          </wp:inline>
        </w:drawing>
      </w:r>
      <w:r>
        <w:t xml:space="preserve"> controls for time fixed effects, and </w:t>
      </w:r>
      <w:r>
        <w:rPr>
          <w:noProof/>
          <w:position w:val="-12"/>
          <w:lang w:val="en-US" w:eastAsia="en-US"/>
        </w:rPr>
        <w:drawing>
          <wp:inline distT="0" distB="0" distL="0" distR="0" wp14:anchorId="1DA2F75F" wp14:editId="0FF8B2EF">
            <wp:extent cx="155575" cy="233680"/>
            <wp:effectExtent l="2540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155575" cy="233680"/>
                    </a:xfrm>
                    <a:prstGeom prst="rect">
                      <a:avLst/>
                    </a:prstGeom>
                    <a:noFill/>
                    <a:ln w="9525">
                      <a:noFill/>
                      <a:miter lim="800000"/>
                      <a:headEnd/>
                      <a:tailEnd/>
                    </a:ln>
                  </pic:spPr>
                </pic:pic>
              </a:graphicData>
            </a:graphic>
          </wp:inline>
        </w:drawing>
      </w:r>
      <w:r>
        <w:t>is a control for country fixed effects.</w:t>
      </w:r>
    </w:p>
    <w:p w14:paraId="17DC864A" w14:textId="77777777" w:rsidR="0086707B" w:rsidRDefault="0086707B" w:rsidP="0086707B">
      <w:pPr>
        <w:pStyle w:val="Heading1"/>
        <w:jc w:val="center"/>
      </w:pPr>
      <w:r>
        <w:t>Results and Discussion</w:t>
      </w:r>
    </w:p>
    <w:p w14:paraId="021878BD" w14:textId="77777777" w:rsidR="0086707B" w:rsidRPr="00F61127" w:rsidRDefault="0086707B" w:rsidP="0086707B">
      <w:pPr>
        <w:pStyle w:val="bodytextpaper"/>
        <w:ind w:firstLine="0"/>
      </w:pPr>
      <w:r>
        <w:t xml:space="preserve">As discussed above, since we do not observe shareholder or stakeholder logics directly, we address our first hypothesis by </w:t>
      </w:r>
      <w:r>
        <w:rPr>
          <w:rFonts w:hint="eastAsia"/>
        </w:rPr>
        <w:t>regressing</w:t>
      </w:r>
      <w:r>
        <w:t xml:space="preserve"> our measures of</w:t>
      </w:r>
      <w:r>
        <w:rPr>
          <w:rFonts w:hint="eastAsia"/>
        </w:rPr>
        <w:t xml:space="preserve"> aggregated corporate governance (</w:t>
      </w:r>
      <w:r w:rsidRPr="00BF5CC9">
        <w:rPr>
          <w:i/>
        </w:rPr>
        <w:t>G-Index 41</w:t>
      </w:r>
      <w:r>
        <w:rPr>
          <w:rFonts w:hint="eastAsia"/>
        </w:rPr>
        <w:t>) and shareholder protection (</w:t>
      </w:r>
      <w:r w:rsidRPr="00177342">
        <w:rPr>
          <w:rFonts w:hint="eastAsia"/>
          <w:i/>
        </w:rPr>
        <w:t>Shareholder Right</w:t>
      </w:r>
      <w:r>
        <w:rPr>
          <w:rFonts w:hint="eastAsia"/>
        </w:rPr>
        <w:t>)</w:t>
      </w:r>
      <w:r>
        <w:t>,</w:t>
      </w:r>
      <w:r>
        <w:rPr>
          <w:rFonts w:hint="eastAsia"/>
        </w:rPr>
        <w:t xml:space="preserve"> respectively</w:t>
      </w:r>
      <w:r>
        <w:t xml:space="preserve">, directly </w:t>
      </w:r>
      <w:r>
        <w:rPr>
          <w:rFonts w:hint="eastAsia"/>
        </w:rPr>
        <w:t xml:space="preserve">on </w:t>
      </w:r>
      <w:r>
        <w:t xml:space="preserve">the binary variable </w:t>
      </w:r>
      <w:r>
        <w:rPr>
          <w:i/>
        </w:rPr>
        <w:t>Legal Origin</w:t>
      </w:r>
      <w:r>
        <w:rPr>
          <w:rFonts w:hint="eastAsia"/>
        </w:rPr>
        <w:t>.</w:t>
      </w:r>
    </w:p>
    <w:p w14:paraId="7FDC9272" w14:textId="77777777" w:rsidR="0086707B" w:rsidRDefault="0086707B" w:rsidP="0086707B">
      <w:pPr>
        <w:pBdr>
          <w:top w:val="single" w:sz="6" w:space="1" w:color="auto"/>
          <w:bottom w:val="single" w:sz="6" w:space="1" w:color="auto"/>
        </w:pBdr>
        <w:spacing w:before="120" w:after="120" w:line="480" w:lineRule="auto"/>
        <w:ind w:firstLine="0"/>
        <w:jc w:val="center"/>
      </w:pPr>
      <w:r>
        <w:t>Insert Table 2 about here</w:t>
      </w:r>
    </w:p>
    <w:p w14:paraId="4BEB0A90" w14:textId="77777777" w:rsidR="0086707B" w:rsidRDefault="0086707B" w:rsidP="0086707B">
      <w:pPr>
        <w:pStyle w:val="bodytextpaper"/>
      </w:pPr>
      <w:r>
        <w:t>Models</w:t>
      </w:r>
      <w:r>
        <w:rPr>
          <w:rFonts w:hint="eastAsia"/>
        </w:rPr>
        <w:t xml:space="preserve"> 1-5 in Table 2 are pooled </w:t>
      </w:r>
      <w:r>
        <w:t xml:space="preserve">least square </w:t>
      </w:r>
      <w:r>
        <w:rPr>
          <w:rFonts w:hint="eastAsia"/>
        </w:rPr>
        <w:t>regression</w:t>
      </w:r>
      <w:r>
        <w:t>s</w:t>
      </w:r>
      <w:r>
        <w:rPr>
          <w:rFonts w:hint="eastAsia"/>
        </w:rPr>
        <w:t xml:space="preserve"> and Model 6 is </w:t>
      </w:r>
      <w:r>
        <w:t>a</w:t>
      </w:r>
      <w:r>
        <w:rPr>
          <w:rFonts w:hint="eastAsia"/>
        </w:rPr>
        <w:t xml:space="preserve"> Poisson </w:t>
      </w:r>
      <w:r>
        <w:t xml:space="preserve">regression that takes the </w:t>
      </w:r>
      <w:r>
        <w:rPr>
          <w:rFonts w:hint="eastAsia"/>
        </w:rPr>
        <w:t>count-data</w:t>
      </w:r>
      <w:r>
        <w:t xml:space="preserve"> </w:t>
      </w:r>
      <w:r>
        <w:rPr>
          <w:rFonts w:hint="eastAsia"/>
        </w:rPr>
        <w:t xml:space="preserve">nature of </w:t>
      </w:r>
      <w:r>
        <w:t xml:space="preserve">the </w:t>
      </w:r>
      <w:r w:rsidRPr="00177342">
        <w:rPr>
          <w:rFonts w:hint="eastAsia"/>
          <w:i/>
        </w:rPr>
        <w:t>Shareholder Right</w:t>
      </w:r>
      <w:r>
        <w:rPr>
          <w:i/>
        </w:rPr>
        <w:t xml:space="preserve"> </w:t>
      </w:r>
      <w:r>
        <w:rPr>
          <w:rFonts w:hint="eastAsia"/>
        </w:rPr>
        <w:t>variable</w:t>
      </w:r>
      <w:r>
        <w:t xml:space="preserve"> into </w:t>
      </w:r>
      <w:r>
        <w:lastRenderedPageBreak/>
        <w:t>account</w:t>
      </w:r>
      <w:r>
        <w:rPr>
          <w:rFonts w:hint="eastAsia"/>
        </w:rPr>
        <w:t>.</w:t>
      </w:r>
      <w:r>
        <w:t xml:space="preserve"> </w:t>
      </w:r>
      <w:r>
        <w:rPr>
          <w:rFonts w:hint="eastAsia"/>
        </w:rPr>
        <w:t xml:space="preserve">All estimation results </w:t>
      </w:r>
      <w:r>
        <w:t>show</w:t>
      </w:r>
      <w:r>
        <w:rPr>
          <w:rFonts w:hint="eastAsia"/>
        </w:rPr>
        <w:t xml:space="preserve">, in support of </w:t>
      </w:r>
      <w:r>
        <w:t xml:space="preserve">our baseline </w:t>
      </w:r>
      <w:r>
        <w:rPr>
          <w:rFonts w:hint="eastAsia"/>
        </w:rPr>
        <w:t xml:space="preserve">hyp. 1, that </w:t>
      </w:r>
      <w:r>
        <w:t xml:space="preserve">a </w:t>
      </w:r>
      <w:r>
        <w:rPr>
          <w:rFonts w:hint="eastAsia"/>
        </w:rPr>
        <w:t xml:space="preserve">common law legal origin has a strong </w:t>
      </w:r>
      <w:r>
        <w:t>impact</w:t>
      </w:r>
      <w:r>
        <w:rPr>
          <w:rFonts w:hint="eastAsia"/>
        </w:rPr>
        <w:t xml:space="preserve"> on corporate governance in general as well as strengthened shareholder right</w:t>
      </w:r>
      <w:r>
        <w:t>s</w:t>
      </w:r>
      <w:r>
        <w:rPr>
          <w:rFonts w:hint="eastAsia"/>
        </w:rPr>
        <w:t xml:space="preserve"> in </w:t>
      </w:r>
      <w:r>
        <w:t>particular</w:t>
      </w:r>
      <w:r>
        <w:rPr>
          <w:rFonts w:hint="eastAsia"/>
        </w:rPr>
        <w:t>. This finding is</w:t>
      </w:r>
      <w:r>
        <w:t xml:space="preserve"> </w:t>
      </w:r>
      <w:r>
        <w:rPr>
          <w:rFonts w:hint="eastAsia"/>
        </w:rPr>
        <w:t xml:space="preserve">not surprising given the strong theoretical foundation that </w:t>
      </w:r>
      <w:r>
        <w:t xml:space="preserve">La Porta et al. </w:t>
      </w:r>
      <w:r>
        <w:rPr>
          <w:rFonts w:hint="eastAsia"/>
        </w:rPr>
        <w:t>(1998, 1999, 2002)</w:t>
      </w:r>
      <w:r>
        <w:t xml:space="preserve"> provide and that suggests </w:t>
      </w:r>
      <w:r>
        <w:rPr>
          <w:rFonts w:hint="eastAsia"/>
        </w:rPr>
        <w:t>that common law countr</w:t>
      </w:r>
      <w:r>
        <w:t>ies</w:t>
      </w:r>
      <w:r>
        <w:rPr>
          <w:rFonts w:hint="eastAsia"/>
        </w:rPr>
        <w:t xml:space="preserve"> ha</w:t>
      </w:r>
      <w:r>
        <w:t>ve</w:t>
      </w:r>
      <w:r>
        <w:rPr>
          <w:rFonts w:hint="eastAsia"/>
        </w:rPr>
        <w:t xml:space="preserve"> a </w:t>
      </w:r>
      <w:r>
        <w:t>‘</w:t>
      </w:r>
      <w:r>
        <w:rPr>
          <w:rFonts w:hint="eastAsia"/>
        </w:rPr>
        <w:t>better</w:t>
      </w:r>
      <w:r>
        <w:t>’</w:t>
      </w:r>
      <w:r>
        <w:rPr>
          <w:rFonts w:hint="eastAsia"/>
        </w:rPr>
        <w:t xml:space="preserve"> corporate governance system</w:t>
      </w:r>
      <w:r>
        <w:t xml:space="preserve"> that emphasizes the </w:t>
      </w:r>
      <w:r>
        <w:rPr>
          <w:rFonts w:hint="eastAsia"/>
        </w:rPr>
        <w:t>protect</w:t>
      </w:r>
      <w:r>
        <w:t>ion of</w:t>
      </w:r>
      <w:r>
        <w:rPr>
          <w:rFonts w:hint="eastAsia"/>
        </w:rPr>
        <w:t xml:space="preserve"> shareholder </w:t>
      </w:r>
      <w:r>
        <w:t>benefits</w:t>
      </w:r>
      <w:r>
        <w:rPr>
          <w:rFonts w:hint="eastAsia"/>
        </w:rPr>
        <w:t>.</w:t>
      </w:r>
    </w:p>
    <w:p w14:paraId="13011D7E" w14:textId="77777777" w:rsidR="0086707B" w:rsidRDefault="0086707B" w:rsidP="0086707B">
      <w:pPr>
        <w:spacing w:line="480" w:lineRule="auto"/>
        <w:ind w:firstLine="0"/>
        <w:jc w:val="both"/>
      </w:pPr>
      <w:r w:rsidRPr="00806B84">
        <w:t>With the results in Table 3 we now address the direct effect of</w:t>
      </w:r>
      <w:r>
        <w:t xml:space="preserve"> </w:t>
      </w:r>
      <w:r w:rsidRPr="00806B84">
        <w:rPr>
          <w:i/>
        </w:rPr>
        <w:t>Legal Origin</w:t>
      </w:r>
      <w:r w:rsidRPr="00806B84">
        <w:t xml:space="preserve"> on environmental performance as predicted in hyp. 3. Estimation results </w:t>
      </w:r>
      <w:r>
        <w:t>i</w:t>
      </w:r>
      <w:r w:rsidRPr="00806B84">
        <w:t xml:space="preserve">n </w:t>
      </w:r>
      <w:r>
        <w:t>Models 1-3</w:t>
      </w:r>
      <w:r w:rsidRPr="00806B84">
        <w:t xml:space="preserve"> confirm that </w:t>
      </w:r>
      <w:r>
        <w:t xml:space="preserve">a </w:t>
      </w:r>
      <w:r w:rsidRPr="00806B84">
        <w:t xml:space="preserve">carbon emission </w:t>
      </w:r>
      <w:r>
        <w:t>increasing effect of a common law shareholder logic</w:t>
      </w:r>
      <w:r w:rsidRPr="00806B84">
        <w:t xml:space="preserve"> is consistently observed even when we control for population and income variables although the statistical significance drops somewhat depending on model specification. </w:t>
      </w:r>
      <w:r>
        <w:t>The e</w:t>
      </w:r>
      <w:r w:rsidRPr="00806B84">
        <w:t>stimated coefficient</w:t>
      </w:r>
      <w:r>
        <w:t>s</w:t>
      </w:r>
      <w:r w:rsidRPr="00806B84">
        <w:t xml:space="preserve"> of </w:t>
      </w:r>
      <w:r>
        <w:t xml:space="preserve">the </w:t>
      </w:r>
      <w:r w:rsidRPr="00806B84">
        <w:t xml:space="preserve">interaction variable between Legal Origin and Population (Legal x POP) </w:t>
      </w:r>
      <w:r>
        <w:t xml:space="preserve">and </w:t>
      </w:r>
      <w:r w:rsidRPr="00806B84">
        <w:t>Legal Origin and GDPPC (Legal</w:t>
      </w:r>
      <w:r>
        <w:t xml:space="preserve"> </w:t>
      </w:r>
      <w:r w:rsidRPr="00806B84">
        <w:t>x</w:t>
      </w:r>
      <w:r>
        <w:t xml:space="preserve"> </w:t>
      </w:r>
      <w:r w:rsidRPr="00806B84">
        <w:t xml:space="preserve">GDPPC) are </w:t>
      </w:r>
      <w:r>
        <w:t xml:space="preserve">likewise </w:t>
      </w:r>
      <w:r w:rsidRPr="00806B84">
        <w:t xml:space="preserve">positive, suggesting that the </w:t>
      </w:r>
      <w:r>
        <w:t xml:space="preserve">negative environmental impact of a common law shareholder logic </w:t>
      </w:r>
      <w:r w:rsidRPr="00806B84">
        <w:t xml:space="preserve">is intensified as a country’s urban population </w:t>
      </w:r>
      <w:r>
        <w:t xml:space="preserve">or income </w:t>
      </w:r>
      <w:r w:rsidRPr="00806B84">
        <w:t>increases.</w:t>
      </w:r>
    </w:p>
    <w:p w14:paraId="2CD522D2" w14:textId="77777777" w:rsidR="0086707B" w:rsidRDefault="0086707B" w:rsidP="0086707B">
      <w:pPr>
        <w:pBdr>
          <w:top w:val="single" w:sz="6" w:space="1" w:color="auto"/>
          <w:bottom w:val="single" w:sz="6" w:space="1" w:color="auto"/>
        </w:pBdr>
        <w:spacing w:before="120" w:after="120" w:line="480" w:lineRule="auto"/>
        <w:ind w:firstLine="0"/>
        <w:jc w:val="center"/>
      </w:pPr>
      <w:r>
        <w:t>Insert Table 3 about here</w:t>
      </w:r>
    </w:p>
    <w:p w14:paraId="07A5A709" w14:textId="77777777" w:rsidR="0086707B" w:rsidRDefault="0086707B" w:rsidP="0086707B">
      <w:pPr>
        <w:pStyle w:val="bodytextpaper"/>
      </w:pPr>
      <w:r>
        <w:t xml:space="preserve">We argue that these results reflect the institutional logic of a common law environment that sees private property as the prerogative of the owner and thus is not conducive to interference by other stakeholders. Accordingly, managers and shareholders decide the environmental ‘strategy’ of a firm absent much outside interference. The fact that this apparently leads to worse pollution seems to reflect a negative sentiment of shareholders that environmental issues are detrimental to profit goals. </w:t>
      </w:r>
    </w:p>
    <w:p w14:paraId="7905C873" w14:textId="77777777" w:rsidR="0086707B" w:rsidRDefault="0086707B" w:rsidP="0086707B">
      <w:pPr>
        <w:pStyle w:val="bodytextpaper"/>
      </w:pPr>
      <w:r>
        <w:t xml:space="preserve">Table 4 provides further evidence in support of hyp. 3 as Models 2-5 indicate a </w:t>
      </w:r>
      <w:r>
        <w:lastRenderedPageBreak/>
        <w:t>strong direct effect of legal origin on emissions even controlling for governance variables. Model 1 in Table 4 furthermore provides evidence regarding hyp. 2, which suggests that a ‘better’ governance system (i.e., strong shareholder protection) will lead to a worse environmental performance than systems that leave more room for the interests of other stakeholders. In line with this prediction, we find a significant increase in CO</w:t>
      </w:r>
      <w:r w:rsidRPr="0067126F">
        <w:rPr>
          <w:vertAlign w:val="subscript"/>
        </w:rPr>
        <w:t>2</w:t>
      </w:r>
      <w:r>
        <w:t xml:space="preserve"> emissions for higher values of the </w:t>
      </w:r>
      <w:r w:rsidRPr="00F77707">
        <w:rPr>
          <w:i/>
        </w:rPr>
        <w:t>G-Index 41</w:t>
      </w:r>
      <w:r>
        <w:t xml:space="preserve">. For our other corporate governance proxies, however, the results, which are displayed in Table 5, are somewhat mixed. Specifically, while the </w:t>
      </w:r>
      <w:r w:rsidRPr="00D87980">
        <w:rPr>
          <w:i/>
        </w:rPr>
        <w:t>Shareholder Right</w:t>
      </w:r>
      <w:r>
        <w:rPr>
          <w:i/>
        </w:rPr>
        <w:t>s</w:t>
      </w:r>
      <w:r>
        <w:t xml:space="preserve"> variable in Model 1 of Table 5 is not significant, the additional variables of </w:t>
      </w:r>
      <w:r w:rsidRPr="00123F33">
        <w:rPr>
          <w:i/>
        </w:rPr>
        <w:t>Creditor Rights</w:t>
      </w:r>
      <w:r>
        <w:rPr>
          <w:i/>
        </w:rPr>
        <w:t xml:space="preserve"> </w:t>
      </w:r>
      <w:r>
        <w:t xml:space="preserve">and </w:t>
      </w:r>
      <w:r w:rsidRPr="00A25889">
        <w:rPr>
          <w:i/>
        </w:rPr>
        <w:t>Wedge</w:t>
      </w:r>
      <w:r>
        <w:rPr>
          <w:i/>
        </w:rPr>
        <w:t xml:space="preserve"> </w:t>
      </w:r>
      <w:r>
        <w:t>(for both of which higher values indicate a worsening of shareholder protection for the benefit of other parties) are significant in the expected direction – the more these variables are in the favour of shareholders (i.e., the lower the value of the same), the higher the CO</w:t>
      </w:r>
      <w:r w:rsidRPr="00A25889">
        <w:rPr>
          <w:vertAlign w:val="subscript"/>
        </w:rPr>
        <w:t>2</w:t>
      </w:r>
      <w:r>
        <w:t xml:space="preserve"> emissions.</w:t>
      </w:r>
    </w:p>
    <w:p w14:paraId="6DE7EF37" w14:textId="77777777" w:rsidR="0086707B" w:rsidRDefault="0086707B" w:rsidP="0086707B">
      <w:pPr>
        <w:pBdr>
          <w:top w:val="single" w:sz="6" w:space="1" w:color="auto"/>
          <w:bottom w:val="single" w:sz="6" w:space="1" w:color="auto"/>
        </w:pBdr>
        <w:spacing w:before="120" w:after="120" w:line="480" w:lineRule="auto"/>
        <w:ind w:firstLine="0"/>
        <w:jc w:val="center"/>
      </w:pPr>
      <w:r>
        <w:t>Insert Table 4 and 5 about here</w:t>
      </w:r>
    </w:p>
    <w:p w14:paraId="75D11287" w14:textId="77777777" w:rsidR="0086707B" w:rsidRDefault="0086707B" w:rsidP="0086707B">
      <w:pPr>
        <w:pStyle w:val="bodytextpaper"/>
      </w:pPr>
      <w:r>
        <w:t xml:space="preserve">While these results provide initial support for the existence of a direct effect of corporate governance on environmental performance, hyp. 4 suggests that a given level of ‘good’ corporate governance will have different implications depending on the underlying logics of the people interacting with these rules. Table 4 and 5, in fact, provide strong evidence for the existence of such a moderating effect. First, splitting the sample into common law and civil law countries as done in Models 6 and 7 in Table 4 shows that the level of corporate governance has essentially </w:t>
      </w:r>
      <w:r w:rsidRPr="006B5E3E">
        <w:rPr>
          <w:u w:val="single"/>
        </w:rPr>
        <w:t>no</w:t>
      </w:r>
      <w:r>
        <w:t xml:space="preserve"> effect on CO</w:t>
      </w:r>
      <w:r w:rsidRPr="00F77707">
        <w:rPr>
          <w:vertAlign w:val="subscript"/>
        </w:rPr>
        <w:t>2</w:t>
      </w:r>
      <w:r>
        <w:t xml:space="preserve"> emissions in a civil law country, while the earlier observed negative effect on CO</w:t>
      </w:r>
      <w:r w:rsidRPr="00ED1381">
        <w:rPr>
          <w:vertAlign w:val="subscript"/>
        </w:rPr>
        <w:t>2</w:t>
      </w:r>
      <w:r>
        <w:t xml:space="preserve"> of ‘good’ corporate governance on environmental performance seems to come exclusively from </w:t>
      </w:r>
      <w:r w:rsidRPr="000F749A">
        <w:t>common</w:t>
      </w:r>
      <w:r>
        <w:t xml:space="preserve"> </w:t>
      </w:r>
      <w:r w:rsidRPr="000F749A">
        <w:t xml:space="preserve">law countries. </w:t>
      </w:r>
    </w:p>
    <w:p w14:paraId="70C0C77E" w14:textId="77777777" w:rsidR="0086707B" w:rsidRDefault="0086707B" w:rsidP="0086707B">
      <w:pPr>
        <w:pStyle w:val="bodytextpaper"/>
      </w:pPr>
      <w:r>
        <w:lastRenderedPageBreak/>
        <w:t xml:space="preserve">The same pattern can be observed across Model 4 in Table 5. The estimated coefficient of the interaction variable between </w:t>
      </w:r>
      <w:r w:rsidRPr="00FF0088">
        <w:rPr>
          <w:i/>
        </w:rPr>
        <w:t>Shareholder Rights</w:t>
      </w:r>
      <w:r>
        <w:t xml:space="preserve"> and </w:t>
      </w:r>
      <w:r w:rsidRPr="00FF0088">
        <w:rPr>
          <w:i/>
        </w:rPr>
        <w:t>Legal Origin</w:t>
      </w:r>
      <w:r>
        <w:t xml:space="preserve"> is positive and statistically significant at conventional levels. This finding suggests a significant CO</w:t>
      </w:r>
      <w:r w:rsidRPr="00ED1381">
        <w:rPr>
          <w:vertAlign w:val="subscript"/>
        </w:rPr>
        <w:t>2</w:t>
      </w:r>
      <w:r>
        <w:t xml:space="preserve"> increasing effect in common law countries compared to civil law countries in the presence of strong shareholder protection; similarly, an absence of </w:t>
      </w:r>
      <w:r w:rsidRPr="00BF7C7D">
        <w:rPr>
          <w:i/>
        </w:rPr>
        <w:t>creditor rights</w:t>
      </w:r>
      <w:r>
        <w:t xml:space="preserve"> (and thus a strengthening of shareholders) would significantly increase emissions in common-law countries vis-à-vis civil law countries; for the </w:t>
      </w:r>
      <w:r>
        <w:rPr>
          <w:i/>
        </w:rPr>
        <w:t>W</w:t>
      </w:r>
      <w:r w:rsidRPr="00BF7C7D">
        <w:rPr>
          <w:i/>
        </w:rPr>
        <w:t>edge</w:t>
      </w:r>
      <w:r>
        <w:t xml:space="preserve">, however, we find counterintuitive results that weaken the support for our thesis somewhat. Overall, however, these results indicate that in countries with a predominantly stakeholder focused logic governance issues do not seem to matter – presumably, environmental issues are taken into consideration whether or not governance systems are strong or weak. In more shareholder focused common law countries, however, strong rights provided to shareholders are apparently used to block environmental initiatives. We further investigate this link by forming interactions between </w:t>
      </w:r>
      <w:r w:rsidRPr="00BF7C7D">
        <w:rPr>
          <w:i/>
        </w:rPr>
        <w:t>Legal Origin</w:t>
      </w:r>
      <w:r>
        <w:t xml:space="preserve"> and the top and bottom quartiles of </w:t>
      </w:r>
      <w:r w:rsidRPr="00BF7C7D">
        <w:rPr>
          <w:i/>
        </w:rPr>
        <w:t>G-Index 41</w:t>
      </w:r>
      <w:r>
        <w:t xml:space="preserve"> (</w:t>
      </w:r>
      <w:r w:rsidRPr="00BF7C7D">
        <w:rPr>
          <w:i/>
        </w:rPr>
        <w:t>G-Index</w:t>
      </w:r>
      <w:r w:rsidRPr="00BF7C7D">
        <w:rPr>
          <w:i/>
          <w:vertAlign w:val="subscript"/>
        </w:rPr>
        <w:t>75th</w:t>
      </w:r>
      <w:r w:rsidRPr="00BF7C7D">
        <w:rPr>
          <w:i/>
        </w:rPr>
        <w:t xml:space="preserve"> × Legal Origin</w:t>
      </w:r>
      <w:r>
        <w:t xml:space="preserve">, </w:t>
      </w:r>
      <w:r w:rsidRPr="00BF7C7D">
        <w:rPr>
          <w:i/>
        </w:rPr>
        <w:t>G-Index</w:t>
      </w:r>
      <w:r w:rsidRPr="00BF7C7D">
        <w:rPr>
          <w:i/>
          <w:vertAlign w:val="subscript"/>
        </w:rPr>
        <w:t>25th</w:t>
      </w:r>
      <w:r w:rsidRPr="00BF7C7D">
        <w:rPr>
          <w:i/>
        </w:rPr>
        <w:t xml:space="preserve"> × Legal Origin</w:t>
      </w:r>
      <w:r>
        <w:t xml:space="preserve">). As models 3-5 in table 4 show, while very ‘good’ governance has no further impact in a common law country, ‘bad’ governance structures actually lead to reduced emissions – thus, in common law countries, bad governance seems to be good for the environment! Overall, we see these results as strong support for hyp. 4, and interpret them as suggesting </w:t>
      </w:r>
      <w:r w:rsidRPr="00343CA8">
        <w:t xml:space="preserve">that it is not so much the actual governance mechanisms (e.g., board independence, incentive pay etc. – e.g., </w:t>
      </w:r>
      <w:r>
        <w:t>Ko</w:t>
      </w:r>
      <w:r w:rsidRPr="00343CA8">
        <w:t xml:space="preserve">ck et al. </w:t>
      </w:r>
      <w:r>
        <w:t>2012) that shape s</w:t>
      </w:r>
      <w:r w:rsidRPr="00343CA8">
        <w:t>ocial outcomes like environmental performance, but ‘how’ these mechanisms are employed by actors with different logics. This furthe</w:t>
      </w:r>
      <w:r>
        <w:t>r</w:t>
      </w:r>
      <w:r w:rsidRPr="00343CA8">
        <w:t xml:space="preserve"> implies that the governance structure that emerges in a </w:t>
      </w:r>
      <w:r w:rsidRPr="00343CA8">
        <w:lastRenderedPageBreak/>
        <w:t>common law system to protect property rights is not per se ‘bad’</w:t>
      </w:r>
      <w:r>
        <w:t xml:space="preserve"> for social issues as, for example, Collison et al. (2012) suggest</w:t>
      </w:r>
      <w:r w:rsidRPr="00343CA8">
        <w:t>, but that in combination with the institutional logic of focusing primarily on shareholder interests otherwise equivalent structures turn into socially bad outcomes.</w:t>
      </w:r>
    </w:p>
    <w:p w14:paraId="2EB20FC1" w14:textId="77777777" w:rsidR="0086707B" w:rsidRDefault="0086707B" w:rsidP="0086707B">
      <w:pPr>
        <w:pStyle w:val="bodytextpaper"/>
      </w:pPr>
      <w:r>
        <w:t xml:space="preserve">Our last set of hypotheses take this idea further by suggesting that if external events bring different logics closer together, outcomes will become more similar again. Table 6 provides results for such events, the </w:t>
      </w:r>
      <w:r w:rsidRPr="002C409A">
        <w:rPr>
          <w:i/>
        </w:rPr>
        <w:t>Earth Summit</w:t>
      </w:r>
      <w:r>
        <w:t xml:space="preserve"> and the </w:t>
      </w:r>
      <w:r w:rsidRPr="002C409A">
        <w:rPr>
          <w:i/>
        </w:rPr>
        <w:t>Kyoto Protocol</w:t>
      </w:r>
      <w:r>
        <w:t>. Looking at the direct effect of the voluntary commitments of the Earth Summit or the binding action plans of the Kyoto Protocol, we find essentially no significant direct CO</w:t>
      </w:r>
      <w:r w:rsidRPr="002C409A">
        <w:rPr>
          <w:vertAlign w:val="subscript"/>
        </w:rPr>
        <w:t>2</w:t>
      </w:r>
      <w:r>
        <w:t xml:space="preserve"> reducing effect. This finding is consistent with much public resignation related to the alleged ineffectiveness of these international </w:t>
      </w:r>
      <w:r w:rsidRPr="000A6F24">
        <w:t>agreements (Purvis, 2004; Fisher et al., 2004</w:t>
      </w:r>
      <w:r>
        <w:t>). However</w:t>
      </w:r>
      <w:r w:rsidRPr="000A6F24">
        <w:t>, the interactions of the two</w:t>
      </w:r>
      <w:r>
        <w:t xml:space="preserve"> variables proxying for the initial agreements (</w:t>
      </w:r>
      <w:r w:rsidRPr="004F3C4B">
        <w:rPr>
          <w:i/>
        </w:rPr>
        <w:t>Earth Summit</w:t>
      </w:r>
      <w:r>
        <w:t xml:space="preserve"> and </w:t>
      </w:r>
      <w:r w:rsidRPr="004F3C4B">
        <w:rPr>
          <w:i/>
        </w:rPr>
        <w:t>Kyoto 97</w:t>
      </w:r>
      <w:r>
        <w:t xml:space="preserve">) with </w:t>
      </w:r>
      <w:r w:rsidRPr="002C409A">
        <w:rPr>
          <w:i/>
        </w:rPr>
        <w:t>Legal Origins</w:t>
      </w:r>
      <w:r>
        <w:t xml:space="preserve"> are both negative and highly significant, indicating that the emissions reduction effect of these agreements is much stronger in countries with a common law legal origin. This provides strong support for our hyp. 5 and the associated idea that these agreements and the regulatory reactions or changes to the public discourse and perception of environmental issues changes the shareholder logic in common law countries to either become, on the margin, substantively similar to a stakeholder logic, or at least affect the contingencies in such a way that a shareholder logic would yield similar effects as a stakeholder logic. </w:t>
      </w:r>
    </w:p>
    <w:p w14:paraId="00133702" w14:textId="77777777" w:rsidR="0086707B" w:rsidRDefault="0086707B" w:rsidP="0086707B">
      <w:pPr>
        <w:pBdr>
          <w:top w:val="single" w:sz="6" w:space="1" w:color="auto"/>
          <w:bottom w:val="single" w:sz="6" w:space="1" w:color="auto"/>
        </w:pBdr>
        <w:spacing w:before="120" w:after="120" w:line="480" w:lineRule="auto"/>
        <w:ind w:firstLine="0"/>
        <w:jc w:val="center"/>
      </w:pPr>
      <w:r>
        <w:t>Insert Table 6 about here</w:t>
      </w:r>
    </w:p>
    <w:p w14:paraId="7C31FDAC" w14:textId="77777777" w:rsidR="0086707B" w:rsidRDefault="0086707B" w:rsidP="0086707B">
      <w:pPr>
        <w:pStyle w:val="bodytextpaper"/>
      </w:pPr>
      <w:r>
        <w:t xml:space="preserve">The implementation proxy </w:t>
      </w:r>
      <w:r w:rsidRPr="00A8204D">
        <w:rPr>
          <w:i/>
        </w:rPr>
        <w:t>Kyoto 05</w:t>
      </w:r>
      <w:r>
        <w:t xml:space="preserve">, as well as the interaction of the same with legal origins, while showing signs in the right direction, are not significant. However, the </w:t>
      </w:r>
      <w:r>
        <w:lastRenderedPageBreak/>
        <w:t xml:space="preserve">fact that the mere start of the implementation phase of the Kyoto agreement does not seem to create an additional impetus of change to the institutional logic of common law countries and, furthermore, that the interactions between </w:t>
      </w:r>
      <w:r w:rsidRPr="00BF7C7D">
        <w:rPr>
          <w:i/>
        </w:rPr>
        <w:t>Legal Origins</w:t>
      </w:r>
      <w:r>
        <w:t xml:space="preserve"> and the three Agreement/Implementation variables show a clearly decreasing magnitude of coefficients from the earliest (</w:t>
      </w:r>
      <w:r w:rsidRPr="00FE14AC">
        <w:rPr>
          <w:i/>
        </w:rPr>
        <w:t>Earth Summit</w:t>
      </w:r>
      <w:r>
        <w:t>) to the latest (</w:t>
      </w:r>
      <w:r w:rsidRPr="00FE14AC">
        <w:rPr>
          <w:i/>
        </w:rPr>
        <w:t>Kyoto 05</w:t>
      </w:r>
      <w:r>
        <w:t>), provides further support for the overall idea that we are seeing a process of convergence whereby at least for the area of environmental management shareholder logic gives way for a more stakeholder focused approach even in common law countries. The effect of further and further external changes of the same nature might then lead to decreasing marginal effects.</w:t>
      </w:r>
    </w:p>
    <w:p w14:paraId="24DDA74C" w14:textId="77777777" w:rsidR="0086707B" w:rsidRDefault="0086707B" w:rsidP="0086707B">
      <w:pPr>
        <w:pStyle w:val="Heading1"/>
        <w:jc w:val="center"/>
      </w:pPr>
      <w:r>
        <w:t>Limitations</w:t>
      </w:r>
    </w:p>
    <w:p w14:paraId="6667E0CE" w14:textId="77777777" w:rsidR="0086707B" w:rsidRDefault="0086707B" w:rsidP="0086707B">
      <w:pPr>
        <w:pStyle w:val="bodytextpaper"/>
      </w:pPr>
      <w:r w:rsidRPr="00716708">
        <w:t xml:space="preserve">As every study, our paper has </w:t>
      </w:r>
      <w:r>
        <w:t>some</w:t>
      </w:r>
      <w:r w:rsidRPr="00716708">
        <w:t xml:space="preserve"> limitations that should be taken into account when interpreting our results. Due to data and space constraints our analysis was squarely focused on the country level. While this approach corresponds to the focus on legal origins and prior work in this tradition</w:t>
      </w:r>
      <w:r>
        <w:t xml:space="preserve"> (e.g., La Porta et al. 1997, 2000; Collison et al., 2012)</w:t>
      </w:r>
      <w:r w:rsidRPr="00716708">
        <w:t xml:space="preserve">, </w:t>
      </w:r>
      <w:r w:rsidRPr="006B3C46">
        <w:t>it obscures the heterogeneity of institutional</w:t>
      </w:r>
      <w:r>
        <w:t xml:space="preserve"> logics at the level of individual actors. Likewise, factors such as the presence of</w:t>
      </w:r>
      <w:r w:rsidRPr="00716708">
        <w:t xml:space="preserve"> </w:t>
      </w:r>
      <w:r>
        <w:t xml:space="preserve">MNCs that may ‘import’ different institutional logics are not accounted for in our model. Yet, as Tan and Wang (2011) suggest, the behavior of MNCs in a host country may range from insistence on their own existing logics to symbolic or substantive acceptance of the logic prevailing in the host country. For our current study we therefore assume that the effects of MNCs will tend to cancel out and blend in with the variation in individual logics that should be present in any country, and that legal origins are strong enough to sway the balance of institutional logics in a given country in a predictable direction. However, in addressing our final </w:t>
      </w:r>
      <w:r>
        <w:lastRenderedPageBreak/>
        <w:t>hypothesis we have already explicitly addressed the idea that this balance may evolve due to external events. In any case we believe that a promising avenue for future work would be to integrate firm level and other more fine-grained data in order to refine our understanding of how heterogeneous institutional logics co-evolve.</w:t>
      </w:r>
    </w:p>
    <w:p w14:paraId="3A2822A4" w14:textId="77777777" w:rsidR="0086707B" w:rsidRPr="006109FC" w:rsidRDefault="0086707B" w:rsidP="0086707B">
      <w:pPr>
        <w:pStyle w:val="bodytextpaper"/>
      </w:pPr>
      <w:r>
        <w:t>Similarly, we have suggested that international environmental agreements might act in two rather different ways on institutional logics – by changing the nature of a shareholder logic itself, or by simply altering contingencies such that the same shareholder logic still leads to stakeholder friendly outcomes. While our results show indeed a convergence process, we were not able to disentangle which type of change actually happened, i.e., did shareholder-focused owners and managers become more stakeholder oriented? Or did they simply realize that what is best for the environment also is best for themselves? This, we believe, is an important challenge for future studies.</w:t>
      </w:r>
      <w:r w:rsidRPr="00343CA8">
        <w:t xml:space="preserve"> </w:t>
      </w:r>
    </w:p>
    <w:p w14:paraId="30C5C552" w14:textId="77777777" w:rsidR="0086707B" w:rsidRPr="009C4A40" w:rsidRDefault="0086707B" w:rsidP="0086707B">
      <w:pPr>
        <w:pStyle w:val="Heading1"/>
        <w:jc w:val="center"/>
      </w:pPr>
      <w:r w:rsidRPr="009C4A40">
        <w:t>Conclusions</w:t>
      </w:r>
    </w:p>
    <w:p w14:paraId="2E2FA92A" w14:textId="77777777" w:rsidR="0086707B" w:rsidRDefault="0086707B" w:rsidP="0086707B">
      <w:pPr>
        <w:pStyle w:val="bodytextpaper"/>
        <w:ind w:firstLine="0"/>
      </w:pPr>
      <w:r>
        <w:t>We have developed a theoretical model of ‘environmental governance’ that extends prior approaches by a crucial element – the origins of law and the associated institutional logics within a given country. We suggest that these legal origins, or more precisely, the underlying philosophies regarding freedom, property and commonality, have a strong shaping influence on the explicit corporate governance systems, which in turn affect the propensity of firms to incorporate the demands of various stakeholder groups. In the context of environmental performance, we argue and show that the effects of these underlying logics occur directly, are mediated via governance systems, and, perhaps most importantly, act to moderate the impact of these governance systems.</w:t>
      </w:r>
    </w:p>
    <w:p w14:paraId="757989F2" w14:textId="77777777" w:rsidR="0086707B" w:rsidRDefault="0086707B" w:rsidP="0086707B">
      <w:pPr>
        <w:pStyle w:val="bodytextpaper"/>
      </w:pPr>
      <w:r>
        <w:t xml:space="preserve">While the connection between legal origins and governance systems has been </w:t>
      </w:r>
      <w:r>
        <w:lastRenderedPageBreak/>
        <w:t xml:space="preserve">made in prior literature (Daniel et al., 2012), we have provided a model of how these legal origins and distinct logics will eventually impact the environmental performance of firms, thereby providing a missing link to the environmental governance literature as well as contributing to the delineation of the legal origins model by exploring a distinct social outcome that complements recent work by Collison et al. (2012). </w:t>
      </w:r>
    </w:p>
    <w:p w14:paraId="52ADF303" w14:textId="77777777" w:rsidR="0086707B" w:rsidRDefault="0086707B" w:rsidP="0086707B">
      <w:pPr>
        <w:pStyle w:val="bodytextpaper"/>
      </w:pPr>
      <w:r w:rsidRPr="00695263">
        <w:t>Utilizing aggregated data at the country level provided strong support for our theses in the context of CO</w:t>
      </w:r>
      <w:r w:rsidRPr="00695263">
        <w:rPr>
          <w:vertAlign w:val="subscript"/>
        </w:rPr>
        <w:t>2</w:t>
      </w:r>
      <w:r w:rsidRPr="00695263">
        <w:t xml:space="preserve"> emissions as an important environmental outcome variable.</w:t>
      </w:r>
      <w:r>
        <w:t xml:space="preserve"> Overall, our results indicate that common law countries, due to their intrinsically more shareholder-focused logic, face significantly higher levels of emissions – a situation that is ironically even exacerbated when governance is ‘good’ in a traditional sense (i.e., providing strong protection for shareholders). Accordingly, when analysing the effect of governance systems on stakeholder related issues such as environmental performance the nature of the institutional logics in a given country environment ought to be taken into account to avoid confounding the results. Additionally, these institutional logics are likely to develop over time, suggesting that empirical studies that only look at one country environment in a specific time frame may come to conclusions about the effect of variables such as corporate governance mechanisms that, in fact, are more reflective of a particular state of development of the underlying logics than of the focal variable at hand. For example, Kock et al. (2012) report for the US context (a classical common law country) that ‘good’ governance is associated with high environmental performance. However, in their analysis they focused on data for the years 1998 and 2000, which reflects a time period where the underlying institutional logic in the US had already been affected by the Earth Summit and the Kyoto protocol, and the logic of pro-active </w:t>
      </w:r>
      <w:r>
        <w:lastRenderedPageBreak/>
        <w:t xml:space="preserve">environmental management (e.g., King and Lenox, 2001) had already proliferated to some extent. Likewise, the US EPA had started in the 1990s to include many more chemicals on their watchlist for the disclosure of environmental spills (EPA TRI program timeline). These effects, as we propose in this paper, have likely already shifted a formerly purely shareholder centric view towards more accommodation of stakeholder perspectives as well as changed the perceived payoffs of environmental strategies for shareholders, thereby altering the effects of governance mechanisms. In fact, one key </w:t>
      </w:r>
      <w:r w:rsidRPr="0052466C">
        <w:t xml:space="preserve">finding of our study is that it is not so much the set of </w:t>
      </w:r>
      <w:r w:rsidRPr="00716708">
        <w:t xml:space="preserve">actual governance mechanisms (e.g., board </w:t>
      </w:r>
      <w:r>
        <w:t>compensation, pays structure</w:t>
      </w:r>
      <w:r w:rsidRPr="00716708">
        <w:t xml:space="preserve"> etc. – e.g., Kock et al. 2012) that shape social outcomes like environmental performance, but ‘how’ these mechanisms are employed by actors with different logics.</w:t>
      </w:r>
      <w:r w:rsidRPr="0052466C">
        <w:t xml:space="preserve"> Future research could profitably further develop our</w:t>
      </w:r>
      <w:r>
        <w:t xml:space="preserve"> understanding of these temporal structures of changing institutional logics and governance mechanisms, while regulators and other decision makers should consider the effects documented here when interpreting and acting upon empirical studies linking governance structures and environmental outcomes.</w:t>
      </w:r>
    </w:p>
    <w:p w14:paraId="76509BB8" w14:textId="77777777" w:rsidR="0086707B" w:rsidRDefault="0086707B" w:rsidP="0086707B">
      <w:pPr>
        <w:pStyle w:val="bodytextpaper"/>
      </w:pPr>
      <w:r>
        <w:t>The basic idea that a shareholder focused logic leads to a lower emphasis on the environment, and a more stakeholder friendly logic creates better environmental outcomes seems actually pretty straightforward. In this sense, our first set of hypotheses and results provides further support for Collison et al. (2012) who have shown with a range of indicators of societal well-being that the superiority La Porta et al. claim for the common law system extends only or primarily to economic but not to social outcomes.</w:t>
      </w:r>
    </w:p>
    <w:p w14:paraId="0D72D5B0" w14:textId="77777777" w:rsidR="0086707B" w:rsidRDefault="0086707B" w:rsidP="0086707B">
      <w:pPr>
        <w:pStyle w:val="bodytextpaper"/>
      </w:pPr>
      <w:r>
        <w:t xml:space="preserve">Yet, at least in the context of environmental performance, social outcomes do not necessarily have to suffer in a common law system. In fact, we started our theoretical </w:t>
      </w:r>
      <w:r>
        <w:lastRenderedPageBreak/>
        <w:t xml:space="preserve">discussion with an analysis of why, exactly, a shareholder focused logic and corporate governance systems that give primacy to the same would lead to worse environmental outcomes – in a nutshell, when shareholder see environmental efforts as a cost whose benefits others enjoy and simultaneously do not have specific values or beliefs that compel them to benefit stakeholders anyhow! Thus, the institutional logic that determines decision-making by firms in common law countries is dominated by shareholders, which are negatively predisposed to ‘wasting’ their money on the environment. This assessment, however, prompted us to investigate how that ‘logic’ might actually change in such a way that protection of the environment is seen in a more positive light. This could happen if either the institutional logic itself changes to include benefitting stakeholders as a moral objective and/or if the cost/benefits equation of environmental investments changes, for example if environmental activities are increasingly seen as a potential competitive advantage – as appears to be the case for many environmentally pro-active firms in recent times (e,g. King and Lenox, 2002) – or if environmental underperformance becomes a costly liability due to governmental or market reactions. </w:t>
      </w:r>
    </w:p>
    <w:p w14:paraId="097C6D86" w14:textId="77777777" w:rsidR="0086707B" w:rsidRDefault="0086707B" w:rsidP="0086707B">
      <w:pPr>
        <w:pStyle w:val="bodytextpaper"/>
      </w:pPr>
      <w:r>
        <w:t xml:space="preserve">Our results also add to the debate on the effectiveness or futility of international environmental agreements. While widespread disappointment with the lacking support of </w:t>
      </w:r>
      <w:r w:rsidRPr="0078122F">
        <w:t>the Kyoto Protocol (e.g., non-ratification by the USA – Manne and Richels, 2001; Lahrach et al., 2004) and the more recent near-failure of the Doha Conference (Keating, 2012</w:t>
      </w:r>
      <w:r>
        <w:t>;</w:t>
      </w:r>
      <w:r w:rsidRPr="00931B4F">
        <w:t xml:space="preserve"> </w:t>
      </w:r>
      <w:r>
        <w:t>see also the non-significant main effects of the agreement dummies in our table 6</w:t>
      </w:r>
      <w:r w:rsidRPr="0078122F">
        <w:t>) express doubts as to the ability of nation</w:t>
      </w:r>
      <w:r>
        <w:t>s</w:t>
      </w:r>
      <w:r w:rsidRPr="0078122F">
        <w:t xml:space="preserve"> to overcome the classical ‘tragedy</w:t>
      </w:r>
      <w:r>
        <w:t xml:space="preserve"> of the commons’ problematic of worldwide pollution increases, our results provide a glimmer of hope for the future of international efforts to stem against the climate change tide by </w:t>
      </w:r>
      <w:r>
        <w:lastRenderedPageBreak/>
        <w:t xml:space="preserve">showing that these agreements do, in fact, have an impact, particularly in the countries that seem least prone to environmental protection to begin with. Our study reveals that we cannot simply judge the results of these vast, multilateral agreements by looking at the average ‘return’ across all countries. Rather, we need to take into account the different contingencies, i.e., the institutional logics prevailing in each country. Countries that are already quite socialized in a stakeholder focus may, in fact, not need these agreements – if their governments commit to a scheme such as the Kyoto Protocol, the resulting signals and enforcement actions may simply not add anything to what is already being done. To quote Eberlein and Matten (2009: 251) again, </w:t>
      </w:r>
      <w:r w:rsidRPr="00716708">
        <w:rPr>
          <w:i/>
          <w:sz w:val="20"/>
        </w:rPr>
        <w:t>“the German case points to the fact that with strong civil society pressures towards greener business practices there are strong incentives for voluntary business initiatives towards ethical behaviour.”</w:t>
      </w:r>
      <w:r>
        <w:t xml:space="preserve"> Thus, stakeholder focused countries are not ‘low hanging’ fruits from the perspective of scoring visible successes with such agreements as their constituencies are likely to have formed a strong stakeholder focused business ethics already, potentially even leading to an environmental performance ahead of regulation. Rather, an effect might come from countries where due to a shareholder focused logic the discrepancy between current situation and new mandates by the government is largest. Governments endorsing and promoting new, stakeholder oriented values essentially prompt isomorphic tendencies (DiMaggio and Powell, 1983) as well as create legitimacy gaps for businesses (see also discussion in Herremans et al., 2009), and by proposing new regulation or market based mechanisms like emission trading change the current logic of how to attain profitability. While these changes are likely to elicit contention and strife (just as in the prior evidence for Canada quoted above), over time firms may acquiesce to a new logic – or simply find that their old logic of shareholder profit maximization, given the new contingencies, is best served by also accommodating </w:t>
      </w:r>
      <w:r>
        <w:lastRenderedPageBreak/>
        <w:t>stakeholders – not for morale, but pragmatic reasons.</w:t>
      </w:r>
      <w:r w:rsidRPr="00D62B20">
        <w:t xml:space="preserve"> </w:t>
      </w:r>
      <w:r>
        <w:t xml:space="preserve">Organizers of international agreements should therefore focus on engaging governments of countries with the largest gap between current and desired logics and to help these governments in leveraging the instruments discussed above to effect substantial changes to institutional logics or change the contingencies of business to align shareholder and stakeholder interests. </w:t>
      </w:r>
    </w:p>
    <w:p w14:paraId="05826415" w14:textId="77777777" w:rsidR="0086707B" w:rsidRDefault="0086707B" w:rsidP="0086707B">
      <w:pPr>
        <w:pStyle w:val="bodytextpaper"/>
      </w:pPr>
      <w:r>
        <w:t>While our study adds the importance of the endowment with a specific institutional logic due to countries’ legal origins to recent efforts at understanding interactions between businesses, governments, regulation and ethics (Eberlein and Matten, 2009), competing logics of populations of organizations within industries (Herremans et al., 2009), and the emerging literature on environmental governance (e.g., Kock et al, 2012, Berrone et al, 2010), we stop short of identifying to what extent international environmental agreements indeed are able to change the nature of specific actors logics or simply affect the contingencies around the same. Accordingly, from a social ethics perspective, the key question that is yet to be answered is what specific levers are available to sway actors from a shareholder to a stakeholder logic, or, failing that, how a shareholder focused actor can be persuaded to still act with regard to stakeholder interests.</w:t>
      </w:r>
    </w:p>
    <w:p w14:paraId="76462828" w14:textId="77777777" w:rsidR="0086707B" w:rsidRDefault="0086707B" w:rsidP="0086707B">
      <w:pPr>
        <w:spacing w:line="480" w:lineRule="auto"/>
        <w:jc w:val="both"/>
      </w:pPr>
    </w:p>
    <w:p w14:paraId="7C7F7F03" w14:textId="77777777" w:rsidR="0086707B" w:rsidRDefault="0086707B" w:rsidP="0086707B">
      <w:pPr>
        <w:pStyle w:val="Heading1"/>
        <w:jc w:val="center"/>
      </w:pPr>
      <w:r>
        <w:t>References</w:t>
      </w:r>
    </w:p>
    <w:p w14:paraId="4238994A" w14:textId="77777777" w:rsidR="0086707B" w:rsidRPr="00A5302E" w:rsidRDefault="0086707B" w:rsidP="0086707B">
      <w:pPr>
        <w:pStyle w:val="References"/>
        <w:rPr>
          <w:rFonts w:eastAsia="Batang"/>
          <w:lang w:eastAsia="ko-KR"/>
        </w:rPr>
      </w:pPr>
      <w:r w:rsidRPr="00A5302E">
        <w:t>Acharya, V.</w:t>
      </w:r>
      <w:r>
        <w:t xml:space="preserve"> </w:t>
      </w:r>
      <w:r w:rsidRPr="00A5302E">
        <w:t>V., Ami</w:t>
      </w:r>
      <w:r w:rsidRPr="005E1A68">
        <w:t xml:space="preserve">hud, Y., </w:t>
      </w:r>
      <w:r>
        <w:t>&amp;</w:t>
      </w:r>
      <w:r w:rsidRPr="005E1A68">
        <w:t xml:space="preserve"> Litov, L. 2011</w:t>
      </w:r>
      <w:r>
        <w:t>.</w:t>
      </w:r>
      <w:r w:rsidRPr="005E1A68">
        <w:t xml:space="preserve"> Creditor rights and corporate risk-taking, </w:t>
      </w:r>
      <w:r w:rsidRPr="00CE48E5">
        <w:rPr>
          <w:b/>
          <w:i/>
        </w:rPr>
        <w:t>Journal of Financial Economics</w:t>
      </w:r>
      <w:r w:rsidRPr="00A5302E">
        <w:t xml:space="preserve">, 102: 150-165. </w:t>
      </w:r>
    </w:p>
    <w:p w14:paraId="105D87D3" w14:textId="77777777" w:rsidR="0086707B" w:rsidRPr="00A5302E" w:rsidRDefault="0086707B" w:rsidP="0086707B">
      <w:pPr>
        <w:pStyle w:val="References"/>
      </w:pPr>
      <w:r w:rsidRPr="00A5302E">
        <w:t xml:space="preserve">Aggarwal, R., Erel, I., Ferreira, M., </w:t>
      </w:r>
      <w:r>
        <w:t>&amp;</w:t>
      </w:r>
      <w:r w:rsidRPr="00A5302E">
        <w:t xml:space="preserve"> Matos, P. 2011</w:t>
      </w:r>
      <w:r>
        <w:t>.</w:t>
      </w:r>
      <w:r w:rsidRPr="00A5302E">
        <w:t xml:space="preserve"> Does governance travel around the world? Evidence from institutional investors, </w:t>
      </w:r>
      <w:r w:rsidRPr="00CE48E5">
        <w:rPr>
          <w:b/>
          <w:i/>
        </w:rPr>
        <w:t>Journal of Financial Economics</w:t>
      </w:r>
      <w:r w:rsidRPr="00A5302E">
        <w:t>,100:154-181.</w:t>
      </w:r>
    </w:p>
    <w:p w14:paraId="6F305841" w14:textId="77777777" w:rsidR="0086707B" w:rsidRPr="0075455A" w:rsidRDefault="0086707B" w:rsidP="0086707B">
      <w:pPr>
        <w:pStyle w:val="References"/>
        <w:rPr>
          <w:rFonts w:ascii="Melior" w:hAnsi="Melior" w:cs="Melior"/>
        </w:rPr>
      </w:pPr>
      <w:r w:rsidRPr="0075455A">
        <w:rPr>
          <w:rFonts w:ascii="Melior" w:hAnsi="Melior" w:cs="Melior"/>
        </w:rPr>
        <w:t xml:space="preserve">Aldrich, H. E., &amp; Fiol, C. M. 1994. Fools rush in? The institutional context of industry creation. </w:t>
      </w:r>
      <w:r w:rsidRPr="00CE48E5">
        <w:rPr>
          <w:rFonts w:ascii="Melior-BoldItalic" w:hAnsi="Melior-BoldItalic" w:cs="Melior-BoldItalic"/>
          <w:b/>
          <w:bCs/>
          <w:i/>
          <w:iCs/>
        </w:rPr>
        <w:t>Academy</w:t>
      </w:r>
      <w:r>
        <w:rPr>
          <w:rFonts w:ascii="Melior-BoldItalic" w:hAnsi="Melior-BoldItalic" w:cs="Melior-BoldItalic"/>
          <w:b/>
          <w:bCs/>
          <w:i/>
          <w:iCs/>
        </w:rPr>
        <w:t xml:space="preserve"> </w:t>
      </w:r>
      <w:r w:rsidRPr="00CE48E5">
        <w:rPr>
          <w:rFonts w:ascii="Melior-BoldItalic" w:hAnsi="Melior-BoldItalic" w:cs="Melior-BoldItalic"/>
          <w:b/>
          <w:bCs/>
          <w:i/>
          <w:iCs/>
        </w:rPr>
        <w:t>of Management Review</w:t>
      </w:r>
      <w:r w:rsidRPr="0075455A">
        <w:rPr>
          <w:rFonts w:ascii="Melior-BoldItalic" w:hAnsi="Melior-BoldItalic" w:cs="Melior-BoldItalic"/>
          <w:b/>
          <w:bCs/>
          <w:iCs/>
        </w:rPr>
        <w:t xml:space="preserve">, </w:t>
      </w:r>
      <w:r w:rsidRPr="0075455A">
        <w:rPr>
          <w:rFonts w:ascii="Melior" w:hAnsi="Melior" w:cs="Melior"/>
        </w:rPr>
        <w:t>19: 645–670.</w:t>
      </w:r>
    </w:p>
    <w:p w14:paraId="2CB6B511" w14:textId="77777777" w:rsidR="0086707B" w:rsidRDefault="0086707B" w:rsidP="0086707B">
      <w:pPr>
        <w:pStyle w:val="References"/>
      </w:pPr>
      <w:r>
        <w:t xml:space="preserve">Amiti, M., &amp; Weinstein, D. E. 2011. Exports and Financial Shocks, </w:t>
      </w:r>
      <w:r w:rsidRPr="00CE48E5">
        <w:rPr>
          <w:b/>
          <w:i/>
        </w:rPr>
        <w:t>Quarterly Journal of Economics</w:t>
      </w:r>
      <w:r w:rsidRPr="00CE48E5">
        <w:rPr>
          <w:b/>
        </w:rPr>
        <w:t>,</w:t>
      </w:r>
      <w:r>
        <w:t xml:space="preserve"> 126: 1841-1877.</w:t>
      </w:r>
    </w:p>
    <w:p w14:paraId="784D25F6" w14:textId="77777777" w:rsidR="0086707B" w:rsidRDefault="0086707B" w:rsidP="0086707B">
      <w:pPr>
        <w:pStyle w:val="References"/>
      </w:pPr>
      <w:r>
        <w:t xml:space="preserve">Angrist, J. D. &amp; Pischke, J-S. 2009. </w:t>
      </w:r>
      <w:r w:rsidRPr="00CE48E5">
        <w:rPr>
          <w:b/>
          <w:i/>
        </w:rPr>
        <w:t>Mostly Harmless Econometrics</w:t>
      </w:r>
      <w:r>
        <w:t xml:space="preserve">, Princeton University Press. </w:t>
      </w:r>
    </w:p>
    <w:p w14:paraId="42B657F0" w14:textId="77777777" w:rsidR="0086707B" w:rsidRPr="00150AD1" w:rsidRDefault="0086707B" w:rsidP="0086707B">
      <w:pPr>
        <w:pStyle w:val="References"/>
        <w:rPr>
          <w:lang w:val="en-GB"/>
        </w:rPr>
      </w:pPr>
      <w:r w:rsidRPr="00150AD1">
        <w:rPr>
          <w:lang w:val="de-DE"/>
        </w:rPr>
        <w:lastRenderedPageBreak/>
        <w:t xml:space="preserve">Aragón-Correa, J. A., Matías-Reche, F., </w:t>
      </w:r>
      <w:r>
        <w:rPr>
          <w:lang w:val="de-DE"/>
        </w:rPr>
        <w:t xml:space="preserve">&amp; </w:t>
      </w:r>
      <w:r w:rsidRPr="00150AD1">
        <w:rPr>
          <w:lang w:val="de-DE"/>
        </w:rPr>
        <w:t xml:space="preserve">Senise-Barrio, M. E. 2004. </w:t>
      </w:r>
      <w:r w:rsidRPr="00150AD1">
        <w:rPr>
          <w:lang w:val="en-GB"/>
        </w:rPr>
        <w:t xml:space="preserve">Managerial discretion and corporate commitment to the natural environment. </w:t>
      </w:r>
      <w:r w:rsidRPr="00CE48E5">
        <w:rPr>
          <w:b/>
          <w:i/>
          <w:lang w:val="en-GB"/>
        </w:rPr>
        <w:t>Journal of Business Research</w:t>
      </w:r>
      <w:r w:rsidRPr="00150AD1">
        <w:rPr>
          <w:lang w:val="en-GB"/>
        </w:rPr>
        <w:t>, 57: 964-975.</w:t>
      </w:r>
    </w:p>
    <w:p w14:paraId="6858588B" w14:textId="77777777" w:rsidR="0086707B" w:rsidRPr="00DF2ACC" w:rsidRDefault="0086707B" w:rsidP="0086707B">
      <w:pPr>
        <w:pStyle w:val="References"/>
        <w:rPr>
          <w:rFonts w:ascii="AdvTT6120e2aa" w:eastAsia="Malgun Gothic" w:hAnsi="AdvTT6120e2aa" w:cs="AdvTT6120e2aa"/>
          <w:lang w:eastAsia="ko-KR"/>
        </w:rPr>
      </w:pPr>
      <w:r w:rsidRPr="00DF2ACC">
        <w:rPr>
          <w:rFonts w:ascii="AdvTT6120e2aa" w:eastAsia="Malgun Gothic" w:hAnsi="AdvTT6120e2aa" w:cs="AdvTT6120e2aa"/>
          <w:lang w:eastAsia="ko-KR"/>
        </w:rPr>
        <w:t>Bebchuk, L., Cohen, A</w:t>
      </w:r>
      <w:r>
        <w:rPr>
          <w:rFonts w:ascii="AdvTT6120e2aa" w:eastAsia="Malgun Gothic" w:hAnsi="AdvTT6120e2aa" w:cs="AdvTT6120e2aa"/>
          <w:lang w:eastAsia="ko-KR"/>
        </w:rPr>
        <w:t>., &amp; Ferrell, A. 2009</w:t>
      </w:r>
      <w:r w:rsidRPr="00DF2ACC">
        <w:rPr>
          <w:rFonts w:ascii="AdvTT6120e2aa" w:eastAsia="Malgun Gothic" w:hAnsi="AdvTT6120e2aa" w:cs="AdvTT6120e2aa"/>
          <w:lang w:eastAsia="ko-KR"/>
        </w:rPr>
        <w:t xml:space="preserve">. What matters in corporate governance? </w:t>
      </w:r>
      <w:r w:rsidRPr="00CE48E5">
        <w:rPr>
          <w:rFonts w:ascii="AdvTT6120e2aa" w:eastAsia="Malgun Gothic" w:hAnsi="AdvTT6120e2aa" w:cs="AdvTT6120e2aa"/>
          <w:b/>
          <w:i/>
          <w:lang w:eastAsia="ko-KR"/>
        </w:rPr>
        <w:t>Review of Financial Studies</w:t>
      </w:r>
      <w:r w:rsidRPr="00CE48E5">
        <w:rPr>
          <w:rFonts w:ascii="AdvTT6120e2aa" w:eastAsia="Malgun Gothic" w:hAnsi="AdvTT6120e2aa" w:cs="AdvTT6120e2aa"/>
          <w:b/>
          <w:lang w:eastAsia="ko-KR"/>
        </w:rPr>
        <w:t xml:space="preserve"> </w:t>
      </w:r>
      <w:r w:rsidRPr="00DF2ACC">
        <w:rPr>
          <w:rFonts w:ascii="AdvTT6120e2aa" w:eastAsia="Malgun Gothic" w:hAnsi="AdvTT6120e2aa" w:cs="AdvTT6120e2aa"/>
          <w:lang w:eastAsia="ko-KR"/>
        </w:rPr>
        <w:t>22, 783-827.</w:t>
      </w:r>
    </w:p>
    <w:p w14:paraId="2049BBD7" w14:textId="77777777" w:rsidR="0086707B" w:rsidRPr="008D0435" w:rsidRDefault="0086707B" w:rsidP="0086707B">
      <w:pPr>
        <w:pStyle w:val="References"/>
        <w:rPr>
          <w:rFonts w:ascii="AdvTT6120e2aa" w:eastAsia="Malgun Gothic" w:hAnsi="AdvTT6120e2aa" w:cs="AdvTT6120e2aa"/>
          <w:lang w:eastAsia="ko-KR"/>
        </w:rPr>
      </w:pPr>
      <w:r w:rsidRPr="008D0435">
        <w:rPr>
          <w:rFonts w:ascii="AdvTT6120e2aa" w:eastAsia="Malgun Gothic" w:hAnsi="AdvTT6120e2aa" w:cs="AdvTT6120e2aa"/>
          <w:lang w:eastAsia="ko-KR"/>
        </w:rPr>
        <w:t xml:space="preserve">Berrone, P., Cruz, C., Gomez-Mejia, L. R., </w:t>
      </w:r>
      <w:r>
        <w:rPr>
          <w:rFonts w:ascii="AdvTT6120e2aa" w:eastAsia="Malgun Gothic" w:hAnsi="AdvTT6120e2aa" w:cs="AdvTT6120e2aa"/>
          <w:lang w:eastAsia="ko-KR"/>
        </w:rPr>
        <w:t>&amp;</w:t>
      </w:r>
      <w:r w:rsidRPr="008D0435">
        <w:rPr>
          <w:rFonts w:ascii="AdvTT6120e2aa" w:eastAsia="Malgun Gothic" w:hAnsi="AdvTT6120e2aa" w:cs="AdvTT6120e2aa"/>
          <w:lang w:eastAsia="ko-KR"/>
        </w:rPr>
        <w:t xml:space="preserve"> Larraza-Kintana, M. 2010</w:t>
      </w:r>
      <w:r>
        <w:rPr>
          <w:rFonts w:ascii="AdvTT6120e2aa" w:eastAsia="Malgun Gothic" w:hAnsi="AdvTT6120e2aa" w:cs="AdvTT6120e2aa"/>
          <w:lang w:eastAsia="ko-KR"/>
        </w:rPr>
        <w:t>.</w:t>
      </w:r>
      <w:r w:rsidRPr="008D0435">
        <w:rPr>
          <w:rFonts w:ascii="AdvTT6120e2aa" w:eastAsia="Malgun Gothic" w:hAnsi="AdvTT6120e2aa" w:cs="AdvTT6120e2aa"/>
          <w:lang w:eastAsia="ko-KR"/>
        </w:rPr>
        <w:t xml:space="preserve"> Socioemotional wealth and corporate responses to institutional pressures: Do family-controlled firms pollute less? </w:t>
      </w:r>
      <w:r w:rsidRPr="00CE48E5">
        <w:rPr>
          <w:rFonts w:ascii="AdvTT6120e2aa" w:eastAsia="Malgun Gothic" w:hAnsi="AdvTT6120e2aa" w:cs="AdvTT6120e2aa"/>
          <w:b/>
          <w:i/>
          <w:lang w:eastAsia="ko-KR"/>
        </w:rPr>
        <w:t>Administrative Science Quarterly</w:t>
      </w:r>
      <w:r w:rsidRPr="008D0435">
        <w:rPr>
          <w:rFonts w:ascii="AdvTT6120e2aa" w:eastAsia="Malgun Gothic" w:hAnsi="AdvTT6120e2aa" w:cs="AdvTT6120e2aa"/>
          <w:lang w:eastAsia="ko-KR"/>
        </w:rPr>
        <w:t>, 55: 82–113.</w:t>
      </w:r>
    </w:p>
    <w:p w14:paraId="47B7FDCC" w14:textId="77777777" w:rsidR="0086707B" w:rsidRPr="00902D32" w:rsidRDefault="0086707B" w:rsidP="0086707B">
      <w:pPr>
        <w:pStyle w:val="References"/>
      </w:pPr>
      <w:r w:rsidRPr="00902D32">
        <w:t xml:space="preserve">Berry, M.A. </w:t>
      </w:r>
      <w:r>
        <w:t>&amp;</w:t>
      </w:r>
      <w:r w:rsidRPr="00902D32">
        <w:t xml:space="preserve"> Rondinelli, D.A. 1998</w:t>
      </w:r>
      <w:r>
        <w:t>.</w:t>
      </w:r>
      <w:r w:rsidRPr="00902D32">
        <w:t xml:space="preserve"> Proactive corporate environmental management: A new industrial revolution. </w:t>
      </w:r>
      <w:r w:rsidRPr="00CE48E5">
        <w:rPr>
          <w:b/>
          <w:i/>
        </w:rPr>
        <w:t>Academy of Management Executive</w:t>
      </w:r>
      <w:r w:rsidRPr="00902D32">
        <w:t>, 12:38-50.</w:t>
      </w:r>
    </w:p>
    <w:p w14:paraId="78905B04" w14:textId="77777777" w:rsidR="0086707B" w:rsidRPr="0062403A" w:rsidRDefault="0086707B" w:rsidP="0086707B">
      <w:pPr>
        <w:pStyle w:val="References"/>
        <w:rPr>
          <w:rFonts w:eastAsia="Malgun Gothic"/>
          <w:lang w:eastAsia="ko-KR"/>
        </w:rPr>
      </w:pPr>
      <w:r w:rsidRPr="0062403A">
        <w:rPr>
          <w:rFonts w:eastAsia="Malgun Gothic"/>
          <w:lang w:eastAsia="ko-KR"/>
        </w:rPr>
        <w:t xml:space="preserve">Buzzelli, D. T. 1991. Time to structure an environmental policy strategy. </w:t>
      </w:r>
      <w:r w:rsidRPr="00CE48E5">
        <w:rPr>
          <w:rFonts w:eastAsia="Malgun Gothic"/>
          <w:b/>
          <w:bCs/>
          <w:i/>
          <w:iCs/>
          <w:lang w:eastAsia="ko-KR"/>
        </w:rPr>
        <w:t>Journal of Business Strategy</w:t>
      </w:r>
      <w:r w:rsidRPr="0062403A">
        <w:rPr>
          <w:rFonts w:eastAsia="Malgun Gothic"/>
          <w:bCs/>
          <w:iCs/>
          <w:lang w:eastAsia="ko-KR"/>
        </w:rPr>
        <w:t xml:space="preserve">, </w:t>
      </w:r>
      <w:r w:rsidRPr="0062403A">
        <w:rPr>
          <w:rFonts w:eastAsia="Malgun Gothic"/>
          <w:lang w:eastAsia="ko-KR"/>
        </w:rPr>
        <w:t>12(2): 17-20.</w:t>
      </w:r>
    </w:p>
    <w:p w14:paraId="55009579" w14:textId="77777777" w:rsidR="0086707B" w:rsidRDefault="0086707B" w:rsidP="0086707B">
      <w:pPr>
        <w:pStyle w:val="References"/>
        <w:tabs>
          <w:tab w:val="left" w:pos="6210"/>
        </w:tabs>
        <w:rPr>
          <w:rFonts w:eastAsia="Batang"/>
          <w:lang w:eastAsia="ko-KR"/>
        </w:rPr>
      </w:pPr>
      <w:r w:rsidRPr="0054724C">
        <w:rPr>
          <w:rFonts w:eastAsia="Batang"/>
          <w:lang w:eastAsia="ko-KR"/>
        </w:rPr>
        <w:t xml:space="preserve">Byrne, J., </w:t>
      </w:r>
      <w:r>
        <w:rPr>
          <w:rFonts w:eastAsia="Batang"/>
          <w:lang w:eastAsia="ko-KR"/>
        </w:rPr>
        <w:t>&amp; Glover, L., 2002</w:t>
      </w:r>
      <w:r w:rsidRPr="0054724C">
        <w:rPr>
          <w:rFonts w:eastAsia="Batang"/>
          <w:lang w:eastAsia="ko-KR"/>
        </w:rPr>
        <w:t xml:space="preserve">. A common Future or Towards a Future Commons: Globalisation and Sustainable Development since UNCED, </w:t>
      </w:r>
      <w:r w:rsidRPr="00CE48E5">
        <w:rPr>
          <w:rFonts w:eastAsia="Batang"/>
          <w:b/>
          <w:i/>
          <w:lang w:eastAsia="ko-KR"/>
        </w:rPr>
        <w:t>International Review for Environmental Strategies</w:t>
      </w:r>
      <w:r w:rsidRPr="0054724C">
        <w:rPr>
          <w:rFonts w:eastAsia="Batang"/>
          <w:lang w:eastAsia="ko-KR"/>
        </w:rPr>
        <w:t>, 3: 5-25.</w:t>
      </w:r>
    </w:p>
    <w:p w14:paraId="127327E3" w14:textId="77777777" w:rsidR="0086707B" w:rsidRPr="00A5302E" w:rsidRDefault="0086707B" w:rsidP="0086707B">
      <w:pPr>
        <w:pStyle w:val="References"/>
        <w:rPr>
          <w:rFonts w:ascii="Melior" w:hAnsi="Melior" w:cs="Melior"/>
        </w:rPr>
      </w:pPr>
      <w:r w:rsidRPr="00A5302E">
        <w:rPr>
          <w:rFonts w:ascii="Melior" w:hAnsi="Melior" w:cs="Melior"/>
        </w:rPr>
        <w:t xml:space="preserve">Claessens, S., Djankov, S., </w:t>
      </w:r>
      <w:r>
        <w:rPr>
          <w:rFonts w:ascii="Melior" w:hAnsi="Melior" w:cs="Melior"/>
        </w:rPr>
        <w:t>&amp; Lang, L.H.P., 2000</w:t>
      </w:r>
      <w:r w:rsidRPr="00A5302E">
        <w:rPr>
          <w:rFonts w:ascii="Melior" w:hAnsi="Melior" w:cs="Melior"/>
        </w:rPr>
        <w:t xml:space="preserve">. The separation of ownership and control in East Asian Corporations, </w:t>
      </w:r>
      <w:r w:rsidRPr="00CE48E5">
        <w:rPr>
          <w:rFonts w:ascii="Melior" w:hAnsi="Melior" w:cs="Melior"/>
          <w:b/>
          <w:i/>
        </w:rPr>
        <w:t>Journal of Financial Economics</w:t>
      </w:r>
      <w:r w:rsidRPr="00A5302E">
        <w:rPr>
          <w:rFonts w:ascii="Melior" w:hAnsi="Melior" w:cs="Melior"/>
        </w:rPr>
        <w:t>, 58: 81-112.</w:t>
      </w:r>
    </w:p>
    <w:p w14:paraId="66CDFCA4" w14:textId="77777777" w:rsidR="0086707B" w:rsidRPr="002061DB" w:rsidRDefault="0086707B" w:rsidP="0086707B">
      <w:pPr>
        <w:pStyle w:val="References"/>
        <w:rPr>
          <w:rFonts w:cs="Melior"/>
        </w:rPr>
      </w:pPr>
      <w:r w:rsidRPr="00716708">
        <w:rPr>
          <w:rFonts w:cs="Melior"/>
        </w:rPr>
        <w:t xml:space="preserve">Collison, D., Cross, S., Ferguson, J., Power, D., &amp; Stevenson, L., 2012. Legal Determinants of External Finance Revisited: The Inverse Relationship Between Investor Protection and Societal Well-Being, </w:t>
      </w:r>
      <w:r w:rsidRPr="00716708">
        <w:rPr>
          <w:rFonts w:cs="Melior"/>
          <w:b/>
          <w:i/>
        </w:rPr>
        <w:t>Journal of Business Ethics,</w:t>
      </w:r>
      <w:r w:rsidRPr="00716708">
        <w:rPr>
          <w:rFonts w:cs="Melior"/>
        </w:rPr>
        <w:t xml:space="preserve"> 108: 393–410</w:t>
      </w:r>
    </w:p>
    <w:p w14:paraId="0761FCDE" w14:textId="77777777" w:rsidR="0086707B" w:rsidRPr="00025EB8" w:rsidRDefault="0086707B" w:rsidP="0086707B">
      <w:pPr>
        <w:pStyle w:val="References"/>
        <w:rPr>
          <w:rFonts w:ascii="Melior" w:hAnsi="Melior" w:cs="Melior"/>
        </w:rPr>
      </w:pPr>
      <w:r w:rsidRPr="00025EB8">
        <w:rPr>
          <w:rFonts w:ascii="Melior" w:hAnsi="Melior" w:cs="Melior"/>
        </w:rPr>
        <w:t xml:space="preserve">Cox, P. M., Betts, R. A., Jones, C. D., Spall, S. A., </w:t>
      </w:r>
      <w:r>
        <w:rPr>
          <w:rFonts w:ascii="Melior" w:hAnsi="Melior" w:cs="Melior"/>
        </w:rPr>
        <w:t>&amp;</w:t>
      </w:r>
      <w:r w:rsidRPr="00025EB8">
        <w:rPr>
          <w:rFonts w:ascii="Melior" w:hAnsi="Melior" w:cs="Melior"/>
        </w:rPr>
        <w:t xml:space="preserve"> Totterdell, I. J. (2000). Acceleration of global warming due to carbon-cycle feedbacks in a coupled climate model, </w:t>
      </w:r>
      <w:r w:rsidRPr="00CE48E5">
        <w:rPr>
          <w:rFonts w:ascii="Melior" w:hAnsi="Melior" w:cs="Melior"/>
          <w:b/>
          <w:i/>
        </w:rPr>
        <w:t>Nature</w:t>
      </w:r>
      <w:r w:rsidRPr="00CE48E5">
        <w:rPr>
          <w:rFonts w:ascii="Melior" w:hAnsi="Melior" w:cs="Melior"/>
          <w:b/>
        </w:rPr>
        <w:t>,</w:t>
      </w:r>
      <w:r w:rsidRPr="00025EB8">
        <w:rPr>
          <w:rFonts w:ascii="Melior" w:hAnsi="Melior" w:cs="Melior"/>
        </w:rPr>
        <w:t xml:space="preserve"> 408, 184–187.</w:t>
      </w:r>
    </w:p>
    <w:p w14:paraId="552E8998" w14:textId="77777777" w:rsidR="0086707B" w:rsidRPr="006F1F93" w:rsidRDefault="0086707B" w:rsidP="0086707B">
      <w:pPr>
        <w:pStyle w:val="References"/>
        <w:rPr>
          <w:rFonts w:ascii="Melior" w:hAnsi="Melior" w:cs="Melior"/>
        </w:rPr>
      </w:pPr>
      <w:r w:rsidRPr="006F1F93">
        <w:rPr>
          <w:rFonts w:ascii="Melior" w:hAnsi="Melior" w:cs="Melior"/>
        </w:rPr>
        <w:t xml:space="preserve">Daniel, S. J., Cieslewicz, J. K., </w:t>
      </w:r>
      <w:r>
        <w:rPr>
          <w:rFonts w:ascii="Melior" w:hAnsi="Melior" w:cs="Melior"/>
        </w:rPr>
        <w:t xml:space="preserve">&amp; </w:t>
      </w:r>
      <w:r w:rsidRPr="006F1F93">
        <w:rPr>
          <w:rFonts w:ascii="Melior" w:hAnsi="Melior" w:cs="Melior"/>
        </w:rPr>
        <w:t xml:space="preserve">Pourjalali, H., 2012, The impact of national economic  culture and country-level institutional environment on corporate governance practices, </w:t>
      </w:r>
      <w:r w:rsidRPr="00CE48E5">
        <w:rPr>
          <w:rFonts w:ascii="Melior" w:hAnsi="Melior" w:cs="Melior"/>
          <w:b/>
          <w:i/>
        </w:rPr>
        <w:t>Management International Review</w:t>
      </w:r>
      <w:r w:rsidRPr="006F1F93">
        <w:rPr>
          <w:rFonts w:ascii="Melior" w:hAnsi="Melior" w:cs="Melior"/>
        </w:rPr>
        <w:t>, 52, 365-394.</w:t>
      </w:r>
    </w:p>
    <w:p w14:paraId="756167DA" w14:textId="77777777" w:rsidR="0086707B" w:rsidRPr="0075455A" w:rsidRDefault="0086707B" w:rsidP="0086707B">
      <w:pPr>
        <w:pStyle w:val="References"/>
        <w:rPr>
          <w:rFonts w:ascii="Melior" w:hAnsi="Melior" w:cs="Melior"/>
        </w:rPr>
      </w:pPr>
      <w:r w:rsidRPr="0075455A">
        <w:rPr>
          <w:rFonts w:ascii="Melior" w:hAnsi="Melior" w:cs="Melior"/>
        </w:rPr>
        <w:t xml:space="preserve">Deephouse, D. L. 1999. To be different, or to be the same? It’s a question (and theory) of strategic balance. </w:t>
      </w:r>
      <w:r w:rsidRPr="00CE48E5">
        <w:rPr>
          <w:rFonts w:ascii="Melior-BoldItalic" w:hAnsi="Melior-BoldItalic" w:cs="Melior-BoldItalic"/>
          <w:b/>
          <w:bCs/>
          <w:i/>
          <w:iCs/>
        </w:rPr>
        <w:t>Strategic</w:t>
      </w:r>
      <w:r>
        <w:rPr>
          <w:rFonts w:ascii="Melior-BoldItalic" w:hAnsi="Melior-BoldItalic" w:cs="Melior-BoldItalic"/>
          <w:b/>
          <w:bCs/>
          <w:i/>
          <w:iCs/>
        </w:rPr>
        <w:t xml:space="preserve"> </w:t>
      </w:r>
      <w:r w:rsidRPr="00CE48E5">
        <w:rPr>
          <w:rFonts w:ascii="Melior-BoldItalic" w:hAnsi="Melior-BoldItalic" w:cs="Melior-BoldItalic"/>
          <w:b/>
          <w:bCs/>
          <w:i/>
          <w:iCs/>
        </w:rPr>
        <w:t>Management Journal</w:t>
      </w:r>
      <w:r w:rsidRPr="0075455A">
        <w:rPr>
          <w:rFonts w:ascii="Melior-BoldItalic" w:hAnsi="Melior-BoldItalic" w:cs="Melior-BoldItalic"/>
          <w:b/>
          <w:bCs/>
          <w:iCs/>
        </w:rPr>
        <w:t xml:space="preserve">, </w:t>
      </w:r>
      <w:r w:rsidRPr="0075455A">
        <w:rPr>
          <w:rFonts w:ascii="Melior" w:hAnsi="Melior" w:cs="Melior"/>
        </w:rPr>
        <w:t>20: 147–166.</w:t>
      </w:r>
    </w:p>
    <w:p w14:paraId="34DA1C05" w14:textId="77777777" w:rsidR="0086707B" w:rsidRPr="00CE0586" w:rsidRDefault="0086707B" w:rsidP="0086707B">
      <w:pPr>
        <w:pStyle w:val="References"/>
        <w:rPr>
          <w:rFonts w:ascii="Melior" w:hAnsi="Melior" w:cs="Melior"/>
        </w:rPr>
      </w:pPr>
      <w:r w:rsidRPr="00CE0586">
        <w:rPr>
          <w:rFonts w:ascii="Melior" w:hAnsi="Melior" w:cs="Melior"/>
        </w:rPr>
        <w:t xml:space="preserve">DiMaggio, P. J., </w:t>
      </w:r>
      <w:r>
        <w:rPr>
          <w:rFonts w:ascii="Melior" w:hAnsi="Melior" w:cs="Melior"/>
        </w:rPr>
        <w:t>&amp;</w:t>
      </w:r>
      <w:r w:rsidRPr="00CE0586">
        <w:rPr>
          <w:rFonts w:ascii="Melior" w:hAnsi="Melior" w:cs="Melior"/>
        </w:rPr>
        <w:t xml:space="preserve"> Powell, W. W. 1983. The iron cage revisited: Institutional isomorphism and collective rationality in organizational fields. </w:t>
      </w:r>
      <w:r w:rsidRPr="00447F4C">
        <w:rPr>
          <w:rFonts w:ascii="Melior-BoldItalic" w:hAnsi="Melior-BoldItalic" w:cs="Melior-BoldItalic"/>
          <w:b/>
          <w:bCs/>
          <w:i/>
          <w:iCs/>
        </w:rPr>
        <w:t>American Sociological</w:t>
      </w:r>
      <w:r>
        <w:rPr>
          <w:rFonts w:ascii="Melior-BoldItalic" w:hAnsi="Melior-BoldItalic" w:cs="Melior-BoldItalic"/>
          <w:b/>
          <w:bCs/>
          <w:i/>
          <w:iCs/>
        </w:rPr>
        <w:t xml:space="preserve"> </w:t>
      </w:r>
      <w:r w:rsidRPr="00447F4C">
        <w:rPr>
          <w:rFonts w:ascii="Melior-BoldItalic" w:hAnsi="Melior-BoldItalic" w:cs="Melior-BoldItalic"/>
          <w:b/>
          <w:bCs/>
          <w:i/>
          <w:iCs/>
        </w:rPr>
        <w:t>Review</w:t>
      </w:r>
      <w:r w:rsidRPr="00CE0586">
        <w:rPr>
          <w:rFonts w:ascii="Melior-BoldItalic" w:hAnsi="Melior-BoldItalic" w:cs="Melior-BoldItalic"/>
          <w:b/>
          <w:bCs/>
          <w:iCs/>
        </w:rPr>
        <w:t xml:space="preserve">, </w:t>
      </w:r>
      <w:r w:rsidRPr="00CE0586">
        <w:rPr>
          <w:rFonts w:ascii="Melior" w:hAnsi="Melior" w:cs="Melior"/>
        </w:rPr>
        <w:t>48: 147–160.</w:t>
      </w:r>
    </w:p>
    <w:p w14:paraId="2E71AF2E" w14:textId="77777777" w:rsidR="0086707B" w:rsidRDefault="0086707B" w:rsidP="0086707B">
      <w:pPr>
        <w:pStyle w:val="References"/>
        <w:rPr>
          <w:rFonts w:eastAsia="Batang"/>
          <w:lang w:eastAsia="ko-KR"/>
        </w:rPr>
      </w:pPr>
      <w:r w:rsidRPr="00C56C7C">
        <w:rPr>
          <w:rFonts w:eastAsia="Batang"/>
          <w:lang w:eastAsia="ko-KR"/>
        </w:rPr>
        <w:t>Eberlein</w:t>
      </w:r>
      <w:r>
        <w:rPr>
          <w:rFonts w:eastAsia="Batang"/>
          <w:lang w:eastAsia="ko-KR"/>
        </w:rPr>
        <w:t xml:space="preserve">, B., </w:t>
      </w:r>
      <w:r w:rsidRPr="00C56C7C">
        <w:rPr>
          <w:rFonts w:eastAsia="Batang"/>
          <w:lang w:eastAsia="ko-KR"/>
        </w:rPr>
        <w:t>Matten</w:t>
      </w:r>
      <w:r>
        <w:rPr>
          <w:rFonts w:eastAsia="Batang"/>
          <w:lang w:eastAsia="ko-KR"/>
        </w:rPr>
        <w:t xml:space="preserve">, D. 2009. </w:t>
      </w:r>
      <w:r w:rsidRPr="00C56C7C">
        <w:rPr>
          <w:rFonts w:eastAsia="Batang"/>
          <w:lang w:eastAsia="ko-KR"/>
        </w:rPr>
        <w:t>Business Responses to Climate Change</w:t>
      </w:r>
      <w:r>
        <w:rPr>
          <w:rFonts w:eastAsia="Batang"/>
          <w:lang w:eastAsia="ko-KR"/>
        </w:rPr>
        <w:t xml:space="preserve"> </w:t>
      </w:r>
      <w:r w:rsidRPr="00C56C7C">
        <w:rPr>
          <w:rFonts w:eastAsia="Batang"/>
          <w:lang w:eastAsia="ko-KR"/>
        </w:rPr>
        <w:t>Regulation in Canada and Germany:</w:t>
      </w:r>
      <w:r>
        <w:rPr>
          <w:rFonts w:eastAsia="Batang"/>
          <w:lang w:eastAsia="ko-KR"/>
        </w:rPr>
        <w:t xml:space="preserve"> </w:t>
      </w:r>
      <w:r w:rsidRPr="00C56C7C">
        <w:rPr>
          <w:rFonts w:eastAsia="Batang"/>
          <w:lang w:eastAsia="ko-KR"/>
        </w:rPr>
        <w:t>Lessons for MNCs from</w:t>
      </w:r>
      <w:r>
        <w:rPr>
          <w:rFonts w:eastAsia="Batang"/>
          <w:lang w:eastAsia="ko-KR"/>
        </w:rPr>
        <w:t xml:space="preserve"> e</w:t>
      </w:r>
      <w:r w:rsidRPr="00C56C7C">
        <w:rPr>
          <w:rFonts w:eastAsia="Batang"/>
          <w:lang w:eastAsia="ko-KR"/>
        </w:rPr>
        <w:t>merging</w:t>
      </w:r>
      <w:r>
        <w:rPr>
          <w:rFonts w:eastAsia="Batang"/>
          <w:lang w:eastAsia="ko-KR"/>
        </w:rPr>
        <w:t xml:space="preserve"> e</w:t>
      </w:r>
      <w:r w:rsidRPr="00C56C7C">
        <w:rPr>
          <w:rFonts w:eastAsia="Batang"/>
          <w:lang w:eastAsia="ko-KR"/>
        </w:rPr>
        <w:t>conomies</w:t>
      </w:r>
      <w:r>
        <w:rPr>
          <w:rFonts w:eastAsia="Batang"/>
          <w:lang w:eastAsia="ko-KR"/>
        </w:rPr>
        <w:t xml:space="preserve">. </w:t>
      </w:r>
      <w:r w:rsidRPr="00716708">
        <w:rPr>
          <w:rFonts w:eastAsia="Batang"/>
          <w:b/>
          <w:i/>
          <w:lang w:eastAsia="ko-KR"/>
        </w:rPr>
        <w:t>Journal of Business Ethics,</w:t>
      </w:r>
      <w:r>
        <w:rPr>
          <w:rFonts w:eastAsia="Batang"/>
          <w:lang w:eastAsia="ko-KR"/>
        </w:rPr>
        <w:t xml:space="preserve"> </w:t>
      </w:r>
      <w:r w:rsidRPr="00C56C7C">
        <w:rPr>
          <w:rFonts w:eastAsia="Batang"/>
          <w:lang w:eastAsia="ko-KR"/>
        </w:rPr>
        <w:t>86:241–255</w:t>
      </w:r>
    </w:p>
    <w:p w14:paraId="5A5A3680" w14:textId="77777777" w:rsidR="0086707B" w:rsidRPr="00025EB8" w:rsidRDefault="0086707B" w:rsidP="0086707B">
      <w:pPr>
        <w:pStyle w:val="References"/>
        <w:rPr>
          <w:rFonts w:eastAsia="Batang"/>
          <w:lang w:eastAsia="ko-KR"/>
        </w:rPr>
      </w:pPr>
      <w:r w:rsidRPr="00025EB8">
        <w:rPr>
          <w:rFonts w:eastAsia="Batang"/>
          <w:lang w:eastAsia="ko-KR"/>
        </w:rPr>
        <w:t xml:space="preserve">Edwards, </w:t>
      </w:r>
      <w:r>
        <w:rPr>
          <w:rFonts w:eastAsia="Batang"/>
          <w:lang w:eastAsia="ko-KR"/>
        </w:rPr>
        <w:t>P. G. &amp; Miller, C. A. 2001</w:t>
      </w:r>
      <w:r w:rsidRPr="00025EB8">
        <w:rPr>
          <w:rFonts w:eastAsia="Batang"/>
          <w:lang w:eastAsia="ko-KR"/>
        </w:rPr>
        <w:t xml:space="preserve">. </w:t>
      </w:r>
      <w:r w:rsidRPr="00447F4C">
        <w:rPr>
          <w:rFonts w:eastAsia="Batang"/>
          <w:b/>
          <w:i/>
          <w:iCs/>
          <w:lang w:eastAsia="ko-KR"/>
        </w:rPr>
        <w:t>Changing the atmosphere: expert knowledge and environmental governance</w:t>
      </w:r>
      <w:r w:rsidRPr="00025EB8">
        <w:rPr>
          <w:rFonts w:eastAsia="Batang"/>
          <w:lang w:eastAsia="ko-KR"/>
        </w:rPr>
        <w:t>. Cambridge, Mass: MIT Press.</w:t>
      </w:r>
    </w:p>
    <w:p w14:paraId="51E9AE95" w14:textId="77777777" w:rsidR="0086707B" w:rsidRDefault="0086707B" w:rsidP="0086707B">
      <w:pPr>
        <w:pStyle w:val="References"/>
      </w:pPr>
      <w:r>
        <w:t xml:space="preserve">EPA TRI Program timeline. Accessible under: </w:t>
      </w:r>
      <w:hyperlink r:id="rId14" w:history="1">
        <w:r w:rsidRPr="005C1A8F">
          <w:rPr>
            <w:rStyle w:val="Hyperlink"/>
          </w:rPr>
          <w:t>http://www2.epa.gov/toxics-release-inventory-tri-program/tri-program-timeline-</w:t>
        </w:r>
      </w:hyperlink>
      <w:r w:rsidRPr="00BC6FAB">
        <w:t>0</w:t>
      </w:r>
    </w:p>
    <w:p w14:paraId="0CDB5B0E" w14:textId="77777777" w:rsidR="0086707B" w:rsidRPr="000A6F24" w:rsidRDefault="0086707B" w:rsidP="0086707B">
      <w:pPr>
        <w:pStyle w:val="References"/>
      </w:pPr>
      <w:r w:rsidRPr="000A6F24">
        <w:t>Fisher, B.</w:t>
      </w:r>
      <w:r>
        <w:t xml:space="preserve"> </w:t>
      </w:r>
      <w:r w:rsidRPr="000A6F24">
        <w:t xml:space="preserve">S., Woffenden, K., Matysek, A., Ford, M., </w:t>
      </w:r>
      <w:r>
        <w:t>&amp; Tulpule, V. 2004</w:t>
      </w:r>
      <w:r w:rsidRPr="000A6F24">
        <w:t xml:space="preserve">. Alternative to the Kyoto Protocol: A new climate policy framework?, </w:t>
      </w:r>
      <w:r w:rsidRPr="00447F4C">
        <w:rPr>
          <w:b/>
          <w:i/>
        </w:rPr>
        <w:t>International Review for Environmental Strategies</w:t>
      </w:r>
      <w:r w:rsidRPr="00447F4C">
        <w:rPr>
          <w:b/>
        </w:rPr>
        <w:t>,</w:t>
      </w:r>
      <w:r w:rsidRPr="000A6F24">
        <w:t xml:space="preserve"> 5:179-197.</w:t>
      </w:r>
    </w:p>
    <w:p w14:paraId="5640E228" w14:textId="77777777" w:rsidR="0086707B" w:rsidRPr="00CA25A5" w:rsidRDefault="0086707B" w:rsidP="0086707B">
      <w:pPr>
        <w:pStyle w:val="References"/>
        <w:rPr>
          <w:rFonts w:eastAsia="Batang"/>
          <w:lang w:eastAsia="ko-KR"/>
        </w:rPr>
      </w:pPr>
      <w:r w:rsidRPr="00CA25A5">
        <w:t>Freeman, R.</w:t>
      </w:r>
      <w:r>
        <w:t xml:space="preserve"> </w:t>
      </w:r>
      <w:r w:rsidRPr="00CA25A5">
        <w:t xml:space="preserve">E., 1984, </w:t>
      </w:r>
      <w:r w:rsidRPr="00447F4C">
        <w:rPr>
          <w:b/>
          <w:i/>
        </w:rPr>
        <w:t>Strategic Management: a stakeholder approach</w:t>
      </w:r>
      <w:r w:rsidRPr="00CA25A5">
        <w:rPr>
          <w:rFonts w:eastAsia="Batang" w:hint="eastAsia"/>
          <w:lang w:eastAsia="ko-KR"/>
        </w:rPr>
        <w:t>, Cambridge: Cambridge University Press.</w:t>
      </w:r>
    </w:p>
    <w:p w14:paraId="1230E99B" w14:textId="77777777" w:rsidR="0086707B" w:rsidRPr="00CA25A5" w:rsidRDefault="0086707B" w:rsidP="0086707B">
      <w:pPr>
        <w:pStyle w:val="References"/>
        <w:rPr>
          <w:rFonts w:eastAsia="Batang"/>
          <w:lang w:eastAsia="ko-KR"/>
        </w:rPr>
      </w:pPr>
      <w:r w:rsidRPr="00CA25A5">
        <w:t>Freeman, R.</w:t>
      </w:r>
      <w:r>
        <w:t xml:space="preserve"> </w:t>
      </w:r>
      <w:r w:rsidRPr="00CA25A5">
        <w:t xml:space="preserve">E., </w:t>
      </w:r>
      <w:r w:rsidRPr="00CA25A5">
        <w:rPr>
          <w:rFonts w:eastAsia="Batang" w:hint="eastAsia"/>
          <w:lang w:eastAsia="ko-KR"/>
        </w:rPr>
        <w:t>1999</w:t>
      </w:r>
      <w:r w:rsidRPr="00CA25A5">
        <w:t xml:space="preserve">, </w:t>
      </w:r>
      <w:r w:rsidRPr="00CA25A5">
        <w:rPr>
          <w:rFonts w:eastAsia="Batang" w:hint="eastAsia"/>
          <w:lang w:eastAsia="ko-KR"/>
        </w:rPr>
        <w:t xml:space="preserve">Divergent stakeholder theory, </w:t>
      </w:r>
      <w:r w:rsidRPr="00447F4C">
        <w:rPr>
          <w:rFonts w:eastAsia="Batang" w:hint="eastAsia"/>
          <w:b/>
          <w:i/>
          <w:lang w:eastAsia="ko-KR"/>
        </w:rPr>
        <w:t>Academy of Management Review</w:t>
      </w:r>
      <w:r w:rsidRPr="00CA25A5">
        <w:rPr>
          <w:rFonts w:eastAsia="Batang" w:hint="eastAsia"/>
          <w:lang w:eastAsia="ko-KR"/>
        </w:rPr>
        <w:t>, 24: 233-236.</w:t>
      </w:r>
    </w:p>
    <w:p w14:paraId="797EA750" w14:textId="77777777" w:rsidR="0086707B" w:rsidRDefault="0086707B" w:rsidP="0086707B">
      <w:pPr>
        <w:pStyle w:val="References"/>
      </w:pPr>
      <w:r>
        <w:t xml:space="preserve">Friedland, R., &amp; Alford, R. 1991. Bringing society back in: Symbols, practices, and institutional </w:t>
      </w:r>
      <w:r>
        <w:lastRenderedPageBreak/>
        <w:t xml:space="preserve">contradictions. W. W. Powell, P. DiMaggio, eds. </w:t>
      </w:r>
      <w:r w:rsidRPr="00716708">
        <w:rPr>
          <w:b/>
          <w:i/>
        </w:rPr>
        <w:t>The New Institutionalism in Organizational Analysis.</w:t>
      </w:r>
      <w:r>
        <w:t xml:space="preserve"> University of Chicago Press, Chicago, 232–263.</w:t>
      </w:r>
    </w:p>
    <w:p w14:paraId="0AE59742" w14:textId="77777777" w:rsidR="0086707B" w:rsidRPr="00CA25A5" w:rsidRDefault="0086707B" w:rsidP="0086707B">
      <w:pPr>
        <w:pStyle w:val="References"/>
      </w:pPr>
      <w:r w:rsidRPr="00CA25A5">
        <w:t xml:space="preserve">Friedman, M., 1970, </w:t>
      </w:r>
      <w:r w:rsidRPr="00CA25A5">
        <w:rPr>
          <w:lang w:val="en-US"/>
        </w:rPr>
        <w:t>The Social Responsibility of Busin</w:t>
      </w:r>
      <w:r>
        <w:rPr>
          <w:lang w:val="en-US"/>
        </w:rPr>
        <w:t>ess Is to Increase Its Profits,</w:t>
      </w:r>
      <w:r w:rsidRPr="00CA25A5">
        <w:rPr>
          <w:lang w:val="en-US"/>
        </w:rPr>
        <w:t xml:space="preserve"> New York Times Magazine, September 13, 1970.</w:t>
      </w:r>
    </w:p>
    <w:p w14:paraId="24E887BC" w14:textId="77777777" w:rsidR="0086707B" w:rsidRPr="00DF2ACC" w:rsidRDefault="0086707B" w:rsidP="0086707B">
      <w:pPr>
        <w:pStyle w:val="References"/>
      </w:pPr>
      <w:r w:rsidRPr="00DF2ACC">
        <w:t>Gompers, P., Ishii, J.,</w:t>
      </w:r>
      <w:r>
        <w:t xml:space="preserve"> &amp;  Metrick, A., 2003</w:t>
      </w:r>
      <w:r w:rsidRPr="00DF2ACC">
        <w:t xml:space="preserve">, Corporate governance and equity prices, </w:t>
      </w:r>
      <w:r w:rsidRPr="00447F4C">
        <w:rPr>
          <w:b/>
          <w:i/>
        </w:rPr>
        <w:t>Quarterly Journal of Economics</w:t>
      </w:r>
      <w:r w:rsidRPr="00DF2ACC">
        <w:t>, 116: 229-259.</w:t>
      </w:r>
    </w:p>
    <w:p w14:paraId="07ABF916" w14:textId="77777777" w:rsidR="0086707B" w:rsidRPr="005A74F5" w:rsidRDefault="0086707B" w:rsidP="0086707B">
      <w:pPr>
        <w:pStyle w:val="References"/>
      </w:pPr>
      <w:r>
        <w:t>Government of Japan. 2008</w:t>
      </w:r>
      <w:r w:rsidRPr="005A74F5">
        <w:t xml:space="preserve">, </w:t>
      </w:r>
      <w:hyperlink r:id="rId15" w:history="1">
        <w:r w:rsidRPr="00716708">
          <w:rPr>
            <w:rStyle w:val="Hyperlink"/>
            <w:b/>
            <w:i/>
            <w:iCs/>
          </w:rPr>
          <w:t>Kyoto Protocol Target Achievement Plan</w:t>
        </w:r>
      </w:hyperlink>
      <w:r w:rsidRPr="00716708">
        <w:rPr>
          <w:b/>
          <w:i/>
        </w:rPr>
        <w:t>,</w:t>
      </w:r>
      <w:r w:rsidRPr="005A74F5">
        <w:t xml:space="preserve"> Tokyo, Japan: Ministry of the Environment, Government of Japan, pp. 81–82, 28 March (</w:t>
      </w:r>
      <w:hyperlink r:id="rId16" w:history="1">
        <w:r w:rsidRPr="005A74F5">
          <w:rPr>
            <w:rStyle w:val="Hyperlink"/>
          </w:rPr>
          <w:t>http://www.env.go.jp/en/earth/cc/kptap.pdf</w:t>
        </w:r>
      </w:hyperlink>
      <w:r w:rsidRPr="005A74F5">
        <w:t>)</w:t>
      </w:r>
    </w:p>
    <w:p w14:paraId="6B7F86E6" w14:textId="77777777" w:rsidR="0086707B" w:rsidRPr="0062403A" w:rsidRDefault="0086707B" w:rsidP="0086707B">
      <w:pPr>
        <w:pStyle w:val="References"/>
      </w:pPr>
      <w:r w:rsidRPr="0062403A">
        <w:t>Greeno, J.</w:t>
      </w:r>
      <w:r>
        <w:t xml:space="preserve"> </w:t>
      </w:r>
      <w:r w:rsidRPr="0062403A">
        <w:t xml:space="preserve">L. </w:t>
      </w:r>
      <w:r>
        <w:t>&amp;</w:t>
      </w:r>
      <w:r w:rsidRPr="0062403A">
        <w:t xml:space="preserve"> Robinson, S.</w:t>
      </w:r>
      <w:r>
        <w:t xml:space="preserve"> </w:t>
      </w:r>
      <w:r w:rsidRPr="0062403A">
        <w:t>N. 1992</w:t>
      </w:r>
      <w:r>
        <w:t>.</w:t>
      </w:r>
      <w:r w:rsidRPr="0062403A">
        <w:t xml:space="preserve"> Rethinking corporate environmental management, </w:t>
      </w:r>
      <w:r w:rsidRPr="00447F4C">
        <w:rPr>
          <w:b/>
          <w:i/>
        </w:rPr>
        <w:t>Columbia Journal of World Business</w:t>
      </w:r>
      <w:r w:rsidRPr="0062403A">
        <w:t>, 27: 222-232.</w:t>
      </w:r>
    </w:p>
    <w:p w14:paraId="16671174" w14:textId="77777777" w:rsidR="0086707B" w:rsidRPr="00D22706" w:rsidRDefault="0086707B" w:rsidP="0086707B">
      <w:pPr>
        <w:pStyle w:val="References"/>
        <w:rPr>
          <w:rFonts w:cs="Melior"/>
        </w:rPr>
      </w:pPr>
      <w:r w:rsidRPr="00716708">
        <w:rPr>
          <w:rFonts w:cs="Melior"/>
        </w:rPr>
        <w:t xml:space="preserve">Guggenheim, D. 2006. </w:t>
      </w:r>
      <w:r w:rsidRPr="00716708">
        <w:rPr>
          <w:rFonts w:cs="Melior"/>
          <w:b/>
          <w:i/>
        </w:rPr>
        <w:t>An Inconvenient Truth: A Global Warning:</w:t>
      </w:r>
      <w:r w:rsidRPr="00716708">
        <w:rPr>
          <w:rFonts w:cs="Melior"/>
        </w:rPr>
        <w:t xml:space="preserve"> Paramount.</w:t>
      </w:r>
    </w:p>
    <w:p w14:paraId="0B155833" w14:textId="77777777" w:rsidR="0086707B" w:rsidRPr="00D862B4" w:rsidRDefault="0086707B" w:rsidP="0086707B">
      <w:pPr>
        <w:pStyle w:val="References"/>
        <w:rPr>
          <w:szCs w:val="22"/>
          <w:lang w:val="en-US"/>
        </w:rPr>
      </w:pPr>
      <w:r w:rsidRPr="00D862B4">
        <w:rPr>
          <w:szCs w:val="22"/>
          <w:lang w:val="en-US"/>
        </w:rPr>
        <w:t xml:space="preserve">Hayek, </w:t>
      </w:r>
      <w:r>
        <w:rPr>
          <w:szCs w:val="22"/>
          <w:lang w:val="en-US"/>
        </w:rPr>
        <w:t>F.</w:t>
      </w:r>
      <w:r w:rsidRPr="00D862B4">
        <w:rPr>
          <w:szCs w:val="22"/>
          <w:lang w:val="en-US"/>
        </w:rPr>
        <w:t xml:space="preserve"> A. 1960. </w:t>
      </w:r>
      <w:r w:rsidRPr="00447F4C">
        <w:rPr>
          <w:b/>
          <w:i/>
          <w:iCs/>
          <w:szCs w:val="22"/>
          <w:lang w:val="en-US"/>
        </w:rPr>
        <w:t>The Constitution of Liberty</w:t>
      </w:r>
      <w:r w:rsidRPr="00D862B4">
        <w:rPr>
          <w:szCs w:val="22"/>
          <w:lang w:val="en-US"/>
        </w:rPr>
        <w:t>, Chicago: University of Chicago Press.</w:t>
      </w:r>
    </w:p>
    <w:p w14:paraId="4CE553D3" w14:textId="77777777" w:rsidR="0086707B" w:rsidRPr="00D862B4" w:rsidRDefault="0086707B" w:rsidP="0086707B">
      <w:pPr>
        <w:pStyle w:val="References"/>
        <w:rPr>
          <w:szCs w:val="22"/>
          <w:lang w:val="en-US"/>
        </w:rPr>
      </w:pPr>
      <w:r w:rsidRPr="00D862B4">
        <w:rPr>
          <w:szCs w:val="22"/>
          <w:lang w:val="en-US"/>
        </w:rPr>
        <w:t xml:space="preserve">Head, K., Mayer, T., </w:t>
      </w:r>
      <w:r>
        <w:rPr>
          <w:szCs w:val="22"/>
          <w:lang w:val="en-US"/>
        </w:rPr>
        <w:t>&amp;</w:t>
      </w:r>
      <w:r w:rsidRPr="00D862B4">
        <w:rPr>
          <w:szCs w:val="22"/>
          <w:lang w:val="en-US"/>
        </w:rPr>
        <w:t xml:space="preserve"> Ries, J. 2010</w:t>
      </w:r>
      <w:r>
        <w:rPr>
          <w:szCs w:val="22"/>
          <w:lang w:val="en-US"/>
        </w:rPr>
        <w:t>.</w:t>
      </w:r>
      <w:r w:rsidRPr="00D862B4">
        <w:rPr>
          <w:szCs w:val="22"/>
          <w:lang w:eastAsia="en-AU"/>
        </w:rPr>
        <w:t xml:space="preserve"> “The erosion of colonial trade linkages after independence”, </w:t>
      </w:r>
      <w:r w:rsidRPr="00447F4C">
        <w:rPr>
          <w:b/>
          <w:i/>
          <w:szCs w:val="22"/>
          <w:lang w:eastAsia="en-AU"/>
        </w:rPr>
        <w:t>Journal of International Economics</w:t>
      </w:r>
      <w:r w:rsidRPr="00D862B4">
        <w:rPr>
          <w:szCs w:val="22"/>
          <w:lang w:eastAsia="en-AU"/>
        </w:rPr>
        <w:t xml:space="preserve">, 81:1-14. </w:t>
      </w:r>
    </w:p>
    <w:p w14:paraId="14CDA171" w14:textId="77777777" w:rsidR="0086707B" w:rsidRPr="00D862B4" w:rsidRDefault="0086707B" w:rsidP="0086707B">
      <w:pPr>
        <w:pStyle w:val="References"/>
        <w:rPr>
          <w:szCs w:val="22"/>
        </w:rPr>
      </w:pPr>
      <w:r w:rsidRPr="00D862B4">
        <w:rPr>
          <w:szCs w:val="22"/>
        </w:rPr>
        <w:t xml:space="preserve">Henriques, I., </w:t>
      </w:r>
      <w:r>
        <w:rPr>
          <w:szCs w:val="22"/>
        </w:rPr>
        <w:t>&amp;</w:t>
      </w:r>
      <w:r w:rsidRPr="00D862B4">
        <w:rPr>
          <w:szCs w:val="22"/>
        </w:rPr>
        <w:t xml:space="preserve"> Sadorsky, P. 1999</w:t>
      </w:r>
      <w:r>
        <w:rPr>
          <w:szCs w:val="22"/>
        </w:rPr>
        <w:t>.</w:t>
      </w:r>
      <w:r w:rsidRPr="00D862B4">
        <w:rPr>
          <w:szCs w:val="22"/>
        </w:rPr>
        <w:t xml:space="preserve"> The relationship between environmental commitment and managerial perceptions of stakeholder importance. </w:t>
      </w:r>
      <w:r w:rsidRPr="00447F4C">
        <w:rPr>
          <w:b/>
          <w:i/>
          <w:szCs w:val="22"/>
        </w:rPr>
        <w:t>Academy of Management Journal</w:t>
      </w:r>
      <w:r w:rsidRPr="00D862B4">
        <w:rPr>
          <w:szCs w:val="22"/>
        </w:rPr>
        <w:t>, 42:87-99.</w:t>
      </w:r>
    </w:p>
    <w:p w14:paraId="2FB73316" w14:textId="77777777" w:rsidR="0086707B" w:rsidRDefault="0086707B" w:rsidP="0086707B">
      <w:pPr>
        <w:pStyle w:val="References"/>
        <w:rPr>
          <w:lang w:val="de-DE"/>
        </w:rPr>
      </w:pPr>
      <w:r w:rsidRPr="0025411D">
        <w:rPr>
          <w:lang w:val="de-DE"/>
        </w:rPr>
        <w:t>Herremans</w:t>
      </w:r>
      <w:r>
        <w:rPr>
          <w:lang w:val="de-DE"/>
        </w:rPr>
        <w:t xml:space="preserve">, I. M., </w:t>
      </w:r>
      <w:r w:rsidRPr="0025411D">
        <w:rPr>
          <w:lang w:val="de-DE"/>
        </w:rPr>
        <w:t>Herschovis</w:t>
      </w:r>
      <w:r>
        <w:rPr>
          <w:lang w:val="de-DE"/>
        </w:rPr>
        <w:t xml:space="preserve">, M. S., &amp; </w:t>
      </w:r>
      <w:r w:rsidRPr="0025411D">
        <w:rPr>
          <w:lang w:val="de-DE"/>
        </w:rPr>
        <w:t>Bertels</w:t>
      </w:r>
      <w:r>
        <w:rPr>
          <w:lang w:val="de-DE"/>
        </w:rPr>
        <w:t xml:space="preserve">, S. 2009. </w:t>
      </w:r>
      <w:r w:rsidRPr="0025411D">
        <w:rPr>
          <w:lang w:val="de-DE"/>
        </w:rPr>
        <w:t>Leaders and Laggards: The Influence</w:t>
      </w:r>
      <w:r>
        <w:rPr>
          <w:lang w:val="de-DE"/>
        </w:rPr>
        <w:t xml:space="preserve"> </w:t>
      </w:r>
      <w:r w:rsidRPr="0025411D">
        <w:rPr>
          <w:lang w:val="de-DE"/>
        </w:rPr>
        <w:t>of Competing Logics on Corporate</w:t>
      </w:r>
      <w:r>
        <w:rPr>
          <w:lang w:val="de-DE"/>
        </w:rPr>
        <w:t xml:space="preserve"> </w:t>
      </w:r>
      <w:r w:rsidRPr="0025411D">
        <w:rPr>
          <w:lang w:val="de-DE"/>
        </w:rPr>
        <w:t>Environmental Action</w:t>
      </w:r>
      <w:r>
        <w:rPr>
          <w:lang w:val="de-DE"/>
        </w:rPr>
        <w:t xml:space="preserve">. </w:t>
      </w:r>
      <w:r w:rsidRPr="00716708">
        <w:rPr>
          <w:b/>
          <w:i/>
          <w:lang w:val="de-DE"/>
        </w:rPr>
        <w:t>Journal of Business Ethics,</w:t>
      </w:r>
      <w:r w:rsidRPr="0025411D">
        <w:rPr>
          <w:lang w:val="de-DE"/>
        </w:rPr>
        <w:t xml:space="preserve"> 89:</w:t>
      </w:r>
      <w:r>
        <w:rPr>
          <w:lang w:val="de-DE"/>
        </w:rPr>
        <w:t xml:space="preserve"> </w:t>
      </w:r>
      <w:r w:rsidRPr="0025411D">
        <w:rPr>
          <w:lang w:val="de-DE"/>
        </w:rPr>
        <w:t>449–472</w:t>
      </w:r>
    </w:p>
    <w:p w14:paraId="222F8DF7" w14:textId="77777777" w:rsidR="0086707B" w:rsidRPr="00776516" w:rsidRDefault="0086707B" w:rsidP="0086707B">
      <w:pPr>
        <w:pStyle w:val="References"/>
        <w:rPr>
          <w:lang w:val="de-DE"/>
        </w:rPr>
      </w:pPr>
      <w:r w:rsidRPr="00776516">
        <w:rPr>
          <w:lang w:val="de-DE"/>
        </w:rPr>
        <w:t xml:space="preserve">Hill, C. W. L., </w:t>
      </w:r>
      <w:r>
        <w:rPr>
          <w:lang w:val="de-DE"/>
        </w:rPr>
        <w:t>&amp;</w:t>
      </w:r>
      <w:r w:rsidRPr="00776516">
        <w:rPr>
          <w:lang w:val="de-DE"/>
        </w:rPr>
        <w:t xml:space="preserve"> Jones, T. M. 1992</w:t>
      </w:r>
      <w:r>
        <w:rPr>
          <w:lang w:val="de-DE"/>
        </w:rPr>
        <w:t>.</w:t>
      </w:r>
      <w:r w:rsidRPr="00776516">
        <w:rPr>
          <w:lang w:val="de-DE"/>
        </w:rPr>
        <w:t xml:space="preserve"> Stakeholder-Agency Theory, </w:t>
      </w:r>
      <w:r w:rsidRPr="00447F4C">
        <w:rPr>
          <w:b/>
          <w:i/>
          <w:lang w:val="de-DE"/>
        </w:rPr>
        <w:t>Journal of Management Studies</w:t>
      </w:r>
      <w:r w:rsidRPr="000F03EB">
        <w:rPr>
          <w:i/>
          <w:lang w:val="de-DE"/>
        </w:rPr>
        <w:t xml:space="preserve"> </w:t>
      </w:r>
      <w:r w:rsidRPr="00776516">
        <w:rPr>
          <w:lang w:val="de-DE"/>
        </w:rPr>
        <w:t>29, 131-154.</w:t>
      </w:r>
    </w:p>
    <w:p w14:paraId="1565EE56" w14:textId="77777777" w:rsidR="0086707B" w:rsidRPr="00C41DDA" w:rsidRDefault="0086707B" w:rsidP="0086707B">
      <w:pPr>
        <w:pStyle w:val="References"/>
      </w:pPr>
      <w:r w:rsidRPr="00C41DDA">
        <w:t xml:space="preserve">Hiller, D., Pindado, J., de Queiroz, V., </w:t>
      </w:r>
      <w:r>
        <w:t>&amp;</w:t>
      </w:r>
      <w:r w:rsidRPr="00C41DDA">
        <w:t xml:space="preserve"> de la Torre, C. 2011</w:t>
      </w:r>
      <w:r>
        <w:t>.</w:t>
      </w:r>
      <w:r w:rsidRPr="00C41DDA">
        <w:t xml:space="preserve"> The impact of country-level corporate governance on research and development, </w:t>
      </w:r>
      <w:r w:rsidRPr="00447F4C">
        <w:rPr>
          <w:b/>
          <w:i/>
        </w:rPr>
        <w:t>Journal of International Business Studies</w:t>
      </w:r>
      <w:r w:rsidRPr="000F03EB">
        <w:rPr>
          <w:i/>
        </w:rPr>
        <w:t>,</w:t>
      </w:r>
      <w:r w:rsidRPr="00C41DDA">
        <w:t xml:space="preserve"> 42:76-98.</w:t>
      </w:r>
    </w:p>
    <w:p w14:paraId="0275162A" w14:textId="77777777" w:rsidR="0086707B" w:rsidRPr="0054724C" w:rsidRDefault="0086707B" w:rsidP="0086707B">
      <w:pPr>
        <w:pStyle w:val="References"/>
      </w:pPr>
      <w:r>
        <w:t>Janicke, M. 2006</w:t>
      </w:r>
      <w:r w:rsidRPr="0054724C">
        <w:t xml:space="preserve">. The ‘Rio Model’ of Environmental Governance – a General Evaluation, </w:t>
      </w:r>
      <w:hyperlink r:id="rId17" w:history="1">
        <w:r w:rsidRPr="0054724C">
          <w:rPr>
            <w:rStyle w:val="Hyperlink"/>
          </w:rPr>
          <w:t>http://ssrn.com/abstract=926968</w:t>
        </w:r>
      </w:hyperlink>
      <w:r w:rsidRPr="0054724C">
        <w:t>.</w:t>
      </w:r>
    </w:p>
    <w:p w14:paraId="60DFF038" w14:textId="77777777" w:rsidR="0086707B" w:rsidRPr="00C61DFC" w:rsidRDefault="0086707B" w:rsidP="0086707B">
      <w:pPr>
        <w:pStyle w:val="References"/>
        <w:rPr>
          <w:lang w:val="en-US"/>
        </w:rPr>
      </w:pPr>
      <w:r w:rsidRPr="00C61DFC">
        <w:rPr>
          <w:lang w:val="en-US"/>
        </w:rPr>
        <w:t>Johnson, R.A.</w:t>
      </w:r>
      <w:r>
        <w:rPr>
          <w:lang w:val="en-US"/>
        </w:rPr>
        <w:t xml:space="preserve"> &amp; Greening, D.W. 1999</w:t>
      </w:r>
      <w:r w:rsidRPr="00C61DFC">
        <w:rPr>
          <w:lang w:val="en-US"/>
        </w:rPr>
        <w:t>. The effects of corporate governance and institutional ownership types on corporate social performance</w:t>
      </w:r>
      <w:r w:rsidRPr="00C61DFC">
        <w:rPr>
          <w:i/>
          <w:iCs/>
          <w:lang w:val="en-US"/>
        </w:rPr>
        <w:t xml:space="preserve">. </w:t>
      </w:r>
      <w:r w:rsidRPr="00447F4C">
        <w:rPr>
          <w:b/>
          <w:i/>
          <w:iCs/>
          <w:lang w:val="en-US"/>
        </w:rPr>
        <w:t>Academy of Management Journal</w:t>
      </w:r>
      <w:r w:rsidRPr="00C61DFC">
        <w:rPr>
          <w:lang w:val="en-US"/>
        </w:rPr>
        <w:t xml:space="preserve">, </w:t>
      </w:r>
      <w:r w:rsidRPr="00447F4C">
        <w:rPr>
          <w:bCs/>
          <w:lang w:val="en-US"/>
        </w:rPr>
        <w:t>42</w:t>
      </w:r>
      <w:r w:rsidRPr="00C61DFC">
        <w:rPr>
          <w:lang w:val="en-US"/>
        </w:rPr>
        <w:t>, 564-576.</w:t>
      </w:r>
    </w:p>
    <w:p w14:paraId="0A0F7F92" w14:textId="77777777" w:rsidR="0086707B" w:rsidRPr="008C681B" w:rsidRDefault="0086707B" w:rsidP="0086707B">
      <w:pPr>
        <w:pStyle w:val="References"/>
      </w:pPr>
      <w:r w:rsidRPr="008C681B">
        <w:t xml:space="preserve">Jotzo, F., Polidano, C., Brown, S., </w:t>
      </w:r>
      <w:r>
        <w:t>&amp; Stuart, R. 1999.</w:t>
      </w:r>
      <w:r w:rsidRPr="008C681B">
        <w:t xml:space="preserve"> Global environmental measures and the Kyoto Protocol: An evaluation of international emissions trading, Paper presented at Symposium on Pacific Energy Cooperation – SPEC ’99, Dai-ichi Hotel, Tokyo, 16-17 February. </w:t>
      </w:r>
    </w:p>
    <w:p w14:paraId="0F9DCBC0" w14:textId="77777777" w:rsidR="0086707B" w:rsidRPr="00025EB8" w:rsidRDefault="0086707B" w:rsidP="0086707B">
      <w:pPr>
        <w:pStyle w:val="References"/>
      </w:pPr>
      <w:r w:rsidRPr="00025EB8">
        <w:t xml:space="preserve">Kassinis, G. </w:t>
      </w:r>
      <w:r>
        <w:t>&amp;</w:t>
      </w:r>
      <w:r w:rsidRPr="00025EB8">
        <w:t xml:space="preserve"> Vafeas, N. 2006</w:t>
      </w:r>
      <w:r>
        <w:t>.</w:t>
      </w:r>
      <w:r w:rsidRPr="00025EB8">
        <w:t xml:space="preserve"> Stakeholder pressures and environmental performance, </w:t>
      </w:r>
      <w:r w:rsidRPr="00447F4C">
        <w:rPr>
          <w:b/>
          <w:i/>
        </w:rPr>
        <w:t>Academy of Management Journal</w:t>
      </w:r>
      <w:r w:rsidRPr="00025EB8">
        <w:t>, 49: 145-59.</w:t>
      </w:r>
    </w:p>
    <w:p w14:paraId="339E31B5" w14:textId="77777777" w:rsidR="0086707B" w:rsidRPr="0083200B" w:rsidRDefault="0086707B" w:rsidP="0086707B">
      <w:pPr>
        <w:pStyle w:val="References"/>
      </w:pPr>
      <w:r>
        <w:t>Keating, D. 2012</w:t>
      </w:r>
      <w:r w:rsidRPr="0083200B">
        <w:t>. Disappointment in Doha, EuropeanVoice.Com (</w:t>
      </w:r>
      <w:hyperlink r:id="rId18" w:history="1">
        <w:r w:rsidRPr="0083200B">
          <w:rPr>
            <w:rStyle w:val="Hyperlink"/>
          </w:rPr>
          <w:t>http://www.europeanvoice.com/article/imported/disappointment-in-doha/75964.aspx</w:t>
        </w:r>
      </w:hyperlink>
      <w:r w:rsidRPr="0083200B">
        <w:t>, extracted on 14 January 2013).</w:t>
      </w:r>
    </w:p>
    <w:p w14:paraId="56E5C5FE" w14:textId="77777777" w:rsidR="0086707B" w:rsidRPr="00A5302E" w:rsidRDefault="0086707B" w:rsidP="0086707B">
      <w:pPr>
        <w:pStyle w:val="References"/>
      </w:pPr>
      <w:r w:rsidRPr="00A5302E">
        <w:t>Klassen, R.</w:t>
      </w:r>
      <w:r>
        <w:t xml:space="preserve"> </w:t>
      </w:r>
      <w:r w:rsidRPr="00A5302E">
        <w:t xml:space="preserve">D. </w:t>
      </w:r>
      <w:r>
        <w:t>&amp;</w:t>
      </w:r>
      <w:r w:rsidRPr="00A5302E">
        <w:t xml:space="preserve"> Whybark, D. 1999</w:t>
      </w:r>
      <w:r>
        <w:t>.</w:t>
      </w:r>
      <w:r w:rsidRPr="00A5302E">
        <w:t xml:space="preserve"> The impact of environmental technologies on manufacturing performance, </w:t>
      </w:r>
      <w:r w:rsidRPr="00447F4C">
        <w:rPr>
          <w:b/>
          <w:i/>
        </w:rPr>
        <w:t>Academy of Management Journal</w:t>
      </w:r>
      <w:r w:rsidRPr="00A5302E">
        <w:t>, 42: 599-615.</w:t>
      </w:r>
    </w:p>
    <w:p w14:paraId="47E987ED" w14:textId="77777777" w:rsidR="0086707B" w:rsidRPr="000A6F24" w:rsidRDefault="0086707B" w:rsidP="0086707B">
      <w:pPr>
        <w:pStyle w:val="References"/>
      </w:pPr>
      <w:r>
        <w:t>King, A. A., &amp; Lenox, M. J. 2000.</w:t>
      </w:r>
      <w:r w:rsidRPr="000A6F24">
        <w:t xml:space="preserve"> Industry self-regulation without sanction: The chemical industry’s responsible care program, </w:t>
      </w:r>
      <w:r w:rsidRPr="00447F4C">
        <w:rPr>
          <w:b/>
          <w:i/>
        </w:rPr>
        <w:t>Academy of Management Journal</w:t>
      </w:r>
      <w:r w:rsidRPr="000A6F24">
        <w:t>, 43:698-716.</w:t>
      </w:r>
    </w:p>
    <w:p w14:paraId="65106317" w14:textId="77777777" w:rsidR="0086707B" w:rsidRPr="000A6F24" w:rsidRDefault="0086707B" w:rsidP="0086707B">
      <w:pPr>
        <w:pStyle w:val="References"/>
      </w:pPr>
      <w:r w:rsidRPr="000A6F24">
        <w:t>King, A.</w:t>
      </w:r>
      <w:r>
        <w:t xml:space="preserve"> A., &amp; Lenox, M. J. 2001. </w:t>
      </w:r>
      <w:r w:rsidRPr="000A6F24">
        <w:t xml:space="preserve">Does It Really Pay to Be Green? An Empirical Study of Firm Environmental and Financial Performance, </w:t>
      </w:r>
      <w:r w:rsidRPr="00447F4C">
        <w:rPr>
          <w:b/>
          <w:i/>
        </w:rPr>
        <w:t>Journal of Industrial Ecology</w:t>
      </w:r>
      <w:r w:rsidRPr="000A6F24">
        <w:t>, 5:105-116.</w:t>
      </w:r>
    </w:p>
    <w:p w14:paraId="40B65AF2" w14:textId="77777777" w:rsidR="0086707B" w:rsidRPr="0062403A" w:rsidRDefault="0086707B" w:rsidP="0086707B">
      <w:pPr>
        <w:pStyle w:val="References"/>
        <w:rPr>
          <w:lang w:val="en-US"/>
        </w:rPr>
      </w:pPr>
      <w:r w:rsidRPr="0062403A">
        <w:rPr>
          <w:lang w:val="en-US"/>
        </w:rPr>
        <w:lastRenderedPageBreak/>
        <w:t>King, A.</w:t>
      </w:r>
      <w:r>
        <w:rPr>
          <w:lang w:val="en-US"/>
        </w:rPr>
        <w:t xml:space="preserve"> A., &amp; </w:t>
      </w:r>
      <w:r w:rsidRPr="0062403A">
        <w:rPr>
          <w:lang w:val="en-US"/>
        </w:rPr>
        <w:t>Lenox, M.</w:t>
      </w:r>
      <w:r>
        <w:rPr>
          <w:lang w:val="en-US"/>
        </w:rPr>
        <w:t xml:space="preserve"> J.</w:t>
      </w:r>
      <w:r w:rsidRPr="0062403A">
        <w:rPr>
          <w:lang w:val="en-US"/>
        </w:rPr>
        <w:t xml:space="preserve"> 2002. Exploring the locus of profitable pollution reduction. </w:t>
      </w:r>
      <w:r w:rsidRPr="00447F4C">
        <w:rPr>
          <w:b/>
          <w:i/>
          <w:lang w:val="en-US"/>
        </w:rPr>
        <w:t>Management Science</w:t>
      </w:r>
      <w:r w:rsidRPr="0062403A">
        <w:rPr>
          <w:lang w:val="en-US"/>
        </w:rPr>
        <w:t>, 48(2): 289-299.</w:t>
      </w:r>
    </w:p>
    <w:p w14:paraId="2ECBDDD7" w14:textId="77777777" w:rsidR="0086707B" w:rsidRPr="00C41DDA" w:rsidRDefault="0086707B" w:rsidP="0086707B">
      <w:pPr>
        <w:pStyle w:val="References"/>
      </w:pPr>
      <w:r w:rsidRPr="00C41DDA">
        <w:t>Kock, C.</w:t>
      </w:r>
      <w:r>
        <w:t xml:space="preserve"> </w:t>
      </w:r>
      <w:r w:rsidRPr="00C41DDA">
        <w:t xml:space="preserve">J., Santalo, J. </w:t>
      </w:r>
      <w:r>
        <w:t>&amp;</w:t>
      </w:r>
      <w:r w:rsidRPr="00C41DDA">
        <w:t xml:space="preserve"> Diestre, L. 2012</w:t>
      </w:r>
      <w:r>
        <w:t>.</w:t>
      </w:r>
      <w:r w:rsidRPr="00C41DDA">
        <w:t xml:space="preserve"> Corporate governance and the environment: What types of governance creates greener compa</w:t>
      </w:r>
      <w:r>
        <w:t>nies?</w:t>
      </w:r>
      <w:r w:rsidRPr="00C41DDA">
        <w:t xml:space="preserve"> </w:t>
      </w:r>
      <w:r w:rsidRPr="00447F4C">
        <w:rPr>
          <w:b/>
          <w:i/>
        </w:rPr>
        <w:t>Journal of Management Studies</w:t>
      </w:r>
      <w:r w:rsidRPr="00C41DDA">
        <w:t>, 49:492-514.</w:t>
      </w:r>
    </w:p>
    <w:p w14:paraId="5E0A5878" w14:textId="77777777" w:rsidR="0086707B" w:rsidRPr="00025EB8" w:rsidRDefault="0086707B" w:rsidP="0086707B">
      <w:pPr>
        <w:pStyle w:val="References"/>
      </w:pPr>
      <w:r>
        <w:t>Lafferty, W. 1999</w:t>
      </w:r>
      <w:r w:rsidRPr="00025EB8">
        <w:t xml:space="preserve">. The pursuit of sustainable development—concepts, policies, and arenas. </w:t>
      </w:r>
      <w:r w:rsidRPr="00447F4C">
        <w:rPr>
          <w:b/>
          <w:i/>
          <w:iCs/>
        </w:rPr>
        <w:t>International Political Science Review</w:t>
      </w:r>
      <w:r w:rsidRPr="00025EB8">
        <w:rPr>
          <w:i/>
          <w:iCs/>
        </w:rPr>
        <w:t xml:space="preserve"> </w:t>
      </w:r>
      <w:r w:rsidRPr="00025EB8">
        <w:t>20:123–28.</w:t>
      </w:r>
    </w:p>
    <w:p w14:paraId="4DF0EBDA" w14:textId="77777777" w:rsidR="0086707B" w:rsidRPr="0083200B" w:rsidRDefault="0086707B" w:rsidP="0086707B">
      <w:pPr>
        <w:pStyle w:val="References"/>
      </w:pPr>
      <w:r w:rsidRPr="0083200B">
        <w:t xml:space="preserve">Lahrach, R., Tensorer, J.L., </w:t>
      </w:r>
      <w:r>
        <w:t>&amp; Merlin, V. 2004</w:t>
      </w:r>
      <w:r w:rsidRPr="0083200B">
        <w:t>. Who benefits from the US wit</w:t>
      </w:r>
      <w:r>
        <w:t>hdrawl of the Kyoto protocol? M</w:t>
      </w:r>
      <w:r w:rsidRPr="0083200B">
        <w:t>emeo, CREM, University of Caen, France.</w:t>
      </w:r>
    </w:p>
    <w:p w14:paraId="2E94F87E" w14:textId="77777777" w:rsidR="0086707B" w:rsidRPr="00C41DDA" w:rsidRDefault="0086707B" w:rsidP="0086707B">
      <w:pPr>
        <w:pStyle w:val="References"/>
      </w:pPr>
      <w:r w:rsidRPr="00C41DDA">
        <w:t>La Porta, R., Lopez-de-Silanes, F., Shleifer, A., Vishny, R.,1997</w:t>
      </w:r>
      <w:r>
        <w:t>.</w:t>
      </w:r>
      <w:r w:rsidRPr="00C41DDA">
        <w:t xml:space="preserve"> Legal determinants of external finance, </w:t>
      </w:r>
      <w:r w:rsidRPr="00447F4C">
        <w:rPr>
          <w:b/>
          <w:i/>
        </w:rPr>
        <w:t>Journal of Finance</w:t>
      </w:r>
      <w:r w:rsidRPr="00C41DDA">
        <w:t xml:space="preserve"> 52, 1131-1150.</w:t>
      </w:r>
    </w:p>
    <w:p w14:paraId="240DBBA3" w14:textId="77777777" w:rsidR="0086707B" w:rsidRPr="00C41DDA" w:rsidRDefault="0086707B" w:rsidP="0086707B">
      <w:pPr>
        <w:pStyle w:val="References"/>
      </w:pPr>
      <w:r w:rsidRPr="00C41DDA">
        <w:t xml:space="preserve">La Porta, R., Lopez-de-Silanes, F., Shleifer, A., </w:t>
      </w:r>
      <w:r>
        <w:t xml:space="preserve">&amp; </w:t>
      </w:r>
      <w:r w:rsidRPr="00C41DDA">
        <w:t>Vishny, R. 1998</w:t>
      </w:r>
      <w:r>
        <w:t>.</w:t>
      </w:r>
      <w:r w:rsidRPr="00C41DDA">
        <w:t xml:space="preserve"> Law and finance, </w:t>
      </w:r>
      <w:r w:rsidRPr="00447F4C">
        <w:rPr>
          <w:b/>
          <w:i/>
        </w:rPr>
        <w:t>Journal of Political Economy</w:t>
      </w:r>
      <w:r w:rsidRPr="00C41DDA">
        <w:t xml:space="preserve"> 106, 1113-1150.</w:t>
      </w:r>
    </w:p>
    <w:p w14:paraId="3DE42917" w14:textId="77777777" w:rsidR="0086707B" w:rsidRPr="00C41DDA" w:rsidRDefault="0086707B" w:rsidP="0086707B">
      <w:pPr>
        <w:pStyle w:val="References"/>
      </w:pPr>
      <w:r w:rsidRPr="00C41DDA">
        <w:t xml:space="preserve">La Porta, R., Lopez-de-Silanes, F., Shleifer, A., </w:t>
      </w:r>
      <w:r>
        <w:t xml:space="preserve">&amp; </w:t>
      </w:r>
      <w:r w:rsidRPr="00C41DDA">
        <w:t>Vishny, R.</w:t>
      </w:r>
      <w:r>
        <w:t xml:space="preserve"> </w:t>
      </w:r>
      <w:r w:rsidRPr="00C41DDA">
        <w:t>2000</w:t>
      </w:r>
      <w:r>
        <w:t>.</w:t>
      </w:r>
      <w:r w:rsidRPr="00C41DDA">
        <w:t xml:space="preserve"> Agency problems and dividend policies around the world, </w:t>
      </w:r>
      <w:r w:rsidRPr="00447F4C">
        <w:rPr>
          <w:b/>
          <w:i/>
        </w:rPr>
        <w:t>Journal of Finance</w:t>
      </w:r>
      <w:r w:rsidRPr="00C41DDA">
        <w:t xml:space="preserve"> 55, 1-33.</w:t>
      </w:r>
    </w:p>
    <w:p w14:paraId="75093F21" w14:textId="77777777" w:rsidR="0086707B" w:rsidRDefault="0086707B" w:rsidP="0086707B">
      <w:pPr>
        <w:pStyle w:val="References"/>
      </w:pPr>
      <w:r w:rsidRPr="00C41DDA">
        <w:t xml:space="preserve">La Porta, R., Lopez-de-Silanes, F., Shleifer, A., </w:t>
      </w:r>
      <w:r>
        <w:t xml:space="preserve">&amp; </w:t>
      </w:r>
      <w:r w:rsidRPr="00C41DDA">
        <w:t xml:space="preserve">Vishny, R. 2002. Investor protection and corporate valuation, </w:t>
      </w:r>
      <w:r w:rsidRPr="00447F4C">
        <w:rPr>
          <w:b/>
          <w:i/>
        </w:rPr>
        <w:t>Journal of Finance</w:t>
      </w:r>
      <w:r w:rsidRPr="00C41DDA">
        <w:t xml:space="preserve"> 57, 1147-70.</w:t>
      </w:r>
    </w:p>
    <w:p w14:paraId="7EC7C4C7" w14:textId="77777777" w:rsidR="0086707B" w:rsidRPr="00C41DDA" w:rsidRDefault="0086707B" w:rsidP="0086707B">
      <w:pPr>
        <w:pStyle w:val="References"/>
      </w:pPr>
      <w:r w:rsidRPr="00C41DDA">
        <w:t xml:space="preserve">La Porta, R., Lopez-de-Silanes, </w:t>
      </w:r>
      <w:r>
        <w:t xml:space="preserve">&amp; </w:t>
      </w:r>
      <w:r w:rsidRPr="00C41DDA">
        <w:t xml:space="preserve">F., Shleifer, A. </w:t>
      </w:r>
      <w:r>
        <w:t>2008</w:t>
      </w:r>
      <w:r w:rsidRPr="00C41DDA">
        <w:t xml:space="preserve">. </w:t>
      </w:r>
      <w:r>
        <w:t xml:space="preserve">The economic consequences of Legal Origins, </w:t>
      </w:r>
      <w:r w:rsidRPr="00447F4C">
        <w:rPr>
          <w:b/>
          <w:i/>
        </w:rPr>
        <w:t>Journal of Economic Literature</w:t>
      </w:r>
      <w:r>
        <w:t>, 46(2), 285-332.</w:t>
      </w:r>
    </w:p>
    <w:p w14:paraId="50D506CB" w14:textId="77777777" w:rsidR="0086707B" w:rsidRDefault="0086707B" w:rsidP="0086707B">
      <w:pPr>
        <w:pStyle w:val="References"/>
      </w:pPr>
      <w:r>
        <w:t xml:space="preserve">Lounsbury, M. 2007. ‘A Tale of Two Cities: Competing logics and practice variation in the professionalizing of Mutual Funds’, </w:t>
      </w:r>
      <w:r w:rsidRPr="00716708">
        <w:rPr>
          <w:b/>
          <w:i/>
        </w:rPr>
        <w:t>Academy of Management Journal</w:t>
      </w:r>
      <w:r>
        <w:rPr>
          <w:b/>
          <w:i/>
        </w:rPr>
        <w:t>,</w:t>
      </w:r>
      <w:r>
        <w:t xml:space="preserve"> 50, 289–307.</w:t>
      </w:r>
    </w:p>
    <w:p w14:paraId="1772875E" w14:textId="77777777" w:rsidR="0086707B" w:rsidRPr="00C41DDA" w:rsidRDefault="0086707B" w:rsidP="0086707B">
      <w:pPr>
        <w:pStyle w:val="References"/>
        <w:rPr>
          <w:rFonts w:eastAsia="Batang"/>
          <w:lang w:eastAsia="ko-KR"/>
        </w:rPr>
      </w:pPr>
      <w:r w:rsidRPr="00C41DDA">
        <w:t xml:space="preserve">Luo, X., Chung, C-N. </w:t>
      </w:r>
      <w:r>
        <w:t>&amp;</w:t>
      </w:r>
      <w:r w:rsidRPr="00C41DDA">
        <w:t xml:space="preserve"> Sobczak, M. 2009</w:t>
      </w:r>
      <w:r>
        <w:t>.</w:t>
      </w:r>
      <w:r w:rsidRPr="00C41DDA">
        <w:t xml:space="preserve"> How do corporate governance model differences affect foreign direct investment in emerging economies? </w:t>
      </w:r>
      <w:r w:rsidRPr="00447F4C">
        <w:rPr>
          <w:b/>
          <w:i/>
        </w:rPr>
        <w:t>Journal of International Business Studies</w:t>
      </w:r>
      <w:r w:rsidRPr="00C41DDA">
        <w:t>, 40:444-467.</w:t>
      </w:r>
    </w:p>
    <w:p w14:paraId="1FBFF106" w14:textId="77777777" w:rsidR="0086707B" w:rsidRPr="008C681B" w:rsidRDefault="0086707B" w:rsidP="0086707B">
      <w:pPr>
        <w:pStyle w:val="References"/>
        <w:rPr>
          <w:rFonts w:eastAsia="Batang"/>
          <w:lang w:eastAsia="ko-KR"/>
        </w:rPr>
      </w:pPr>
      <w:r w:rsidRPr="008C681B">
        <w:rPr>
          <w:rFonts w:eastAsia="Batang"/>
          <w:lang w:eastAsia="ko-KR"/>
        </w:rPr>
        <w:t xml:space="preserve">Manne, A., </w:t>
      </w:r>
      <w:r>
        <w:rPr>
          <w:rFonts w:eastAsia="Batang"/>
          <w:lang w:eastAsia="ko-KR"/>
        </w:rPr>
        <w:t>&amp; Richels, R. 1998</w:t>
      </w:r>
      <w:r w:rsidRPr="008C681B">
        <w:rPr>
          <w:rFonts w:eastAsia="Batang"/>
          <w:lang w:eastAsia="ko-KR"/>
        </w:rPr>
        <w:t>. The Kyoto Protocol: a cost-effective strategy for meeting environmental objectives? Paper presented at the Energy Modeling Forum Meeting, Snowmass, Colorado, August 19-11.</w:t>
      </w:r>
    </w:p>
    <w:p w14:paraId="218E3EC9" w14:textId="77777777" w:rsidR="0086707B" w:rsidRPr="0083200B" w:rsidRDefault="0086707B" w:rsidP="0086707B">
      <w:pPr>
        <w:pStyle w:val="References"/>
        <w:rPr>
          <w:rFonts w:eastAsia="Batang"/>
          <w:lang w:eastAsia="ko-KR"/>
        </w:rPr>
      </w:pPr>
      <w:r w:rsidRPr="0083200B">
        <w:rPr>
          <w:rFonts w:eastAsia="Batang"/>
          <w:lang w:eastAsia="ko-KR"/>
        </w:rPr>
        <w:t xml:space="preserve">Manne, A.S., </w:t>
      </w:r>
      <w:r>
        <w:rPr>
          <w:rFonts w:eastAsia="Batang"/>
          <w:lang w:eastAsia="ko-KR"/>
        </w:rPr>
        <w:t>&amp; Richels, R.G. 2001</w:t>
      </w:r>
      <w:r w:rsidRPr="0083200B">
        <w:rPr>
          <w:rFonts w:eastAsia="Batang"/>
          <w:lang w:eastAsia="ko-KR"/>
        </w:rPr>
        <w:t>. US rejection of the Kyoto Protocol: the impact on compliance costs</w:t>
      </w:r>
      <w:r>
        <w:rPr>
          <w:rFonts w:eastAsia="Batang"/>
          <w:lang w:eastAsia="ko-KR"/>
        </w:rPr>
        <w:t xml:space="preserve"> and CO2 emissions, mimeo, Stan</w:t>
      </w:r>
      <w:r w:rsidRPr="0083200B">
        <w:rPr>
          <w:rFonts w:eastAsia="Batang"/>
          <w:lang w:eastAsia="ko-KR"/>
        </w:rPr>
        <w:t>ford University.</w:t>
      </w:r>
    </w:p>
    <w:p w14:paraId="690B630F" w14:textId="77777777" w:rsidR="0086707B" w:rsidRPr="00A5302E" w:rsidRDefault="0086707B" w:rsidP="0086707B">
      <w:pPr>
        <w:pStyle w:val="References"/>
        <w:rPr>
          <w:rFonts w:eastAsia="Batang"/>
          <w:lang w:eastAsia="ko-KR"/>
        </w:rPr>
      </w:pPr>
      <w:r w:rsidRPr="00A5302E">
        <w:rPr>
          <w:rFonts w:eastAsia="Batang" w:hint="eastAsia"/>
          <w:lang w:eastAsia="ko-KR"/>
        </w:rPr>
        <w:t xml:space="preserve">Mazzanti, M., </w:t>
      </w:r>
      <w:r>
        <w:rPr>
          <w:rFonts w:eastAsia="Batang"/>
          <w:lang w:eastAsia="ko-KR"/>
        </w:rPr>
        <w:t>&amp;</w:t>
      </w:r>
      <w:r w:rsidRPr="00A5302E">
        <w:rPr>
          <w:rFonts w:eastAsia="Batang" w:hint="eastAsia"/>
          <w:lang w:eastAsia="ko-KR"/>
        </w:rPr>
        <w:t xml:space="preserve"> Zoboli, R. 2008</w:t>
      </w:r>
      <w:r>
        <w:rPr>
          <w:rFonts w:eastAsia="Batang"/>
          <w:lang w:eastAsia="ko-KR"/>
        </w:rPr>
        <w:t>.</w:t>
      </w:r>
      <w:r w:rsidRPr="00A5302E">
        <w:rPr>
          <w:rFonts w:eastAsia="Batang" w:hint="eastAsia"/>
          <w:lang w:eastAsia="ko-KR"/>
        </w:rPr>
        <w:t xml:space="preserve"> Environmental innovati</w:t>
      </w:r>
      <w:r>
        <w:rPr>
          <w:rFonts w:eastAsia="Batang" w:hint="eastAsia"/>
          <w:lang w:eastAsia="ko-KR"/>
        </w:rPr>
        <w:t xml:space="preserve">ons, SME strategies and policy </w:t>
      </w:r>
      <w:r w:rsidRPr="00A5302E">
        <w:rPr>
          <w:rFonts w:eastAsia="Batang"/>
          <w:lang w:eastAsia="ko-KR"/>
        </w:rPr>
        <w:t>induced</w:t>
      </w:r>
      <w:r w:rsidRPr="00A5302E">
        <w:rPr>
          <w:rFonts w:eastAsia="Batang" w:hint="eastAsia"/>
          <w:lang w:eastAsia="ko-KR"/>
        </w:rPr>
        <w:t xml:space="preserve"> effects: Evidence for a district-based local system in Nothern Italy, </w:t>
      </w:r>
      <w:r w:rsidRPr="00447F4C">
        <w:rPr>
          <w:rFonts w:eastAsia="Batang" w:hint="eastAsia"/>
          <w:b/>
          <w:i/>
          <w:lang w:eastAsia="ko-KR"/>
        </w:rPr>
        <w:t>ICFAI Journal of Environmental Economics</w:t>
      </w:r>
      <w:r w:rsidRPr="00A5302E">
        <w:rPr>
          <w:rFonts w:eastAsia="Batang" w:hint="eastAsia"/>
          <w:lang w:eastAsia="ko-KR"/>
        </w:rPr>
        <w:t>, 6:7-34.</w:t>
      </w:r>
    </w:p>
    <w:p w14:paraId="74E41F92" w14:textId="77777777" w:rsidR="0086707B" w:rsidRPr="00CE0586" w:rsidRDefault="0086707B" w:rsidP="0086707B">
      <w:pPr>
        <w:pStyle w:val="References"/>
        <w:rPr>
          <w:rFonts w:ascii="Melior" w:hAnsi="Melior" w:cs="Melior"/>
        </w:rPr>
      </w:pPr>
      <w:r w:rsidRPr="00CE0586">
        <w:rPr>
          <w:rFonts w:ascii="Melior" w:hAnsi="Melior" w:cs="Melior"/>
        </w:rPr>
        <w:t xml:space="preserve">Meyer, J., </w:t>
      </w:r>
      <w:r>
        <w:rPr>
          <w:rFonts w:ascii="Melior" w:hAnsi="Melior" w:cs="Melior"/>
        </w:rPr>
        <w:t>&amp;</w:t>
      </w:r>
      <w:r w:rsidRPr="00CE0586">
        <w:rPr>
          <w:rFonts w:ascii="Melior" w:hAnsi="Melior" w:cs="Melior"/>
        </w:rPr>
        <w:t xml:space="preserve"> Rowan, B. 1977. Institutional organizations: Formal structure as myth and ceremony. </w:t>
      </w:r>
      <w:r w:rsidRPr="00447F4C">
        <w:rPr>
          <w:rFonts w:ascii="Melior-BoldItalic" w:hAnsi="Melior-BoldItalic" w:cs="Melior-BoldItalic"/>
          <w:b/>
          <w:bCs/>
          <w:i/>
          <w:iCs/>
        </w:rPr>
        <w:t>American</w:t>
      </w:r>
      <w:r>
        <w:rPr>
          <w:rFonts w:ascii="Melior-BoldItalic" w:hAnsi="Melior-BoldItalic" w:cs="Melior-BoldItalic"/>
          <w:b/>
          <w:bCs/>
          <w:i/>
          <w:iCs/>
        </w:rPr>
        <w:t xml:space="preserve"> </w:t>
      </w:r>
      <w:r w:rsidRPr="00447F4C">
        <w:rPr>
          <w:rFonts w:ascii="Melior-BoldItalic" w:hAnsi="Melior-BoldItalic" w:cs="Melior-BoldItalic"/>
          <w:b/>
          <w:bCs/>
          <w:i/>
          <w:iCs/>
        </w:rPr>
        <w:t>Journal of Sociology</w:t>
      </w:r>
      <w:r w:rsidRPr="00CE0586">
        <w:rPr>
          <w:rFonts w:ascii="Melior-BoldItalic" w:hAnsi="Melior-BoldItalic" w:cs="Melior-BoldItalic"/>
          <w:b/>
          <w:bCs/>
          <w:iCs/>
        </w:rPr>
        <w:t xml:space="preserve">, </w:t>
      </w:r>
      <w:r w:rsidRPr="00CE0586">
        <w:rPr>
          <w:rFonts w:ascii="Melior" w:hAnsi="Melior" w:cs="Melior"/>
        </w:rPr>
        <w:t>83: 340–363.</w:t>
      </w:r>
    </w:p>
    <w:p w14:paraId="6E9C1E2B" w14:textId="77777777" w:rsidR="0086707B" w:rsidRPr="0062403A" w:rsidRDefault="0086707B" w:rsidP="0086707B">
      <w:pPr>
        <w:pStyle w:val="References"/>
        <w:rPr>
          <w:rFonts w:eastAsia="Malgun Gothic"/>
          <w:lang w:eastAsia="ko-KR"/>
        </w:rPr>
      </w:pPr>
      <w:r w:rsidRPr="0062403A">
        <w:rPr>
          <w:rFonts w:eastAsia="Malgun Gothic"/>
          <w:lang w:eastAsia="ko-KR"/>
        </w:rPr>
        <w:t xml:space="preserve">Newman, J. G., </w:t>
      </w:r>
      <w:r>
        <w:rPr>
          <w:rFonts w:eastAsia="Malgun Gothic"/>
          <w:lang w:eastAsia="ko-KR"/>
        </w:rPr>
        <w:t>&amp;</w:t>
      </w:r>
      <w:r w:rsidRPr="0062403A">
        <w:rPr>
          <w:rFonts w:eastAsia="Malgun Gothic"/>
          <w:lang w:eastAsia="ko-KR"/>
        </w:rPr>
        <w:t xml:space="preserve"> Breeden, K. M. 1992. Managing in the environmental era: Lessons from environmental leaders. </w:t>
      </w:r>
      <w:r w:rsidRPr="00447F4C">
        <w:rPr>
          <w:rFonts w:eastAsia="Malgun Gothic"/>
          <w:b/>
          <w:bCs/>
          <w:i/>
          <w:iCs/>
          <w:lang w:eastAsia="ko-KR"/>
        </w:rPr>
        <w:t>Columbia Journal of World Business</w:t>
      </w:r>
      <w:r w:rsidRPr="0062403A">
        <w:rPr>
          <w:rFonts w:eastAsia="Malgun Gothic"/>
          <w:bCs/>
          <w:iCs/>
          <w:lang w:eastAsia="ko-KR"/>
        </w:rPr>
        <w:t xml:space="preserve">, </w:t>
      </w:r>
      <w:r w:rsidRPr="0062403A">
        <w:rPr>
          <w:rFonts w:eastAsia="Malgun Gothic"/>
          <w:lang w:eastAsia="ko-KR"/>
        </w:rPr>
        <w:t>27: 210-221.</w:t>
      </w:r>
    </w:p>
    <w:p w14:paraId="763E5AD1" w14:textId="77777777" w:rsidR="0086707B" w:rsidRPr="00745DF8" w:rsidRDefault="0086707B" w:rsidP="0086707B">
      <w:pPr>
        <w:pStyle w:val="References"/>
        <w:rPr>
          <w:rFonts w:eastAsia="Batang"/>
          <w:lang w:val="en-US" w:eastAsia="ko-KR"/>
        </w:rPr>
      </w:pPr>
      <w:r w:rsidRPr="00745DF8">
        <w:rPr>
          <w:rFonts w:eastAsia="Batang"/>
          <w:lang w:val="en-US" w:eastAsia="ko-KR"/>
        </w:rPr>
        <w:t xml:space="preserve">Nigam, </w:t>
      </w:r>
      <w:r>
        <w:rPr>
          <w:rFonts w:eastAsia="Batang"/>
          <w:lang w:val="en-US" w:eastAsia="ko-KR"/>
        </w:rPr>
        <w:t xml:space="preserve">A., </w:t>
      </w:r>
      <w:r w:rsidRPr="00745DF8">
        <w:rPr>
          <w:rFonts w:eastAsia="Batang"/>
          <w:lang w:val="en-US" w:eastAsia="ko-KR"/>
        </w:rPr>
        <w:t>Ocasio</w:t>
      </w:r>
      <w:r>
        <w:rPr>
          <w:rFonts w:eastAsia="Batang"/>
          <w:lang w:val="en-US" w:eastAsia="ko-KR"/>
        </w:rPr>
        <w:t>, W. 2010. Event attention, environmental sensemaking, and c</w:t>
      </w:r>
      <w:r w:rsidRPr="00745DF8">
        <w:rPr>
          <w:rFonts w:eastAsia="Batang"/>
          <w:lang w:val="en-US" w:eastAsia="ko-KR"/>
        </w:rPr>
        <w:t>hange</w:t>
      </w:r>
      <w:r>
        <w:rPr>
          <w:rFonts w:eastAsia="Batang"/>
          <w:lang w:val="en-US" w:eastAsia="ko-KR"/>
        </w:rPr>
        <w:t xml:space="preserve"> in institutional l</w:t>
      </w:r>
      <w:r w:rsidRPr="00745DF8">
        <w:rPr>
          <w:rFonts w:eastAsia="Batang"/>
          <w:lang w:val="en-US" w:eastAsia="ko-KR"/>
        </w:rPr>
        <w:t>ogics</w:t>
      </w:r>
      <w:r>
        <w:rPr>
          <w:rFonts w:eastAsia="Batang"/>
          <w:lang w:val="en-US" w:eastAsia="ko-KR"/>
        </w:rPr>
        <w:t>: An inductive analysis of the e</w:t>
      </w:r>
      <w:r w:rsidRPr="00745DF8">
        <w:rPr>
          <w:rFonts w:eastAsia="Batang"/>
          <w:lang w:val="en-US" w:eastAsia="ko-KR"/>
        </w:rPr>
        <w:t>ffects</w:t>
      </w:r>
      <w:r>
        <w:rPr>
          <w:rFonts w:eastAsia="Batang"/>
          <w:lang w:val="en-US" w:eastAsia="ko-KR"/>
        </w:rPr>
        <w:t xml:space="preserve"> of public attention to Clinton's health care r</w:t>
      </w:r>
      <w:r w:rsidRPr="00745DF8">
        <w:rPr>
          <w:rFonts w:eastAsia="Batang"/>
          <w:lang w:val="en-US" w:eastAsia="ko-KR"/>
        </w:rPr>
        <w:t>eform</w:t>
      </w:r>
      <w:r>
        <w:rPr>
          <w:rFonts w:eastAsia="Batang"/>
          <w:lang w:val="en-US" w:eastAsia="ko-KR"/>
        </w:rPr>
        <w:t xml:space="preserve"> i</w:t>
      </w:r>
      <w:r w:rsidRPr="00745DF8">
        <w:rPr>
          <w:rFonts w:eastAsia="Batang"/>
          <w:lang w:val="en-US" w:eastAsia="ko-KR"/>
        </w:rPr>
        <w:t>nitiative</w:t>
      </w:r>
      <w:r>
        <w:rPr>
          <w:rFonts w:eastAsia="Batang"/>
          <w:lang w:val="en-US" w:eastAsia="ko-KR"/>
        </w:rPr>
        <w:t xml:space="preserve">. </w:t>
      </w:r>
      <w:r w:rsidRPr="00716708">
        <w:rPr>
          <w:rFonts w:eastAsia="Batang"/>
          <w:b/>
          <w:i/>
          <w:lang w:val="en-US" w:eastAsia="ko-KR"/>
        </w:rPr>
        <w:t>Organization Science,</w:t>
      </w:r>
      <w:r>
        <w:rPr>
          <w:rFonts w:eastAsia="Batang"/>
          <w:lang w:val="en-US" w:eastAsia="ko-KR"/>
        </w:rPr>
        <w:t xml:space="preserve"> </w:t>
      </w:r>
      <w:r w:rsidRPr="00672F35">
        <w:rPr>
          <w:rFonts w:eastAsia="Batang"/>
          <w:lang w:val="en-US" w:eastAsia="ko-KR"/>
        </w:rPr>
        <w:t>21(4):823-841</w:t>
      </w:r>
      <w:r>
        <w:rPr>
          <w:rFonts w:eastAsia="Batang"/>
          <w:lang w:val="en-US" w:eastAsia="ko-KR"/>
        </w:rPr>
        <w:t>.</w:t>
      </w:r>
    </w:p>
    <w:p w14:paraId="512F063A" w14:textId="77777777" w:rsidR="0086707B" w:rsidRPr="00E53F58" w:rsidRDefault="0086707B" w:rsidP="0086707B">
      <w:pPr>
        <w:pStyle w:val="References"/>
        <w:rPr>
          <w:rFonts w:eastAsia="Batang"/>
          <w:lang w:val="en-US" w:eastAsia="ko-KR"/>
        </w:rPr>
      </w:pPr>
      <w:r w:rsidRPr="00E53F58">
        <w:rPr>
          <w:rFonts w:eastAsia="Batang" w:hint="eastAsia"/>
          <w:lang w:val="en-US" w:eastAsia="ko-KR"/>
        </w:rPr>
        <w:t>Nordhaus, W. 1991</w:t>
      </w:r>
      <w:r>
        <w:rPr>
          <w:rFonts w:eastAsia="Batang"/>
          <w:lang w:val="en-US" w:eastAsia="ko-KR"/>
        </w:rPr>
        <w:t>.</w:t>
      </w:r>
      <w:r w:rsidRPr="00E53F58">
        <w:rPr>
          <w:rFonts w:eastAsia="Batang" w:hint="eastAsia"/>
          <w:lang w:val="en-US" w:eastAsia="ko-KR"/>
        </w:rPr>
        <w:t xml:space="preserve"> To slow or not to slow: The economics of the greenhouse effect, </w:t>
      </w:r>
      <w:r w:rsidRPr="00447F4C">
        <w:rPr>
          <w:rFonts w:eastAsia="Batang" w:hint="eastAsia"/>
          <w:b/>
          <w:i/>
          <w:lang w:val="en-US" w:eastAsia="ko-KR"/>
        </w:rPr>
        <w:t>Economic Journal</w:t>
      </w:r>
      <w:r w:rsidRPr="00447F4C">
        <w:rPr>
          <w:rFonts w:eastAsia="Batang" w:hint="eastAsia"/>
          <w:b/>
          <w:lang w:val="en-US" w:eastAsia="ko-KR"/>
        </w:rPr>
        <w:t>,</w:t>
      </w:r>
      <w:r w:rsidRPr="00E53F58">
        <w:rPr>
          <w:rFonts w:eastAsia="Batang" w:hint="eastAsia"/>
          <w:lang w:val="en-US" w:eastAsia="ko-KR"/>
        </w:rPr>
        <w:t xml:space="preserve"> 101:920-937.</w:t>
      </w:r>
    </w:p>
    <w:p w14:paraId="140EB41E" w14:textId="77777777" w:rsidR="0086707B" w:rsidRPr="000A6F24" w:rsidRDefault="0086707B" w:rsidP="0086707B">
      <w:pPr>
        <w:pStyle w:val="References"/>
        <w:rPr>
          <w:rFonts w:eastAsia="Batang"/>
          <w:lang w:eastAsia="ko-KR"/>
        </w:rPr>
      </w:pPr>
      <w:r>
        <w:rPr>
          <w:rFonts w:eastAsia="Batang"/>
          <w:lang w:eastAsia="ko-KR"/>
        </w:rPr>
        <w:t>Purvis, N. 2004</w:t>
      </w:r>
      <w:r w:rsidRPr="000A6F24">
        <w:rPr>
          <w:rFonts w:eastAsia="Batang"/>
          <w:lang w:eastAsia="ko-KR"/>
        </w:rPr>
        <w:t xml:space="preserve">. The perspective of the United States on Climate Change and the Kyoto Protocol, </w:t>
      </w:r>
      <w:r w:rsidRPr="00447F4C">
        <w:rPr>
          <w:rFonts w:eastAsia="Batang"/>
          <w:b/>
          <w:i/>
          <w:lang w:eastAsia="ko-KR"/>
        </w:rPr>
        <w:t>International Review for Environmental Strategies</w:t>
      </w:r>
      <w:r w:rsidRPr="000A6F24">
        <w:rPr>
          <w:rFonts w:eastAsia="Batang"/>
          <w:lang w:eastAsia="ko-KR"/>
        </w:rPr>
        <w:t>, 5:169-177.</w:t>
      </w:r>
    </w:p>
    <w:p w14:paraId="13209C99" w14:textId="77777777" w:rsidR="0086707B" w:rsidRPr="0062403A" w:rsidRDefault="0086707B" w:rsidP="0086707B">
      <w:pPr>
        <w:pStyle w:val="References"/>
        <w:rPr>
          <w:rFonts w:eastAsia="Malgun Gothic"/>
          <w:lang w:eastAsia="ko-KR"/>
        </w:rPr>
      </w:pPr>
      <w:r w:rsidRPr="0062403A">
        <w:rPr>
          <w:rFonts w:eastAsia="Malgun Gothic"/>
          <w:lang w:eastAsia="ko-KR"/>
        </w:rPr>
        <w:t xml:space="preserve">Porter, M. E., </w:t>
      </w:r>
      <w:r>
        <w:rPr>
          <w:rFonts w:eastAsia="Malgun Gothic"/>
          <w:lang w:eastAsia="ko-KR"/>
        </w:rPr>
        <w:t>&amp;</w:t>
      </w:r>
      <w:r w:rsidRPr="0062403A">
        <w:rPr>
          <w:rFonts w:eastAsia="Malgun Gothic"/>
          <w:lang w:eastAsia="ko-KR"/>
        </w:rPr>
        <w:t xml:space="preserve"> van der Linde, G. 1995. Green and competitive: Ending the stalemate. </w:t>
      </w:r>
      <w:r w:rsidRPr="00447F4C">
        <w:rPr>
          <w:rFonts w:eastAsia="Malgun Gothic"/>
          <w:b/>
          <w:bCs/>
          <w:i/>
          <w:iCs/>
          <w:lang w:eastAsia="ko-KR"/>
        </w:rPr>
        <w:t>Harvard BusinessReview</w:t>
      </w:r>
      <w:r w:rsidRPr="000F03EB">
        <w:rPr>
          <w:rFonts w:eastAsia="Malgun Gothic"/>
          <w:bCs/>
          <w:i/>
          <w:iCs/>
          <w:lang w:eastAsia="ko-KR"/>
        </w:rPr>
        <w:t xml:space="preserve">, </w:t>
      </w:r>
      <w:r w:rsidRPr="0062403A">
        <w:rPr>
          <w:rFonts w:eastAsia="Malgun Gothic"/>
          <w:lang w:eastAsia="ko-KR"/>
        </w:rPr>
        <w:t>73(5): 120-134.</w:t>
      </w:r>
    </w:p>
    <w:p w14:paraId="652447D0" w14:textId="77777777" w:rsidR="0086707B" w:rsidRPr="0062403A" w:rsidRDefault="0086707B" w:rsidP="0086707B">
      <w:pPr>
        <w:pStyle w:val="References"/>
        <w:rPr>
          <w:lang w:val="en-US"/>
        </w:rPr>
      </w:pPr>
      <w:r w:rsidRPr="0062403A">
        <w:rPr>
          <w:lang w:val="en-US"/>
        </w:rPr>
        <w:t xml:space="preserve">Russo, M. V. &amp; Fouts, P. A. 1997. A resource-based perspective on corporate environmental </w:t>
      </w:r>
      <w:r w:rsidRPr="0062403A">
        <w:rPr>
          <w:lang w:val="en-US"/>
        </w:rPr>
        <w:lastRenderedPageBreak/>
        <w:t xml:space="preserve">performance and profitability. </w:t>
      </w:r>
      <w:r w:rsidRPr="00447F4C">
        <w:rPr>
          <w:b/>
          <w:i/>
          <w:lang w:val="en-US"/>
        </w:rPr>
        <w:t>Academy of Management Journal</w:t>
      </w:r>
      <w:r w:rsidRPr="0062403A">
        <w:rPr>
          <w:lang w:val="en-US"/>
        </w:rPr>
        <w:t>, 40(3): 534-559.</w:t>
      </w:r>
    </w:p>
    <w:p w14:paraId="3BE3D32D" w14:textId="77777777" w:rsidR="0086707B" w:rsidRPr="002061DB" w:rsidRDefault="0086707B" w:rsidP="0086707B">
      <w:pPr>
        <w:pStyle w:val="References"/>
        <w:rPr>
          <w:rFonts w:cs="Melior"/>
        </w:rPr>
      </w:pPr>
      <w:r w:rsidRPr="00716708">
        <w:rPr>
          <w:rFonts w:cs="Melior"/>
        </w:rPr>
        <w:t>Scott, W. R. 1995</w:t>
      </w:r>
      <w:r w:rsidRPr="00716708">
        <w:rPr>
          <w:rFonts w:cs="Melior"/>
          <w:i/>
        </w:rPr>
        <w:t xml:space="preserve">. </w:t>
      </w:r>
      <w:r w:rsidRPr="00716708">
        <w:rPr>
          <w:rFonts w:cs="Melior-BoldItalic"/>
          <w:b/>
          <w:bCs/>
          <w:i/>
          <w:iCs/>
        </w:rPr>
        <w:t>Institutions and</w:t>
      </w:r>
      <w:r>
        <w:rPr>
          <w:rFonts w:cs="Melior-BoldItalic"/>
          <w:b/>
          <w:bCs/>
          <w:i/>
          <w:iCs/>
        </w:rPr>
        <w:t xml:space="preserve"> O</w:t>
      </w:r>
      <w:r w:rsidRPr="00716708">
        <w:rPr>
          <w:rFonts w:cs="Melior-BoldItalic"/>
          <w:b/>
          <w:bCs/>
          <w:i/>
          <w:iCs/>
        </w:rPr>
        <w:t>rganizations</w:t>
      </w:r>
      <w:r w:rsidRPr="00716708">
        <w:rPr>
          <w:rFonts w:cs="Melior"/>
        </w:rPr>
        <w:t>. Thousand Oaks, CA: Sage.</w:t>
      </w:r>
    </w:p>
    <w:p w14:paraId="2E292C4E" w14:textId="77777777" w:rsidR="0086707B" w:rsidRPr="00B00E50" w:rsidRDefault="0086707B" w:rsidP="0086707B">
      <w:pPr>
        <w:pStyle w:val="References"/>
        <w:rPr>
          <w:lang w:val="en-US"/>
        </w:rPr>
      </w:pPr>
      <w:r>
        <w:rPr>
          <w:lang w:val="en-US"/>
        </w:rPr>
        <w:t>Sharma, S. &amp;</w:t>
      </w:r>
      <w:r w:rsidRPr="00B00E50">
        <w:rPr>
          <w:lang w:val="en-US"/>
        </w:rPr>
        <w:t xml:space="preserve"> Henriques, I. 2005. Stakeholder influences on sustainability practices in the Canadian forest products industry. </w:t>
      </w:r>
      <w:r w:rsidRPr="00447F4C">
        <w:rPr>
          <w:b/>
          <w:i/>
          <w:lang w:val="en-US"/>
        </w:rPr>
        <w:t>Strategic Management Journal</w:t>
      </w:r>
      <w:r w:rsidRPr="00B00E50">
        <w:rPr>
          <w:lang w:val="en-US"/>
        </w:rPr>
        <w:t xml:space="preserve">, </w:t>
      </w:r>
      <w:r w:rsidRPr="000F03EB">
        <w:rPr>
          <w:lang w:val="en-US"/>
        </w:rPr>
        <w:t>26</w:t>
      </w:r>
      <w:r>
        <w:rPr>
          <w:lang w:val="en-US"/>
        </w:rPr>
        <w:t xml:space="preserve">: </w:t>
      </w:r>
      <w:r w:rsidRPr="00B00E50">
        <w:rPr>
          <w:lang w:val="en-US"/>
        </w:rPr>
        <w:t>159–180.</w:t>
      </w:r>
    </w:p>
    <w:p w14:paraId="7C9586B2" w14:textId="77777777" w:rsidR="0086707B" w:rsidRPr="0061385D" w:rsidRDefault="0086707B" w:rsidP="0086707B">
      <w:pPr>
        <w:pStyle w:val="References"/>
        <w:rPr>
          <w:rFonts w:eastAsiaTheme="majorEastAsia"/>
          <w:color w:val="000000"/>
        </w:rPr>
      </w:pPr>
      <w:r w:rsidRPr="0061385D">
        <w:rPr>
          <w:rFonts w:eastAsiaTheme="majorEastAsia"/>
          <w:color w:val="000000"/>
        </w:rPr>
        <w:t xml:space="preserve">Solomon S, Plattner G-K, </w:t>
      </w:r>
      <w:r>
        <w:rPr>
          <w:rFonts w:eastAsiaTheme="majorEastAsia"/>
          <w:color w:val="000000"/>
        </w:rPr>
        <w:t>Knutti R, &amp; Friedlingstein P. 2009</w:t>
      </w:r>
      <w:r w:rsidRPr="0061385D">
        <w:rPr>
          <w:rFonts w:eastAsiaTheme="majorEastAsia"/>
          <w:color w:val="000000"/>
        </w:rPr>
        <w:t xml:space="preserve">. Irreversible climate change due to carbon dioxide emissions. </w:t>
      </w:r>
      <w:r w:rsidRPr="00447F4C">
        <w:rPr>
          <w:rFonts w:eastAsiaTheme="majorEastAsia"/>
          <w:b/>
          <w:i/>
          <w:color w:val="000000"/>
        </w:rPr>
        <w:t>Proceedings of the National Academy Sciences</w:t>
      </w:r>
      <w:r w:rsidRPr="0061385D">
        <w:rPr>
          <w:rFonts w:eastAsiaTheme="majorEastAsia"/>
          <w:color w:val="000000"/>
        </w:rPr>
        <w:t>, 106: 1704-1709.</w:t>
      </w:r>
    </w:p>
    <w:p w14:paraId="0F5D5D1E" w14:textId="77777777" w:rsidR="0086707B" w:rsidRPr="0061385D" w:rsidRDefault="0086707B" w:rsidP="0086707B">
      <w:pPr>
        <w:pStyle w:val="References"/>
        <w:rPr>
          <w:rFonts w:eastAsiaTheme="majorEastAsia"/>
          <w:color w:val="000000"/>
        </w:rPr>
      </w:pPr>
      <w:r w:rsidRPr="0061385D">
        <w:rPr>
          <w:rFonts w:eastAsiaTheme="majorEastAsia"/>
          <w:color w:val="000000"/>
        </w:rPr>
        <w:t>Solomon, S., Qin, D., Manning, M., Chen, Z., Marquis, M., Averyt, K.</w:t>
      </w:r>
      <w:r>
        <w:rPr>
          <w:rFonts w:eastAsiaTheme="majorEastAsia"/>
          <w:color w:val="000000"/>
        </w:rPr>
        <w:t xml:space="preserve"> </w:t>
      </w:r>
      <w:r w:rsidRPr="0061385D">
        <w:rPr>
          <w:rFonts w:eastAsiaTheme="majorEastAsia"/>
          <w:color w:val="000000"/>
        </w:rPr>
        <w:t>B</w:t>
      </w:r>
      <w:r>
        <w:rPr>
          <w:rFonts w:eastAsiaTheme="majorEastAsia"/>
          <w:color w:val="000000"/>
        </w:rPr>
        <w:t>., Tignor, M., &amp; Miller, H. L., ed., 2007</w:t>
      </w:r>
      <w:r w:rsidRPr="0061385D">
        <w:rPr>
          <w:rFonts w:eastAsiaTheme="majorEastAsia"/>
          <w:color w:val="000000"/>
        </w:rPr>
        <w:t xml:space="preserve">. </w:t>
      </w:r>
      <w:hyperlink r:id="rId19" w:history="1">
        <w:r w:rsidRPr="0061385D">
          <w:rPr>
            <w:rStyle w:val="Hyperlink"/>
            <w:rFonts w:eastAsiaTheme="majorEastAsia"/>
            <w:i/>
            <w:iCs/>
          </w:rPr>
          <w:t>Climate Change 2007: The Physical Science Basis</w:t>
        </w:r>
      </w:hyperlink>
      <w:r w:rsidRPr="0061385D">
        <w:rPr>
          <w:rFonts w:eastAsiaTheme="majorEastAsia"/>
          <w:color w:val="000000"/>
        </w:rPr>
        <w:t xml:space="preserve">, Contribution of Working Group I to the </w:t>
      </w:r>
      <w:hyperlink r:id="rId20" w:tooltip="IPCC Fourth Assessment Report" w:history="1">
        <w:r w:rsidRPr="0061385D">
          <w:rPr>
            <w:rStyle w:val="Hyperlink"/>
            <w:rFonts w:eastAsiaTheme="majorEastAsia"/>
          </w:rPr>
          <w:t>Fourth Assessment Report</w:t>
        </w:r>
      </w:hyperlink>
      <w:r w:rsidRPr="0061385D">
        <w:rPr>
          <w:rFonts w:eastAsiaTheme="majorEastAsia"/>
          <w:color w:val="000000"/>
        </w:rPr>
        <w:t xml:space="preserve"> of the Intergovernmental Panel on Climate Change, Cambridge University Press</w:t>
      </w:r>
    </w:p>
    <w:p w14:paraId="0BCA0485" w14:textId="77777777" w:rsidR="0086707B" w:rsidRPr="00DA6BD4" w:rsidRDefault="0086707B" w:rsidP="0086707B">
      <w:pPr>
        <w:pStyle w:val="References"/>
        <w:rPr>
          <w:rStyle w:val="body1"/>
        </w:rPr>
      </w:pPr>
      <w:r w:rsidRPr="00DA6BD4">
        <w:rPr>
          <w:rStyle w:val="body1"/>
          <w:rFonts w:ascii="Times New Roman" w:eastAsiaTheme="majorEastAsia" w:hAnsi="Times New Roman"/>
          <w:sz w:val="22"/>
          <w:szCs w:val="22"/>
        </w:rPr>
        <w:t xml:space="preserve">Soshimori, M. </w:t>
      </w:r>
      <w:r>
        <w:rPr>
          <w:rStyle w:val="body1"/>
          <w:rFonts w:ascii="Times New Roman" w:eastAsiaTheme="majorEastAsia" w:hAnsi="Times New Roman"/>
          <w:sz w:val="22"/>
          <w:szCs w:val="22"/>
        </w:rPr>
        <w:t>1995. Whose company is it? The c</w:t>
      </w:r>
      <w:r w:rsidRPr="00DA6BD4">
        <w:rPr>
          <w:rStyle w:val="body1"/>
          <w:rFonts w:ascii="Times New Roman" w:eastAsiaTheme="majorEastAsia" w:hAnsi="Times New Roman"/>
          <w:sz w:val="22"/>
          <w:szCs w:val="22"/>
        </w:rPr>
        <w:t>oncept o</w:t>
      </w:r>
      <w:r>
        <w:rPr>
          <w:rStyle w:val="body1"/>
          <w:rFonts w:ascii="Times New Roman" w:eastAsiaTheme="majorEastAsia" w:hAnsi="Times New Roman"/>
          <w:sz w:val="22"/>
          <w:szCs w:val="22"/>
        </w:rPr>
        <w:t>f the c</w:t>
      </w:r>
      <w:r w:rsidRPr="00DA6BD4">
        <w:rPr>
          <w:rStyle w:val="body1"/>
          <w:rFonts w:ascii="Times New Roman" w:eastAsiaTheme="majorEastAsia" w:hAnsi="Times New Roman"/>
          <w:sz w:val="22"/>
          <w:szCs w:val="22"/>
        </w:rPr>
        <w:t xml:space="preserve">orporation in Japan and </w:t>
      </w:r>
      <w:r>
        <w:rPr>
          <w:rStyle w:val="body1"/>
          <w:rFonts w:ascii="Times New Roman" w:eastAsiaTheme="majorEastAsia" w:hAnsi="Times New Roman"/>
          <w:sz w:val="22"/>
          <w:szCs w:val="22"/>
        </w:rPr>
        <w:t xml:space="preserve">the West, </w:t>
      </w:r>
      <w:r w:rsidRPr="00447F4C">
        <w:rPr>
          <w:rStyle w:val="body1"/>
          <w:rFonts w:ascii="Times New Roman" w:eastAsiaTheme="majorEastAsia" w:hAnsi="Times New Roman"/>
          <w:b/>
          <w:i/>
          <w:sz w:val="22"/>
          <w:szCs w:val="22"/>
        </w:rPr>
        <w:t>Long Range Planning</w:t>
      </w:r>
      <w:r>
        <w:rPr>
          <w:rStyle w:val="body1"/>
          <w:rFonts w:ascii="Times New Roman" w:eastAsiaTheme="majorEastAsia" w:hAnsi="Times New Roman"/>
          <w:sz w:val="22"/>
          <w:szCs w:val="22"/>
        </w:rPr>
        <w:t xml:space="preserve">, 28(4): </w:t>
      </w:r>
      <w:r w:rsidRPr="00DA6BD4">
        <w:rPr>
          <w:rStyle w:val="body1"/>
          <w:rFonts w:ascii="Times New Roman" w:eastAsiaTheme="majorEastAsia" w:hAnsi="Times New Roman"/>
          <w:sz w:val="22"/>
          <w:szCs w:val="22"/>
        </w:rPr>
        <w:t>33-44.</w:t>
      </w:r>
    </w:p>
    <w:p w14:paraId="601C13C4" w14:textId="77777777" w:rsidR="0086707B" w:rsidRPr="00E2231B" w:rsidRDefault="0086707B" w:rsidP="0086707B">
      <w:pPr>
        <w:pStyle w:val="References"/>
        <w:rPr>
          <w:rFonts w:eastAsia="Malgun Gothic"/>
          <w:lang w:eastAsia="ko-KR"/>
        </w:rPr>
      </w:pPr>
      <w:r>
        <w:rPr>
          <w:rFonts w:eastAsia="Malgun Gothic"/>
          <w:lang w:eastAsia="ko-KR"/>
        </w:rPr>
        <w:t>Tan, J., &amp; Wang, L. 2011. MNC strategic responses to e</w:t>
      </w:r>
      <w:r w:rsidRPr="00E2231B">
        <w:rPr>
          <w:rFonts w:eastAsia="Malgun Gothic"/>
          <w:lang w:eastAsia="ko-KR"/>
        </w:rPr>
        <w:t>thical</w:t>
      </w:r>
      <w:r>
        <w:rPr>
          <w:rFonts w:eastAsia="Malgun Gothic"/>
          <w:lang w:eastAsia="ko-KR"/>
        </w:rPr>
        <w:t xml:space="preserve"> pressure: An institutional logic p</w:t>
      </w:r>
      <w:r w:rsidRPr="00E2231B">
        <w:rPr>
          <w:rFonts w:eastAsia="Malgun Gothic"/>
          <w:lang w:eastAsia="ko-KR"/>
        </w:rPr>
        <w:t>erspective</w:t>
      </w:r>
      <w:r>
        <w:rPr>
          <w:rFonts w:eastAsia="Malgun Gothic"/>
          <w:lang w:eastAsia="ko-KR"/>
        </w:rPr>
        <w:t xml:space="preserve">. </w:t>
      </w:r>
      <w:r w:rsidRPr="00716708">
        <w:rPr>
          <w:rFonts w:eastAsia="Malgun Gothic"/>
          <w:b/>
          <w:i/>
          <w:lang w:eastAsia="ko-KR"/>
        </w:rPr>
        <w:t>Journal of Business Ethics,</w:t>
      </w:r>
      <w:r>
        <w:rPr>
          <w:rFonts w:eastAsia="Malgun Gothic"/>
          <w:lang w:eastAsia="ko-KR"/>
        </w:rPr>
        <w:t xml:space="preserve"> </w:t>
      </w:r>
      <w:r w:rsidRPr="00E2231B">
        <w:rPr>
          <w:rFonts w:eastAsia="Malgun Gothic"/>
          <w:lang w:eastAsia="ko-KR"/>
        </w:rPr>
        <w:t>98:</w:t>
      </w:r>
      <w:r>
        <w:rPr>
          <w:rFonts w:eastAsia="Malgun Gothic"/>
          <w:lang w:eastAsia="ko-KR"/>
        </w:rPr>
        <w:t xml:space="preserve"> </w:t>
      </w:r>
      <w:r w:rsidRPr="00E2231B">
        <w:rPr>
          <w:rFonts w:eastAsia="Malgun Gothic"/>
          <w:lang w:eastAsia="ko-KR"/>
        </w:rPr>
        <w:t>373–390</w:t>
      </w:r>
    </w:p>
    <w:p w14:paraId="302F41E9" w14:textId="77777777" w:rsidR="0086707B" w:rsidRDefault="0086707B" w:rsidP="0086707B">
      <w:pPr>
        <w:pStyle w:val="References"/>
        <w:rPr>
          <w:rFonts w:eastAsia="Malgun Gothic"/>
          <w:lang w:eastAsia="ko-KR"/>
        </w:rPr>
      </w:pPr>
      <w:r w:rsidRPr="003A2144">
        <w:rPr>
          <w:rFonts w:eastAsia="Malgun Gothic"/>
          <w:lang w:eastAsia="ko-KR"/>
        </w:rPr>
        <w:t>Thornton</w:t>
      </w:r>
      <w:r>
        <w:rPr>
          <w:rFonts w:eastAsia="Malgun Gothic"/>
          <w:lang w:eastAsia="ko-KR"/>
        </w:rPr>
        <w:t>. P. H.,</w:t>
      </w:r>
      <w:r w:rsidRPr="003A2144">
        <w:rPr>
          <w:rFonts w:eastAsia="Malgun Gothic"/>
          <w:lang w:eastAsia="ko-KR"/>
        </w:rPr>
        <w:t xml:space="preserve"> Ocasio</w:t>
      </w:r>
      <w:r>
        <w:rPr>
          <w:rFonts w:eastAsia="Malgun Gothic"/>
          <w:lang w:eastAsia="ko-KR"/>
        </w:rPr>
        <w:t xml:space="preserve">, W. 1999. </w:t>
      </w:r>
      <w:r w:rsidRPr="003A2144">
        <w:rPr>
          <w:rFonts w:eastAsia="Malgun Gothic"/>
          <w:lang w:eastAsia="ko-KR"/>
        </w:rPr>
        <w:t>Instit</w:t>
      </w:r>
      <w:r>
        <w:rPr>
          <w:rFonts w:eastAsia="Malgun Gothic"/>
          <w:lang w:eastAsia="ko-KR"/>
        </w:rPr>
        <w:t>utional logics and the historical contingency of power in o</w:t>
      </w:r>
      <w:r w:rsidRPr="003A2144">
        <w:rPr>
          <w:rFonts w:eastAsia="Malgun Gothic"/>
          <w:lang w:eastAsia="ko-KR"/>
        </w:rPr>
        <w:t>rganizations: Executive</w:t>
      </w:r>
      <w:r>
        <w:rPr>
          <w:rFonts w:eastAsia="Malgun Gothic"/>
          <w:lang w:eastAsia="ko-KR"/>
        </w:rPr>
        <w:t xml:space="preserve"> </w:t>
      </w:r>
      <w:r w:rsidRPr="003A2144">
        <w:rPr>
          <w:rFonts w:eastAsia="Malgun Gothic"/>
          <w:lang w:eastAsia="ko-KR"/>
        </w:rPr>
        <w:t>Succession in the Higher Education Publishing Industry, 195</w:t>
      </w:r>
      <w:r>
        <w:rPr>
          <w:rFonts w:eastAsia="Malgun Gothic"/>
          <w:lang w:eastAsia="ko-KR"/>
        </w:rPr>
        <w:t>8-</w:t>
      </w:r>
      <w:r w:rsidRPr="003A2144">
        <w:rPr>
          <w:rFonts w:eastAsia="Malgun Gothic"/>
          <w:lang w:eastAsia="ko-KR"/>
        </w:rPr>
        <w:t>1990</w:t>
      </w:r>
      <w:r>
        <w:rPr>
          <w:rFonts w:eastAsia="Malgun Gothic"/>
          <w:lang w:eastAsia="ko-KR"/>
        </w:rPr>
        <w:t xml:space="preserve">. </w:t>
      </w:r>
      <w:r w:rsidRPr="00716708">
        <w:rPr>
          <w:rFonts w:eastAsia="Malgun Gothic"/>
          <w:b/>
          <w:i/>
          <w:lang w:eastAsia="ko-KR"/>
        </w:rPr>
        <w:t xml:space="preserve">American Journal of Sociology, </w:t>
      </w:r>
      <w:r>
        <w:rPr>
          <w:rFonts w:eastAsia="Malgun Gothic"/>
          <w:lang w:eastAsia="ko-KR"/>
        </w:rPr>
        <w:t xml:space="preserve">105: </w:t>
      </w:r>
      <w:r w:rsidRPr="003A2144">
        <w:rPr>
          <w:rFonts w:eastAsia="Malgun Gothic"/>
          <w:lang w:eastAsia="ko-KR"/>
        </w:rPr>
        <w:t>801-843</w:t>
      </w:r>
    </w:p>
    <w:p w14:paraId="20005D37" w14:textId="77777777" w:rsidR="0086707B" w:rsidRDefault="0086707B" w:rsidP="0086707B">
      <w:pPr>
        <w:pStyle w:val="References"/>
        <w:rPr>
          <w:rFonts w:eastAsia="Malgun Gothic"/>
          <w:lang w:eastAsia="ko-KR"/>
        </w:rPr>
      </w:pPr>
      <w:r w:rsidRPr="003A2144">
        <w:rPr>
          <w:rFonts w:eastAsia="Malgun Gothic"/>
          <w:lang w:eastAsia="ko-KR"/>
        </w:rPr>
        <w:t>Thornton</w:t>
      </w:r>
      <w:r>
        <w:rPr>
          <w:rFonts w:eastAsia="Malgun Gothic"/>
          <w:lang w:eastAsia="ko-KR"/>
        </w:rPr>
        <w:t>. P. H.,</w:t>
      </w:r>
      <w:r w:rsidRPr="003A2144">
        <w:rPr>
          <w:rFonts w:eastAsia="Malgun Gothic"/>
          <w:lang w:eastAsia="ko-KR"/>
        </w:rPr>
        <w:t xml:space="preserve"> Ocasio</w:t>
      </w:r>
      <w:r>
        <w:rPr>
          <w:rFonts w:eastAsia="Malgun Gothic"/>
          <w:lang w:eastAsia="ko-KR"/>
        </w:rPr>
        <w:t xml:space="preserve">, W. 2008. </w:t>
      </w:r>
      <w:r w:rsidRPr="00BD7AEE">
        <w:rPr>
          <w:rFonts w:eastAsia="Malgun Gothic"/>
          <w:lang w:eastAsia="ko-KR"/>
        </w:rPr>
        <w:t>Institutional logics. R. Greenwood,</w:t>
      </w:r>
      <w:r>
        <w:rPr>
          <w:rFonts w:eastAsia="Malgun Gothic"/>
          <w:lang w:eastAsia="ko-KR"/>
        </w:rPr>
        <w:t xml:space="preserve"> C. Oliver, K. Sahlin, R. </w:t>
      </w:r>
      <w:r w:rsidRPr="00BD7AEE">
        <w:rPr>
          <w:rFonts w:eastAsia="Malgun Gothic"/>
          <w:lang w:eastAsia="ko-KR"/>
        </w:rPr>
        <w:t xml:space="preserve">Suddaby, eds. </w:t>
      </w:r>
      <w:r w:rsidRPr="00716708">
        <w:rPr>
          <w:rFonts w:eastAsia="Malgun Gothic"/>
          <w:b/>
          <w:i/>
          <w:lang w:eastAsia="ko-KR"/>
        </w:rPr>
        <w:t>Handbook of Organizational Institutionalism.</w:t>
      </w:r>
      <w:r w:rsidRPr="00BD7AEE">
        <w:rPr>
          <w:rFonts w:eastAsia="Malgun Gothic"/>
          <w:lang w:eastAsia="ko-KR"/>
        </w:rPr>
        <w:t xml:space="preserve"> Sage Publications, London, 99–129.</w:t>
      </w:r>
    </w:p>
    <w:p w14:paraId="4904CB17" w14:textId="77777777" w:rsidR="0086707B" w:rsidRPr="00C61DFC" w:rsidRDefault="0086707B" w:rsidP="0086707B">
      <w:pPr>
        <w:pStyle w:val="References"/>
        <w:rPr>
          <w:rFonts w:eastAsia="Malgun Gothic"/>
          <w:lang w:eastAsia="ko-KR"/>
        </w:rPr>
      </w:pPr>
      <w:r w:rsidRPr="00C61DFC">
        <w:rPr>
          <w:rFonts w:eastAsia="Malgun Gothic"/>
          <w:lang w:eastAsia="ko-KR"/>
        </w:rPr>
        <w:t>Walls, J. L., Berrone, P. &amp; Phan, P.</w:t>
      </w:r>
      <w:r>
        <w:rPr>
          <w:rFonts w:eastAsia="Malgun Gothic"/>
          <w:lang w:eastAsia="ko-KR"/>
        </w:rPr>
        <w:t xml:space="preserve"> </w:t>
      </w:r>
      <w:r w:rsidRPr="00C61DFC">
        <w:rPr>
          <w:rFonts w:eastAsia="Malgun Gothic"/>
          <w:lang w:eastAsia="ko-KR"/>
        </w:rPr>
        <w:t>H.</w:t>
      </w:r>
      <w:r>
        <w:rPr>
          <w:rFonts w:eastAsia="Malgun Gothic"/>
          <w:lang w:eastAsia="ko-KR"/>
        </w:rPr>
        <w:t xml:space="preserve"> </w:t>
      </w:r>
      <w:r w:rsidRPr="00C61DFC">
        <w:rPr>
          <w:rFonts w:eastAsia="Malgun Gothic"/>
          <w:lang w:eastAsia="ko-KR"/>
        </w:rPr>
        <w:t>2012</w:t>
      </w:r>
      <w:r>
        <w:rPr>
          <w:rFonts w:eastAsia="Malgun Gothic"/>
          <w:lang w:eastAsia="ko-KR"/>
        </w:rPr>
        <w:t>.</w:t>
      </w:r>
      <w:r w:rsidRPr="00C61DFC">
        <w:rPr>
          <w:rFonts w:eastAsia="Malgun Gothic"/>
          <w:lang w:eastAsia="ko-KR"/>
        </w:rPr>
        <w:t xml:space="preserve"> Corporate Governance and environmental performance: Is there really a link. </w:t>
      </w:r>
      <w:r w:rsidRPr="00447F4C">
        <w:rPr>
          <w:rFonts w:eastAsia="Malgun Gothic"/>
          <w:b/>
          <w:i/>
          <w:lang w:eastAsia="ko-KR"/>
        </w:rPr>
        <w:t>Strategic Management Journal</w:t>
      </w:r>
      <w:r w:rsidRPr="00C61DFC">
        <w:rPr>
          <w:rFonts w:eastAsia="Malgun Gothic"/>
          <w:lang w:eastAsia="ko-KR"/>
        </w:rPr>
        <w:t>, 33: 885-913.</w:t>
      </w:r>
    </w:p>
    <w:p w14:paraId="57F00F77" w14:textId="77777777" w:rsidR="0086707B" w:rsidRPr="0061385D" w:rsidRDefault="0086707B" w:rsidP="0086707B">
      <w:pPr>
        <w:pStyle w:val="References"/>
        <w:rPr>
          <w:rStyle w:val="body1"/>
        </w:rPr>
      </w:pPr>
      <w:r w:rsidRPr="0061385D">
        <w:rPr>
          <w:rFonts w:eastAsia="Batang" w:hint="eastAsia"/>
          <w:lang w:eastAsia="ko-KR"/>
        </w:rPr>
        <w:t>World Bank, 2012</w:t>
      </w:r>
      <w:r>
        <w:rPr>
          <w:rFonts w:eastAsia="Batang"/>
          <w:lang w:eastAsia="ko-KR"/>
        </w:rPr>
        <w:t>.</w:t>
      </w:r>
      <w:r w:rsidRPr="0061385D">
        <w:rPr>
          <w:rFonts w:eastAsia="Batang" w:hint="eastAsia"/>
          <w:lang w:eastAsia="ko-KR"/>
        </w:rPr>
        <w:t xml:space="preserve"> </w:t>
      </w:r>
      <w:r w:rsidRPr="00447F4C">
        <w:rPr>
          <w:rFonts w:eastAsia="Batang" w:hint="eastAsia"/>
          <w:b/>
          <w:i/>
          <w:lang w:eastAsia="ko-KR"/>
        </w:rPr>
        <w:t>World Development Indicators</w:t>
      </w:r>
      <w:r w:rsidRPr="0061385D">
        <w:rPr>
          <w:rFonts w:eastAsia="Batang" w:hint="eastAsia"/>
          <w:lang w:eastAsia="ko-KR"/>
        </w:rPr>
        <w:t>, World Bank. Washington D.C.</w:t>
      </w:r>
    </w:p>
    <w:p w14:paraId="2F8E2777" w14:textId="77777777" w:rsidR="0086707B" w:rsidRDefault="0086707B" w:rsidP="0086707B">
      <w:pPr>
        <w:spacing w:line="480" w:lineRule="auto"/>
        <w:jc w:val="both"/>
      </w:pPr>
    </w:p>
    <w:p w14:paraId="7B8CD4E5" w14:textId="77777777" w:rsidR="0086707B" w:rsidRPr="00895490" w:rsidRDefault="0086707B" w:rsidP="0086707B">
      <w:pPr>
        <w:widowControl/>
        <w:ind w:firstLine="0"/>
        <w:rPr>
          <w:rFonts w:asciiTheme="majorHAnsi" w:eastAsiaTheme="majorEastAsia" w:hAnsiTheme="majorHAnsi" w:cstheme="majorBidi"/>
          <w:b/>
          <w:bCs/>
          <w:sz w:val="2"/>
          <w:szCs w:val="32"/>
        </w:rPr>
      </w:pPr>
      <w:r>
        <w:br w:type="page"/>
      </w:r>
    </w:p>
    <w:p w14:paraId="64D05F22" w14:textId="77777777" w:rsidR="0086707B" w:rsidRPr="003C2115" w:rsidRDefault="0086707B" w:rsidP="0086707B">
      <w:pPr>
        <w:pStyle w:val="Heading1"/>
        <w:jc w:val="center"/>
      </w:pPr>
      <w:r>
        <w:lastRenderedPageBreak/>
        <w:t>APPENDIX</w:t>
      </w:r>
    </w:p>
    <w:p w14:paraId="28DE84A1" w14:textId="77777777" w:rsidR="0086707B" w:rsidRDefault="0086707B" w:rsidP="0086707B">
      <w:pPr>
        <w:ind w:firstLine="0"/>
        <w:jc w:val="both"/>
        <w:rPr>
          <w:b/>
        </w:rPr>
      </w:pPr>
      <w:r>
        <w:rPr>
          <w:b/>
        </w:rPr>
        <w:t>Appendix 1 – Components of Shareholder Rights Index,</w:t>
      </w:r>
      <w:r w:rsidRPr="009C0E17">
        <w:rPr>
          <w:b/>
        </w:rPr>
        <w:t>La et al</w:t>
      </w:r>
      <w:r>
        <w:rPr>
          <w:b/>
        </w:rPr>
        <w:t>.</w:t>
      </w:r>
      <w:r w:rsidRPr="009C0E17">
        <w:rPr>
          <w:b/>
        </w:rPr>
        <w:t xml:space="preserve"> (1998) </w:t>
      </w:r>
    </w:p>
    <w:p w14:paraId="7B92CFD4" w14:textId="77777777" w:rsidR="0086707B" w:rsidRDefault="0086707B" w:rsidP="0086707B">
      <w:pPr>
        <w:ind w:firstLine="0"/>
        <w:jc w:val="both"/>
        <w:rPr>
          <w:b/>
        </w:rPr>
      </w:pPr>
    </w:p>
    <w:p w14:paraId="4A3BF2D3" w14:textId="77777777" w:rsidR="0086707B" w:rsidRPr="00227745" w:rsidRDefault="0086707B" w:rsidP="0086707B">
      <w:pPr>
        <w:jc w:val="both"/>
        <w:rPr>
          <w:sz w:val="22"/>
          <w:szCs w:val="22"/>
        </w:rPr>
      </w:pPr>
      <w:r w:rsidRPr="00505C9D">
        <w:rPr>
          <w:sz w:val="22"/>
          <w:szCs w:val="22"/>
        </w:rPr>
        <w:t xml:space="preserve">The </w:t>
      </w:r>
      <w:r w:rsidRPr="00505C9D">
        <w:rPr>
          <w:i/>
          <w:sz w:val="22"/>
          <w:szCs w:val="22"/>
        </w:rPr>
        <w:t>Shareholder Rights</w:t>
      </w:r>
      <w:r w:rsidRPr="00505C9D">
        <w:rPr>
          <w:sz w:val="22"/>
          <w:szCs w:val="22"/>
        </w:rPr>
        <w:t xml:space="preserve"> index is formed by adding one count each for the presence of the following six shareholder friendly rules at the country level:(i) the country allows shareholders to mail their proxy vote to the firm, (ii) shareholders are not required to deposit their shares prior to the general shareholder’s meeting, (iii) cumulative voting or proportional representation of minorities of the board of directors is allowed, (iv) an oppressed minorities mechanism is in place, (v) the minimum percentage of share capital that entitles a shareholder to call for an extraordinary shareholder’s meeting is less than or equal to 10 percent (the sample median) or (vi) shareholders have pre-emptive rights that can be waived only by a shareholders’ vote.</w:t>
      </w:r>
    </w:p>
    <w:p w14:paraId="78DF5766" w14:textId="77777777" w:rsidR="0086707B" w:rsidRDefault="0086707B" w:rsidP="0086707B">
      <w:pPr>
        <w:ind w:firstLine="0"/>
        <w:jc w:val="both"/>
        <w:rPr>
          <w:b/>
        </w:rPr>
      </w:pPr>
    </w:p>
    <w:p w14:paraId="2B28E096" w14:textId="77777777" w:rsidR="0086707B" w:rsidRDefault="0086707B" w:rsidP="0086707B">
      <w:pPr>
        <w:ind w:firstLine="0"/>
        <w:jc w:val="both"/>
        <w:rPr>
          <w:b/>
        </w:rPr>
      </w:pPr>
      <w:r>
        <w:rPr>
          <w:b/>
        </w:rPr>
        <w:t>Appendix 2 – Components of Creditor Rights Index,</w:t>
      </w:r>
      <w:r w:rsidRPr="009C0E17">
        <w:rPr>
          <w:b/>
        </w:rPr>
        <w:t>La Porta et al</w:t>
      </w:r>
      <w:r>
        <w:rPr>
          <w:b/>
        </w:rPr>
        <w:t>.</w:t>
      </w:r>
      <w:r w:rsidRPr="009C0E17">
        <w:rPr>
          <w:b/>
        </w:rPr>
        <w:t xml:space="preserve"> (1998) </w:t>
      </w:r>
    </w:p>
    <w:p w14:paraId="5A3CB022" w14:textId="77777777" w:rsidR="0086707B" w:rsidRDefault="0086707B" w:rsidP="0086707B">
      <w:pPr>
        <w:ind w:firstLine="0"/>
        <w:jc w:val="both"/>
        <w:rPr>
          <w:b/>
        </w:rPr>
      </w:pPr>
    </w:p>
    <w:p w14:paraId="653DF9CB" w14:textId="77777777" w:rsidR="0086707B" w:rsidRPr="00505C9D" w:rsidRDefault="0086707B" w:rsidP="0086707B">
      <w:pPr>
        <w:jc w:val="both"/>
        <w:rPr>
          <w:sz w:val="22"/>
          <w:szCs w:val="22"/>
        </w:rPr>
      </w:pPr>
      <w:r w:rsidRPr="00505C9D">
        <w:rPr>
          <w:i/>
          <w:sz w:val="22"/>
          <w:szCs w:val="22"/>
        </w:rPr>
        <w:t>Creditor Rights</w:t>
      </w:r>
      <w:r w:rsidRPr="00505C9D">
        <w:rPr>
          <w:sz w:val="22"/>
          <w:szCs w:val="22"/>
        </w:rPr>
        <w:t xml:space="preserve"> is the sum of the following four indexes, which is provided by La Porta et al. (1998): (1) </w:t>
      </w:r>
      <w:r w:rsidRPr="00505C9D">
        <w:rPr>
          <w:i/>
          <w:sz w:val="22"/>
          <w:szCs w:val="22"/>
        </w:rPr>
        <w:t>No automatic stay</w:t>
      </w:r>
      <w:r w:rsidRPr="00505C9D">
        <w:rPr>
          <w:sz w:val="22"/>
          <w:szCs w:val="22"/>
        </w:rPr>
        <w:t xml:space="preserve"> - equals one if a business reorganization procedure does not impose an automatic stay on the assets of the firm upon filing the reorganization petition, allowing creditors to seize their collateral after the reorganization petition is approved. It equals zero if such restriction does exist in the law; (2) </w:t>
      </w:r>
      <w:r w:rsidRPr="00505C9D">
        <w:rPr>
          <w:i/>
          <w:sz w:val="22"/>
          <w:szCs w:val="22"/>
        </w:rPr>
        <w:t>Reorganization</w:t>
      </w:r>
      <w:r w:rsidRPr="00505C9D">
        <w:rPr>
          <w:sz w:val="22"/>
          <w:szCs w:val="22"/>
        </w:rPr>
        <w:t xml:space="preserve"> -  equals one if the reorganization procedure imposes restrictions, such as creditors’ consent or minimum dividend for a debtor to be able to file for reorganization. It equals zero for countries without such restriction; (3) </w:t>
      </w:r>
      <w:r w:rsidRPr="00505C9D">
        <w:rPr>
          <w:i/>
          <w:sz w:val="22"/>
          <w:szCs w:val="22"/>
        </w:rPr>
        <w:t>Secured debt first</w:t>
      </w:r>
      <w:r w:rsidRPr="00505C9D">
        <w:rPr>
          <w:sz w:val="22"/>
          <w:szCs w:val="22"/>
        </w:rPr>
        <w:t xml:space="preserve"> - equals one if secured creditors are ranked first in the distribution of proceeds of the disposition of the assets of a bankrupt firm; Equals zero if non-secured creditors, such as the government and workers, are given absolute priority; (4) </w:t>
      </w:r>
      <w:r w:rsidRPr="00505C9D">
        <w:rPr>
          <w:i/>
          <w:sz w:val="22"/>
          <w:szCs w:val="22"/>
        </w:rPr>
        <w:t>No management stay</w:t>
      </w:r>
      <w:r w:rsidRPr="00505C9D">
        <w:rPr>
          <w:sz w:val="22"/>
          <w:szCs w:val="22"/>
        </w:rPr>
        <w:t xml:space="preserve"> - Equals one if an official appointed by the court, or by the creditors, is responsible for the operation of the business during reorganization, and management does not retain administration of its property pending the resolution of the reorganization.</w:t>
      </w:r>
    </w:p>
    <w:p w14:paraId="15A4BABD" w14:textId="77777777" w:rsidR="0086707B" w:rsidRDefault="0086707B" w:rsidP="0086707B">
      <w:pPr>
        <w:ind w:firstLine="0"/>
        <w:jc w:val="both"/>
        <w:rPr>
          <w:b/>
        </w:rPr>
      </w:pPr>
    </w:p>
    <w:p w14:paraId="6B9C9DE7" w14:textId="77777777" w:rsidR="0086707B" w:rsidRDefault="0086707B" w:rsidP="0086707B">
      <w:pPr>
        <w:ind w:firstLine="0"/>
        <w:jc w:val="both"/>
        <w:rPr>
          <w:b/>
        </w:rPr>
      </w:pPr>
      <w:r>
        <w:rPr>
          <w:b/>
        </w:rPr>
        <w:t xml:space="preserve">Appendix 3 – Components of G-Index 41, Aggarwal et al. </w:t>
      </w:r>
      <w:r w:rsidRPr="00F35497">
        <w:rPr>
          <w:b/>
        </w:rPr>
        <w:t>(2011)</w:t>
      </w:r>
    </w:p>
    <w:p w14:paraId="72629E6D" w14:textId="77777777" w:rsidR="0086707B" w:rsidRDefault="0086707B" w:rsidP="0086707B">
      <w:pPr>
        <w:ind w:firstLine="0"/>
        <w:jc w:val="both"/>
        <w:rPr>
          <w:b/>
        </w:rPr>
      </w:pPr>
    </w:p>
    <w:p w14:paraId="4C64B103" w14:textId="77777777" w:rsidR="0086707B" w:rsidRPr="00505C9D" w:rsidRDefault="0086707B" w:rsidP="0086707B">
      <w:pPr>
        <w:ind w:firstLine="0"/>
        <w:jc w:val="both"/>
        <w:rPr>
          <w:sz w:val="22"/>
          <w:szCs w:val="22"/>
        </w:rPr>
      </w:pPr>
      <w:r w:rsidRPr="00505C9D">
        <w:rPr>
          <w:sz w:val="22"/>
          <w:szCs w:val="22"/>
        </w:rPr>
        <w:t xml:space="preserve">The </w:t>
      </w:r>
      <w:r w:rsidRPr="00505C9D">
        <w:rPr>
          <w:i/>
          <w:sz w:val="22"/>
          <w:szCs w:val="22"/>
        </w:rPr>
        <w:t xml:space="preserve">G-Index 41 </w:t>
      </w:r>
      <w:r w:rsidRPr="00505C9D">
        <w:rPr>
          <w:sz w:val="22"/>
          <w:szCs w:val="22"/>
        </w:rPr>
        <w:t>consists of 41 governance attributes that are organized into four subcategories: (i) board (ii) audit (iii) anti-takeover provisions, and (iv) compensation and ownership. There are 24 governance attributes for (i) boards, including the existence of a governance committee and whether the board is controlled to more than 50 percent by independent directors, 3 attributes for (ii) audit, including whether the audit committee is composed solely of independent outsiders, 6 attributes for (iii) anti-takeover provisions, including whether the company either has no poison pill or a pill that is shareholder approved, and 8 attributes for (iv) compensation and ownership, including whether directors receive all or a portion of their fees in stock.</w:t>
      </w:r>
      <w:r w:rsidRPr="00505C9D">
        <w:rPr>
          <w:i/>
          <w:sz w:val="22"/>
          <w:szCs w:val="22"/>
        </w:rPr>
        <w:t xml:space="preserve"> G-Index 41</w:t>
      </w:r>
      <w:r w:rsidRPr="00505C9D">
        <w:rPr>
          <w:sz w:val="22"/>
          <w:szCs w:val="22"/>
        </w:rPr>
        <w:t xml:space="preserve">, as an additive index, assigns a value of one to each of the 41 governance attributes if the company meets minimally acceptable guidelines on that attribute, and zero otherwise. Then, index is expressed as a percentage. If a firm satisfies all 41 governance attributes, then its </w:t>
      </w:r>
      <w:r w:rsidRPr="00505C9D">
        <w:rPr>
          <w:i/>
          <w:sz w:val="22"/>
          <w:szCs w:val="22"/>
        </w:rPr>
        <w:t>G-Index 41</w:t>
      </w:r>
      <w:r w:rsidRPr="00505C9D">
        <w:rPr>
          <w:sz w:val="22"/>
          <w:szCs w:val="22"/>
        </w:rPr>
        <w:t xml:space="preserve"> will be equal to 100 percent.</w:t>
      </w:r>
    </w:p>
    <w:p w14:paraId="4DE78BD8" w14:textId="77777777" w:rsidR="0086707B" w:rsidRDefault="0086707B" w:rsidP="0086707B">
      <w:pPr>
        <w:ind w:firstLine="0"/>
        <w:jc w:val="both"/>
        <w:rPr>
          <w:sz w:val="22"/>
          <w:szCs w:val="22"/>
        </w:rPr>
      </w:pPr>
      <w:r>
        <w:rPr>
          <w:sz w:val="22"/>
          <w:szCs w:val="22"/>
        </w:rPr>
        <w:t>The</w:t>
      </w:r>
      <w:r w:rsidRPr="00505C9D">
        <w:rPr>
          <w:sz w:val="22"/>
          <w:szCs w:val="22"/>
        </w:rPr>
        <w:t xml:space="preserve"> following numbers of firms per country </w:t>
      </w:r>
      <w:r>
        <w:rPr>
          <w:sz w:val="22"/>
          <w:szCs w:val="22"/>
        </w:rPr>
        <w:t xml:space="preserve">went into the computation of </w:t>
      </w:r>
      <w:r w:rsidRPr="004742D3">
        <w:rPr>
          <w:i/>
          <w:sz w:val="22"/>
          <w:szCs w:val="22"/>
        </w:rPr>
        <w:t>G-Index 41</w:t>
      </w:r>
      <w:r>
        <w:rPr>
          <w:i/>
          <w:sz w:val="22"/>
          <w:szCs w:val="22"/>
        </w:rPr>
        <w:t xml:space="preserve"> </w:t>
      </w:r>
      <w:r w:rsidRPr="00505C9D">
        <w:rPr>
          <w:sz w:val="22"/>
          <w:szCs w:val="22"/>
        </w:rPr>
        <w:t>for each year: Australia (102), Austria (18), Belgium (25), Canada (166), Denmark (22), Finland (29), France (82), Germany (86), Greece (41), Hong Kong (57), Ireland (16), Italy (65), Japan (571), Netherlands (42), New Zealand (17), Norway(22), Portugal (14), Singapore (58), Spain (52), Sweden (44), Switzerland (59), U.K. (45) and U.S. (4921). The average share of market capitalisation of these selected companies in each country is 80.2 percent of the Worldscope total market capitalisation by country in 2008.</w:t>
      </w:r>
      <w:r>
        <w:rPr>
          <w:sz w:val="22"/>
          <w:szCs w:val="22"/>
        </w:rPr>
        <w:br w:type="page"/>
      </w:r>
    </w:p>
    <w:p w14:paraId="46ECA972" w14:textId="77777777" w:rsidR="0086707B" w:rsidRPr="00505C9D" w:rsidRDefault="0086707B" w:rsidP="0086707B">
      <w:pPr>
        <w:ind w:firstLine="0"/>
        <w:jc w:val="both"/>
        <w:rPr>
          <w:sz w:val="22"/>
          <w:szCs w:val="22"/>
        </w:rPr>
      </w:pPr>
    </w:p>
    <w:p w14:paraId="002D5B4D" w14:textId="77777777" w:rsidR="0086707B" w:rsidRDefault="0086707B" w:rsidP="0086707B">
      <w:pPr>
        <w:spacing w:after="120"/>
        <w:ind w:firstLine="0"/>
        <w:jc w:val="both"/>
        <w:rPr>
          <w:b/>
        </w:rPr>
      </w:pPr>
      <w:r w:rsidRPr="003C2115">
        <w:rPr>
          <w:b/>
        </w:rPr>
        <w:t>Table 1: Summary statistics</w:t>
      </w:r>
    </w:p>
    <w:tbl>
      <w:tblPr>
        <w:tblW w:w="10797" w:type="dxa"/>
        <w:tblInd w:w="-601" w:type="dxa"/>
        <w:tblLayout w:type="fixed"/>
        <w:tblLook w:val="04A0" w:firstRow="1" w:lastRow="0" w:firstColumn="1" w:lastColumn="0" w:noHBand="0" w:noVBand="1"/>
      </w:tblPr>
      <w:tblGrid>
        <w:gridCol w:w="1997"/>
        <w:gridCol w:w="164"/>
        <w:gridCol w:w="540"/>
        <w:gridCol w:w="164"/>
        <w:gridCol w:w="646"/>
        <w:gridCol w:w="164"/>
        <w:gridCol w:w="545"/>
        <w:gridCol w:w="164"/>
        <w:gridCol w:w="477"/>
        <w:gridCol w:w="164"/>
        <w:gridCol w:w="470"/>
        <w:gridCol w:w="164"/>
        <w:gridCol w:w="686"/>
        <w:gridCol w:w="164"/>
        <w:gridCol w:w="2564"/>
        <w:gridCol w:w="164"/>
        <w:gridCol w:w="1396"/>
        <w:gridCol w:w="164"/>
      </w:tblGrid>
      <w:tr w:rsidR="0086707B" w:rsidRPr="001F0D28" w14:paraId="6CCF2F37" w14:textId="77777777" w:rsidTr="00B148D5">
        <w:trPr>
          <w:gridAfter w:val="1"/>
          <w:wAfter w:w="164" w:type="dxa"/>
          <w:trHeight w:val="300"/>
        </w:trPr>
        <w:tc>
          <w:tcPr>
            <w:tcW w:w="1997" w:type="dxa"/>
            <w:tcBorders>
              <w:top w:val="single" w:sz="4" w:space="0" w:color="auto"/>
              <w:left w:val="nil"/>
              <w:bottom w:val="single" w:sz="4" w:space="0" w:color="auto"/>
              <w:right w:val="nil"/>
            </w:tcBorders>
            <w:shd w:val="clear" w:color="auto" w:fill="auto"/>
            <w:noWrap/>
            <w:vAlign w:val="bottom"/>
          </w:tcPr>
          <w:p w14:paraId="67144720" w14:textId="77777777" w:rsidR="0086707B" w:rsidRPr="004742D3" w:rsidRDefault="0086707B" w:rsidP="00B148D5">
            <w:pPr>
              <w:pStyle w:val="Tables"/>
              <w:rPr>
                <w:b/>
                <w:sz w:val="20"/>
                <w:szCs w:val="20"/>
              </w:rPr>
            </w:pPr>
            <w:r w:rsidRPr="004742D3">
              <w:rPr>
                <w:b/>
                <w:sz w:val="20"/>
                <w:szCs w:val="20"/>
              </w:rPr>
              <w:t>Variable</w:t>
            </w:r>
          </w:p>
        </w:tc>
        <w:tc>
          <w:tcPr>
            <w:tcW w:w="704" w:type="dxa"/>
            <w:gridSpan w:val="2"/>
            <w:tcBorders>
              <w:top w:val="single" w:sz="4" w:space="0" w:color="auto"/>
              <w:left w:val="nil"/>
              <w:bottom w:val="single" w:sz="4" w:space="0" w:color="auto"/>
              <w:right w:val="nil"/>
            </w:tcBorders>
            <w:shd w:val="clear" w:color="auto" w:fill="auto"/>
            <w:noWrap/>
            <w:vAlign w:val="bottom"/>
          </w:tcPr>
          <w:p w14:paraId="0FF992A3" w14:textId="77777777" w:rsidR="0086707B" w:rsidRPr="004742D3" w:rsidRDefault="0086707B" w:rsidP="00B148D5">
            <w:pPr>
              <w:pStyle w:val="Tables"/>
              <w:rPr>
                <w:b/>
                <w:sz w:val="20"/>
                <w:szCs w:val="20"/>
              </w:rPr>
            </w:pPr>
            <w:r w:rsidRPr="004742D3">
              <w:rPr>
                <w:b/>
                <w:sz w:val="20"/>
                <w:szCs w:val="20"/>
              </w:rPr>
              <w:t>N</w:t>
            </w:r>
          </w:p>
        </w:tc>
        <w:tc>
          <w:tcPr>
            <w:tcW w:w="810" w:type="dxa"/>
            <w:gridSpan w:val="2"/>
            <w:tcBorders>
              <w:top w:val="single" w:sz="4" w:space="0" w:color="auto"/>
              <w:left w:val="nil"/>
              <w:bottom w:val="single" w:sz="4" w:space="0" w:color="auto"/>
              <w:right w:val="nil"/>
            </w:tcBorders>
            <w:shd w:val="clear" w:color="auto" w:fill="auto"/>
            <w:noWrap/>
            <w:vAlign w:val="bottom"/>
          </w:tcPr>
          <w:p w14:paraId="747B2A50" w14:textId="77777777" w:rsidR="0086707B" w:rsidRPr="004742D3" w:rsidRDefault="0086707B" w:rsidP="00B148D5">
            <w:pPr>
              <w:pStyle w:val="Tables"/>
              <w:rPr>
                <w:b/>
                <w:sz w:val="20"/>
                <w:szCs w:val="20"/>
              </w:rPr>
            </w:pPr>
            <w:r w:rsidRPr="004742D3">
              <w:rPr>
                <w:b/>
                <w:sz w:val="20"/>
                <w:szCs w:val="20"/>
              </w:rPr>
              <w:t>mean</w:t>
            </w:r>
          </w:p>
        </w:tc>
        <w:tc>
          <w:tcPr>
            <w:tcW w:w="709" w:type="dxa"/>
            <w:gridSpan w:val="2"/>
            <w:tcBorders>
              <w:top w:val="single" w:sz="4" w:space="0" w:color="auto"/>
              <w:left w:val="nil"/>
              <w:bottom w:val="single" w:sz="4" w:space="0" w:color="auto"/>
              <w:right w:val="nil"/>
            </w:tcBorders>
            <w:shd w:val="clear" w:color="auto" w:fill="auto"/>
            <w:noWrap/>
            <w:vAlign w:val="bottom"/>
          </w:tcPr>
          <w:p w14:paraId="34133A9F" w14:textId="77777777" w:rsidR="0086707B" w:rsidRPr="004742D3" w:rsidRDefault="0086707B" w:rsidP="00B148D5">
            <w:pPr>
              <w:pStyle w:val="Tables"/>
              <w:rPr>
                <w:b/>
                <w:sz w:val="20"/>
                <w:szCs w:val="20"/>
              </w:rPr>
            </w:pPr>
            <w:r w:rsidRPr="004742D3">
              <w:rPr>
                <w:b/>
                <w:sz w:val="20"/>
                <w:szCs w:val="20"/>
              </w:rPr>
              <w:t>sd</w:t>
            </w:r>
          </w:p>
        </w:tc>
        <w:tc>
          <w:tcPr>
            <w:tcW w:w="641" w:type="dxa"/>
            <w:gridSpan w:val="2"/>
            <w:tcBorders>
              <w:top w:val="single" w:sz="4" w:space="0" w:color="auto"/>
              <w:left w:val="nil"/>
              <w:bottom w:val="single" w:sz="4" w:space="0" w:color="auto"/>
              <w:right w:val="nil"/>
            </w:tcBorders>
            <w:shd w:val="clear" w:color="auto" w:fill="auto"/>
            <w:noWrap/>
            <w:vAlign w:val="bottom"/>
          </w:tcPr>
          <w:p w14:paraId="60BCAD77" w14:textId="77777777" w:rsidR="0086707B" w:rsidRPr="004742D3" w:rsidRDefault="0086707B" w:rsidP="00B148D5">
            <w:pPr>
              <w:pStyle w:val="Tables"/>
              <w:rPr>
                <w:b/>
                <w:sz w:val="20"/>
                <w:szCs w:val="20"/>
              </w:rPr>
            </w:pPr>
            <w:r w:rsidRPr="004742D3">
              <w:rPr>
                <w:b/>
                <w:sz w:val="20"/>
                <w:szCs w:val="20"/>
              </w:rPr>
              <w:t>P50</w:t>
            </w:r>
          </w:p>
        </w:tc>
        <w:tc>
          <w:tcPr>
            <w:tcW w:w="634" w:type="dxa"/>
            <w:gridSpan w:val="2"/>
            <w:tcBorders>
              <w:top w:val="single" w:sz="4" w:space="0" w:color="auto"/>
              <w:left w:val="nil"/>
              <w:bottom w:val="single" w:sz="4" w:space="0" w:color="auto"/>
              <w:right w:val="nil"/>
            </w:tcBorders>
            <w:shd w:val="clear" w:color="auto" w:fill="auto"/>
            <w:noWrap/>
            <w:vAlign w:val="bottom"/>
          </w:tcPr>
          <w:p w14:paraId="4157A7EA" w14:textId="77777777" w:rsidR="0086707B" w:rsidRPr="004742D3" w:rsidRDefault="0086707B" w:rsidP="00B148D5">
            <w:pPr>
              <w:pStyle w:val="Tables"/>
              <w:rPr>
                <w:b/>
                <w:sz w:val="20"/>
                <w:szCs w:val="20"/>
              </w:rPr>
            </w:pPr>
            <w:r w:rsidRPr="004742D3">
              <w:rPr>
                <w:b/>
                <w:sz w:val="20"/>
                <w:szCs w:val="20"/>
              </w:rPr>
              <w:t>min</w:t>
            </w:r>
          </w:p>
        </w:tc>
        <w:tc>
          <w:tcPr>
            <w:tcW w:w="850" w:type="dxa"/>
            <w:gridSpan w:val="2"/>
            <w:tcBorders>
              <w:top w:val="single" w:sz="4" w:space="0" w:color="auto"/>
              <w:left w:val="nil"/>
              <w:bottom w:val="single" w:sz="4" w:space="0" w:color="auto"/>
              <w:right w:val="nil"/>
            </w:tcBorders>
            <w:shd w:val="clear" w:color="auto" w:fill="auto"/>
            <w:noWrap/>
            <w:vAlign w:val="bottom"/>
          </w:tcPr>
          <w:p w14:paraId="5AD1953F" w14:textId="77777777" w:rsidR="0086707B" w:rsidRPr="004742D3" w:rsidRDefault="0086707B" w:rsidP="00B148D5">
            <w:pPr>
              <w:pStyle w:val="Tables"/>
              <w:rPr>
                <w:b/>
                <w:sz w:val="20"/>
                <w:szCs w:val="20"/>
              </w:rPr>
            </w:pPr>
            <w:r w:rsidRPr="004742D3">
              <w:rPr>
                <w:b/>
                <w:sz w:val="20"/>
                <w:szCs w:val="20"/>
              </w:rPr>
              <w:t>max</w:t>
            </w:r>
          </w:p>
        </w:tc>
        <w:tc>
          <w:tcPr>
            <w:tcW w:w="2728" w:type="dxa"/>
            <w:gridSpan w:val="2"/>
            <w:tcBorders>
              <w:top w:val="single" w:sz="4" w:space="0" w:color="auto"/>
              <w:left w:val="nil"/>
              <w:bottom w:val="single" w:sz="4" w:space="0" w:color="auto"/>
              <w:right w:val="nil"/>
            </w:tcBorders>
            <w:shd w:val="clear" w:color="auto" w:fill="auto"/>
            <w:noWrap/>
            <w:vAlign w:val="bottom"/>
          </w:tcPr>
          <w:p w14:paraId="3557788A" w14:textId="77777777" w:rsidR="0086707B" w:rsidRPr="004742D3" w:rsidRDefault="0086707B" w:rsidP="00B148D5">
            <w:pPr>
              <w:pStyle w:val="Tables"/>
              <w:rPr>
                <w:b/>
                <w:sz w:val="20"/>
                <w:szCs w:val="20"/>
              </w:rPr>
            </w:pPr>
            <w:r w:rsidRPr="004742D3">
              <w:rPr>
                <w:b/>
                <w:sz w:val="20"/>
                <w:szCs w:val="20"/>
              </w:rPr>
              <w:t>Definition</w:t>
            </w:r>
          </w:p>
        </w:tc>
        <w:tc>
          <w:tcPr>
            <w:tcW w:w="1560" w:type="dxa"/>
            <w:gridSpan w:val="2"/>
            <w:tcBorders>
              <w:top w:val="single" w:sz="4" w:space="0" w:color="auto"/>
              <w:left w:val="nil"/>
              <w:bottom w:val="single" w:sz="4" w:space="0" w:color="auto"/>
              <w:right w:val="nil"/>
            </w:tcBorders>
            <w:shd w:val="clear" w:color="auto" w:fill="auto"/>
            <w:noWrap/>
            <w:vAlign w:val="bottom"/>
          </w:tcPr>
          <w:p w14:paraId="77B81A20" w14:textId="77777777" w:rsidR="0086707B" w:rsidRPr="004742D3" w:rsidRDefault="0086707B" w:rsidP="00B148D5">
            <w:pPr>
              <w:pStyle w:val="Tables"/>
              <w:rPr>
                <w:b/>
                <w:sz w:val="20"/>
                <w:szCs w:val="20"/>
              </w:rPr>
            </w:pPr>
            <w:r w:rsidRPr="004742D3">
              <w:rPr>
                <w:b/>
                <w:sz w:val="20"/>
                <w:szCs w:val="20"/>
              </w:rPr>
              <w:t>Sources</w:t>
            </w:r>
          </w:p>
        </w:tc>
      </w:tr>
      <w:tr w:rsidR="0086707B" w:rsidRPr="00F53037" w14:paraId="6B00083A" w14:textId="77777777" w:rsidTr="00B148D5">
        <w:trPr>
          <w:gridAfter w:val="1"/>
          <w:wAfter w:w="164" w:type="dxa"/>
          <w:trHeight w:val="300"/>
        </w:trPr>
        <w:tc>
          <w:tcPr>
            <w:tcW w:w="1997" w:type="dxa"/>
            <w:tcBorders>
              <w:top w:val="nil"/>
              <w:left w:val="nil"/>
              <w:bottom w:val="nil"/>
              <w:right w:val="nil"/>
            </w:tcBorders>
            <w:shd w:val="clear" w:color="auto" w:fill="auto"/>
            <w:noWrap/>
            <w:vAlign w:val="bottom"/>
          </w:tcPr>
          <w:p w14:paraId="635338E7" w14:textId="77777777" w:rsidR="0086707B" w:rsidRPr="004742D3" w:rsidRDefault="0086707B" w:rsidP="00B148D5">
            <w:pPr>
              <w:pStyle w:val="Tables"/>
              <w:ind w:left="-663" w:firstLine="663"/>
              <w:rPr>
                <w:rFonts w:eastAsia="Batang"/>
                <w:b/>
                <w:sz w:val="20"/>
                <w:szCs w:val="20"/>
              </w:rPr>
            </w:pPr>
            <w:r w:rsidRPr="004742D3">
              <w:rPr>
                <w:rFonts w:eastAsia="Batang"/>
                <w:b/>
                <w:sz w:val="20"/>
                <w:szCs w:val="20"/>
              </w:rPr>
              <w:t>A. Carbon emissions</w:t>
            </w:r>
          </w:p>
        </w:tc>
        <w:tc>
          <w:tcPr>
            <w:tcW w:w="704" w:type="dxa"/>
            <w:gridSpan w:val="2"/>
            <w:tcBorders>
              <w:top w:val="nil"/>
              <w:left w:val="nil"/>
              <w:bottom w:val="nil"/>
              <w:right w:val="nil"/>
            </w:tcBorders>
            <w:shd w:val="clear" w:color="auto" w:fill="auto"/>
            <w:noWrap/>
            <w:vAlign w:val="bottom"/>
          </w:tcPr>
          <w:p w14:paraId="0ABAF3BA" w14:textId="77777777" w:rsidR="0086707B" w:rsidRPr="004742D3" w:rsidRDefault="0086707B" w:rsidP="00B148D5">
            <w:pPr>
              <w:pStyle w:val="Tables"/>
              <w:rPr>
                <w:sz w:val="20"/>
                <w:szCs w:val="20"/>
              </w:rPr>
            </w:pPr>
          </w:p>
        </w:tc>
        <w:tc>
          <w:tcPr>
            <w:tcW w:w="810" w:type="dxa"/>
            <w:gridSpan w:val="2"/>
            <w:tcBorders>
              <w:top w:val="nil"/>
              <w:left w:val="nil"/>
              <w:bottom w:val="nil"/>
              <w:right w:val="nil"/>
            </w:tcBorders>
            <w:shd w:val="clear" w:color="auto" w:fill="auto"/>
            <w:noWrap/>
            <w:vAlign w:val="bottom"/>
          </w:tcPr>
          <w:p w14:paraId="4124D912" w14:textId="77777777" w:rsidR="0086707B" w:rsidRPr="004742D3" w:rsidRDefault="0086707B" w:rsidP="00B148D5">
            <w:pPr>
              <w:pStyle w:val="Tables"/>
              <w:rPr>
                <w:sz w:val="20"/>
                <w:szCs w:val="20"/>
              </w:rPr>
            </w:pPr>
          </w:p>
        </w:tc>
        <w:tc>
          <w:tcPr>
            <w:tcW w:w="709" w:type="dxa"/>
            <w:gridSpan w:val="2"/>
            <w:tcBorders>
              <w:top w:val="nil"/>
              <w:left w:val="nil"/>
              <w:bottom w:val="nil"/>
              <w:right w:val="nil"/>
            </w:tcBorders>
            <w:shd w:val="clear" w:color="auto" w:fill="auto"/>
            <w:noWrap/>
            <w:vAlign w:val="bottom"/>
          </w:tcPr>
          <w:p w14:paraId="3DA871B7" w14:textId="77777777" w:rsidR="0086707B" w:rsidRPr="004742D3" w:rsidRDefault="0086707B" w:rsidP="00B148D5">
            <w:pPr>
              <w:pStyle w:val="Tables"/>
              <w:rPr>
                <w:sz w:val="20"/>
                <w:szCs w:val="20"/>
              </w:rPr>
            </w:pPr>
          </w:p>
        </w:tc>
        <w:tc>
          <w:tcPr>
            <w:tcW w:w="641" w:type="dxa"/>
            <w:gridSpan w:val="2"/>
            <w:tcBorders>
              <w:top w:val="nil"/>
              <w:left w:val="nil"/>
              <w:bottom w:val="nil"/>
              <w:right w:val="nil"/>
            </w:tcBorders>
            <w:shd w:val="clear" w:color="auto" w:fill="auto"/>
            <w:noWrap/>
            <w:vAlign w:val="bottom"/>
          </w:tcPr>
          <w:p w14:paraId="021F3BB9" w14:textId="77777777" w:rsidR="0086707B" w:rsidRPr="004742D3" w:rsidRDefault="0086707B" w:rsidP="00B148D5">
            <w:pPr>
              <w:pStyle w:val="Tables"/>
              <w:rPr>
                <w:sz w:val="20"/>
                <w:szCs w:val="20"/>
              </w:rPr>
            </w:pPr>
          </w:p>
        </w:tc>
        <w:tc>
          <w:tcPr>
            <w:tcW w:w="634" w:type="dxa"/>
            <w:gridSpan w:val="2"/>
            <w:tcBorders>
              <w:top w:val="nil"/>
              <w:left w:val="nil"/>
              <w:bottom w:val="nil"/>
              <w:right w:val="nil"/>
            </w:tcBorders>
            <w:shd w:val="clear" w:color="auto" w:fill="auto"/>
            <w:noWrap/>
            <w:vAlign w:val="bottom"/>
          </w:tcPr>
          <w:p w14:paraId="0342CB34" w14:textId="77777777" w:rsidR="0086707B" w:rsidRPr="004742D3" w:rsidRDefault="0086707B" w:rsidP="00B148D5">
            <w:pPr>
              <w:pStyle w:val="Tables"/>
              <w:rPr>
                <w:sz w:val="20"/>
                <w:szCs w:val="20"/>
              </w:rPr>
            </w:pPr>
          </w:p>
        </w:tc>
        <w:tc>
          <w:tcPr>
            <w:tcW w:w="850" w:type="dxa"/>
            <w:gridSpan w:val="2"/>
            <w:tcBorders>
              <w:top w:val="nil"/>
              <w:left w:val="nil"/>
              <w:bottom w:val="nil"/>
              <w:right w:val="nil"/>
            </w:tcBorders>
            <w:shd w:val="clear" w:color="auto" w:fill="auto"/>
            <w:noWrap/>
            <w:vAlign w:val="bottom"/>
          </w:tcPr>
          <w:p w14:paraId="347A36B3" w14:textId="77777777" w:rsidR="0086707B" w:rsidRPr="004742D3" w:rsidRDefault="0086707B" w:rsidP="00B148D5">
            <w:pPr>
              <w:pStyle w:val="Tables"/>
              <w:rPr>
                <w:sz w:val="20"/>
                <w:szCs w:val="20"/>
              </w:rPr>
            </w:pPr>
          </w:p>
        </w:tc>
        <w:tc>
          <w:tcPr>
            <w:tcW w:w="2728" w:type="dxa"/>
            <w:gridSpan w:val="2"/>
            <w:tcBorders>
              <w:top w:val="nil"/>
              <w:left w:val="nil"/>
              <w:bottom w:val="nil"/>
              <w:right w:val="nil"/>
            </w:tcBorders>
            <w:shd w:val="clear" w:color="auto" w:fill="auto"/>
            <w:noWrap/>
            <w:vAlign w:val="bottom"/>
          </w:tcPr>
          <w:p w14:paraId="4F915354" w14:textId="77777777" w:rsidR="0086707B" w:rsidRPr="004742D3" w:rsidRDefault="0086707B" w:rsidP="00B148D5">
            <w:pPr>
              <w:pStyle w:val="Tables"/>
              <w:rPr>
                <w:sz w:val="20"/>
                <w:szCs w:val="20"/>
              </w:rPr>
            </w:pPr>
          </w:p>
        </w:tc>
        <w:tc>
          <w:tcPr>
            <w:tcW w:w="1560" w:type="dxa"/>
            <w:gridSpan w:val="2"/>
            <w:tcBorders>
              <w:top w:val="nil"/>
              <w:left w:val="nil"/>
              <w:bottom w:val="nil"/>
              <w:right w:val="nil"/>
            </w:tcBorders>
            <w:shd w:val="clear" w:color="auto" w:fill="auto"/>
            <w:noWrap/>
            <w:vAlign w:val="bottom"/>
          </w:tcPr>
          <w:p w14:paraId="15369BB4" w14:textId="77777777" w:rsidR="0086707B" w:rsidRPr="004742D3" w:rsidRDefault="0086707B" w:rsidP="00B148D5">
            <w:pPr>
              <w:pStyle w:val="Tables"/>
              <w:rPr>
                <w:sz w:val="20"/>
                <w:szCs w:val="20"/>
              </w:rPr>
            </w:pPr>
          </w:p>
        </w:tc>
      </w:tr>
      <w:tr w:rsidR="0086707B" w:rsidRPr="00810782" w14:paraId="210A43A1" w14:textId="77777777" w:rsidTr="00B148D5">
        <w:trPr>
          <w:gridAfter w:val="1"/>
          <w:wAfter w:w="164" w:type="dxa"/>
          <w:trHeight w:val="300"/>
        </w:trPr>
        <w:tc>
          <w:tcPr>
            <w:tcW w:w="1997" w:type="dxa"/>
            <w:tcBorders>
              <w:top w:val="nil"/>
              <w:left w:val="nil"/>
              <w:bottom w:val="nil"/>
              <w:right w:val="nil"/>
            </w:tcBorders>
            <w:shd w:val="clear" w:color="auto" w:fill="auto"/>
            <w:noWrap/>
            <w:vAlign w:val="bottom"/>
          </w:tcPr>
          <w:p w14:paraId="7B488FFA" w14:textId="77777777" w:rsidR="0086707B" w:rsidRPr="00810782" w:rsidRDefault="0086707B" w:rsidP="00B148D5">
            <w:pPr>
              <w:pStyle w:val="Tables"/>
              <w:ind w:left="-663" w:firstLine="663"/>
              <w:rPr>
                <w:rFonts w:asciiTheme="majorHAnsi" w:eastAsia="Batang" w:hAnsiTheme="majorHAnsi"/>
                <w:sz w:val="18"/>
                <w:szCs w:val="18"/>
              </w:rPr>
            </w:pPr>
            <w:r w:rsidRPr="00810782">
              <w:rPr>
                <w:rFonts w:asciiTheme="majorHAnsi" w:eastAsia="Batang" w:hAnsiTheme="majorHAnsi"/>
                <w:sz w:val="18"/>
                <w:szCs w:val="18"/>
              </w:rPr>
              <w:t xml:space="preserve">CO2 </w:t>
            </w:r>
            <w:r w:rsidRPr="00810782">
              <w:rPr>
                <w:rFonts w:asciiTheme="majorHAnsi" w:eastAsia="Batang" w:hAnsiTheme="majorHAnsi"/>
                <w:sz w:val="18"/>
                <w:szCs w:val="18"/>
                <w:u w:val="single"/>
              </w:rPr>
              <w:t>/person</w:t>
            </w:r>
          </w:p>
        </w:tc>
        <w:tc>
          <w:tcPr>
            <w:tcW w:w="704" w:type="dxa"/>
            <w:gridSpan w:val="2"/>
            <w:tcBorders>
              <w:top w:val="nil"/>
              <w:left w:val="nil"/>
              <w:bottom w:val="nil"/>
              <w:right w:val="nil"/>
            </w:tcBorders>
            <w:shd w:val="clear" w:color="auto" w:fill="auto"/>
            <w:noWrap/>
            <w:vAlign w:val="bottom"/>
          </w:tcPr>
          <w:p w14:paraId="29C87437" w14:textId="77777777" w:rsidR="0086707B" w:rsidRPr="00810782" w:rsidRDefault="0086707B" w:rsidP="00B148D5">
            <w:pPr>
              <w:pStyle w:val="Tables"/>
              <w:rPr>
                <w:rFonts w:asciiTheme="majorHAnsi" w:hAnsiTheme="majorHAnsi"/>
                <w:sz w:val="18"/>
                <w:szCs w:val="18"/>
              </w:rPr>
            </w:pPr>
          </w:p>
        </w:tc>
        <w:tc>
          <w:tcPr>
            <w:tcW w:w="810" w:type="dxa"/>
            <w:gridSpan w:val="2"/>
            <w:tcBorders>
              <w:top w:val="nil"/>
              <w:left w:val="nil"/>
              <w:bottom w:val="nil"/>
              <w:right w:val="nil"/>
            </w:tcBorders>
            <w:shd w:val="clear" w:color="auto" w:fill="auto"/>
            <w:noWrap/>
            <w:vAlign w:val="bottom"/>
          </w:tcPr>
          <w:p w14:paraId="0A1F2857" w14:textId="77777777" w:rsidR="0086707B" w:rsidRPr="00810782" w:rsidRDefault="0086707B" w:rsidP="00B148D5">
            <w:pPr>
              <w:pStyle w:val="Tables"/>
              <w:rPr>
                <w:rFonts w:asciiTheme="majorHAnsi" w:hAnsiTheme="majorHAnsi"/>
                <w:sz w:val="18"/>
                <w:szCs w:val="18"/>
              </w:rPr>
            </w:pPr>
          </w:p>
        </w:tc>
        <w:tc>
          <w:tcPr>
            <w:tcW w:w="709" w:type="dxa"/>
            <w:gridSpan w:val="2"/>
            <w:tcBorders>
              <w:top w:val="nil"/>
              <w:left w:val="nil"/>
              <w:bottom w:val="nil"/>
              <w:right w:val="nil"/>
            </w:tcBorders>
            <w:shd w:val="clear" w:color="auto" w:fill="auto"/>
            <w:noWrap/>
            <w:vAlign w:val="bottom"/>
          </w:tcPr>
          <w:p w14:paraId="685B5A95" w14:textId="77777777" w:rsidR="0086707B" w:rsidRPr="00810782" w:rsidRDefault="0086707B" w:rsidP="00B148D5">
            <w:pPr>
              <w:pStyle w:val="Tables"/>
              <w:rPr>
                <w:rFonts w:asciiTheme="majorHAnsi" w:hAnsiTheme="majorHAnsi"/>
                <w:sz w:val="18"/>
                <w:szCs w:val="18"/>
              </w:rPr>
            </w:pPr>
          </w:p>
        </w:tc>
        <w:tc>
          <w:tcPr>
            <w:tcW w:w="641" w:type="dxa"/>
            <w:gridSpan w:val="2"/>
            <w:tcBorders>
              <w:top w:val="nil"/>
              <w:left w:val="nil"/>
              <w:bottom w:val="nil"/>
              <w:right w:val="nil"/>
            </w:tcBorders>
            <w:shd w:val="clear" w:color="auto" w:fill="auto"/>
            <w:noWrap/>
            <w:vAlign w:val="bottom"/>
          </w:tcPr>
          <w:p w14:paraId="13AF0330" w14:textId="77777777" w:rsidR="0086707B" w:rsidRPr="00810782" w:rsidRDefault="0086707B" w:rsidP="00B148D5">
            <w:pPr>
              <w:pStyle w:val="Tables"/>
              <w:rPr>
                <w:rFonts w:asciiTheme="majorHAnsi" w:hAnsiTheme="majorHAnsi"/>
                <w:sz w:val="18"/>
                <w:szCs w:val="18"/>
              </w:rPr>
            </w:pPr>
          </w:p>
        </w:tc>
        <w:tc>
          <w:tcPr>
            <w:tcW w:w="634" w:type="dxa"/>
            <w:gridSpan w:val="2"/>
            <w:tcBorders>
              <w:top w:val="nil"/>
              <w:left w:val="nil"/>
              <w:bottom w:val="nil"/>
              <w:right w:val="nil"/>
            </w:tcBorders>
            <w:shd w:val="clear" w:color="auto" w:fill="auto"/>
            <w:noWrap/>
            <w:vAlign w:val="bottom"/>
          </w:tcPr>
          <w:p w14:paraId="3C1A01FC" w14:textId="77777777" w:rsidR="0086707B" w:rsidRPr="00810782" w:rsidRDefault="0086707B" w:rsidP="00B148D5">
            <w:pPr>
              <w:pStyle w:val="Tables"/>
              <w:rPr>
                <w:rFonts w:asciiTheme="majorHAnsi" w:hAnsiTheme="majorHAnsi"/>
                <w:sz w:val="18"/>
                <w:szCs w:val="18"/>
              </w:rPr>
            </w:pPr>
          </w:p>
        </w:tc>
        <w:tc>
          <w:tcPr>
            <w:tcW w:w="850" w:type="dxa"/>
            <w:gridSpan w:val="2"/>
            <w:tcBorders>
              <w:top w:val="nil"/>
              <w:left w:val="nil"/>
              <w:bottom w:val="nil"/>
              <w:right w:val="nil"/>
            </w:tcBorders>
            <w:shd w:val="clear" w:color="auto" w:fill="auto"/>
            <w:noWrap/>
            <w:vAlign w:val="bottom"/>
          </w:tcPr>
          <w:p w14:paraId="4CCAE734" w14:textId="77777777" w:rsidR="0086707B" w:rsidRPr="00810782" w:rsidRDefault="0086707B" w:rsidP="00B148D5">
            <w:pPr>
              <w:pStyle w:val="Tables"/>
              <w:rPr>
                <w:rFonts w:asciiTheme="majorHAnsi" w:hAnsiTheme="majorHAnsi"/>
                <w:sz w:val="18"/>
                <w:szCs w:val="18"/>
              </w:rPr>
            </w:pPr>
          </w:p>
        </w:tc>
        <w:tc>
          <w:tcPr>
            <w:tcW w:w="2728" w:type="dxa"/>
            <w:gridSpan w:val="2"/>
            <w:tcBorders>
              <w:top w:val="nil"/>
              <w:left w:val="nil"/>
              <w:bottom w:val="nil"/>
              <w:right w:val="nil"/>
            </w:tcBorders>
            <w:shd w:val="clear" w:color="auto" w:fill="auto"/>
            <w:noWrap/>
            <w:vAlign w:val="bottom"/>
          </w:tcPr>
          <w:p w14:paraId="1F149ABF" w14:textId="77777777" w:rsidR="0086707B" w:rsidRPr="00810782" w:rsidRDefault="0086707B" w:rsidP="00B148D5">
            <w:pPr>
              <w:pStyle w:val="Tables"/>
              <w:rPr>
                <w:rFonts w:asciiTheme="majorHAnsi" w:hAnsiTheme="majorHAnsi"/>
                <w:sz w:val="18"/>
                <w:szCs w:val="18"/>
              </w:rPr>
            </w:pPr>
          </w:p>
        </w:tc>
        <w:tc>
          <w:tcPr>
            <w:tcW w:w="1560" w:type="dxa"/>
            <w:gridSpan w:val="2"/>
            <w:tcBorders>
              <w:top w:val="nil"/>
              <w:left w:val="nil"/>
              <w:bottom w:val="nil"/>
              <w:right w:val="nil"/>
            </w:tcBorders>
            <w:shd w:val="clear" w:color="auto" w:fill="auto"/>
            <w:noWrap/>
            <w:vAlign w:val="bottom"/>
          </w:tcPr>
          <w:p w14:paraId="74815797" w14:textId="77777777" w:rsidR="0086707B" w:rsidRPr="00810782" w:rsidRDefault="0086707B" w:rsidP="00B148D5">
            <w:pPr>
              <w:pStyle w:val="Tables"/>
              <w:rPr>
                <w:rFonts w:asciiTheme="majorHAnsi" w:hAnsiTheme="majorHAnsi"/>
                <w:sz w:val="18"/>
                <w:szCs w:val="18"/>
              </w:rPr>
            </w:pPr>
          </w:p>
        </w:tc>
      </w:tr>
      <w:tr w:rsidR="0086707B" w:rsidRPr="00810782" w14:paraId="617CBE1E" w14:textId="77777777" w:rsidTr="00B148D5">
        <w:trPr>
          <w:gridAfter w:val="1"/>
          <w:wAfter w:w="164" w:type="dxa"/>
          <w:trHeight w:val="300"/>
        </w:trPr>
        <w:tc>
          <w:tcPr>
            <w:tcW w:w="1997" w:type="dxa"/>
            <w:tcBorders>
              <w:top w:val="nil"/>
              <w:left w:val="nil"/>
              <w:bottom w:val="nil"/>
              <w:right w:val="nil"/>
            </w:tcBorders>
            <w:shd w:val="clear" w:color="auto" w:fill="auto"/>
            <w:noWrap/>
            <w:vAlign w:val="bottom"/>
          </w:tcPr>
          <w:p w14:paraId="21D13010" w14:textId="77777777" w:rsidR="0086707B" w:rsidRPr="00810782" w:rsidRDefault="0086707B" w:rsidP="00B148D5">
            <w:pPr>
              <w:pStyle w:val="Tables"/>
              <w:rPr>
                <w:rFonts w:asciiTheme="majorHAnsi" w:eastAsia="Batang" w:hAnsiTheme="majorHAnsi"/>
                <w:sz w:val="18"/>
                <w:szCs w:val="18"/>
              </w:rPr>
            </w:pPr>
            <w:r>
              <w:rPr>
                <w:rFonts w:asciiTheme="majorHAnsi" w:eastAsia="Batang" w:hAnsiTheme="majorHAnsi"/>
                <w:sz w:val="18"/>
                <w:szCs w:val="18"/>
              </w:rPr>
              <w:t>(1)</w:t>
            </w:r>
            <w:r w:rsidRPr="00810782">
              <w:rPr>
                <w:rFonts w:asciiTheme="majorHAnsi" w:eastAsia="Batang" w:hAnsiTheme="majorHAnsi"/>
                <w:sz w:val="18"/>
                <w:szCs w:val="18"/>
              </w:rPr>
              <w:t>all countries</w:t>
            </w:r>
          </w:p>
          <w:p w14:paraId="712D8E9B" w14:textId="77777777" w:rsidR="0086707B" w:rsidRPr="00810782" w:rsidRDefault="0086707B" w:rsidP="00B148D5">
            <w:pPr>
              <w:pStyle w:val="Tables"/>
              <w:ind w:left="720"/>
              <w:rPr>
                <w:rFonts w:asciiTheme="majorHAnsi" w:eastAsia="Batang" w:hAnsiTheme="majorHAnsi"/>
                <w:sz w:val="18"/>
                <w:szCs w:val="18"/>
              </w:rPr>
            </w:pPr>
          </w:p>
          <w:p w14:paraId="7BC4C45F" w14:textId="77777777" w:rsidR="0086707B" w:rsidRPr="00810782" w:rsidRDefault="0086707B" w:rsidP="00B148D5">
            <w:pPr>
              <w:pStyle w:val="Tables"/>
              <w:rPr>
                <w:rFonts w:asciiTheme="majorHAnsi" w:eastAsia="Batang" w:hAnsiTheme="majorHAnsi"/>
                <w:sz w:val="18"/>
                <w:szCs w:val="18"/>
              </w:rPr>
            </w:pPr>
          </w:p>
        </w:tc>
        <w:tc>
          <w:tcPr>
            <w:tcW w:w="704" w:type="dxa"/>
            <w:gridSpan w:val="2"/>
            <w:tcBorders>
              <w:top w:val="nil"/>
              <w:left w:val="nil"/>
              <w:bottom w:val="nil"/>
              <w:right w:val="nil"/>
            </w:tcBorders>
            <w:shd w:val="clear" w:color="auto" w:fill="auto"/>
            <w:noWrap/>
            <w:vAlign w:val="bottom"/>
          </w:tcPr>
          <w:p w14:paraId="46AE584A"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6134</w:t>
            </w:r>
          </w:p>
          <w:p w14:paraId="297DD864" w14:textId="77777777" w:rsidR="0086707B" w:rsidRPr="00810782" w:rsidRDefault="0086707B" w:rsidP="00B148D5">
            <w:pPr>
              <w:pStyle w:val="Tables"/>
              <w:rPr>
                <w:rFonts w:asciiTheme="majorHAnsi" w:hAnsiTheme="majorHAnsi"/>
                <w:sz w:val="18"/>
                <w:szCs w:val="18"/>
              </w:rPr>
            </w:pPr>
          </w:p>
        </w:tc>
        <w:tc>
          <w:tcPr>
            <w:tcW w:w="810" w:type="dxa"/>
            <w:gridSpan w:val="2"/>
            <w:tcBorders>
              <w:top w:val="nil"/>
              <w:left w:val="nil"/>
              <w:bottom w:val="nil"/>
              <w:right w:val="nil"/>
            </w:tcBorders>
            <w:shd w:val="clear" w:color="auto" w:fill="auto"/>
            <w:noWrap/>
            <w:vAlign w:val="bottom"/>
          </w:tcPr>
          <w:p w14:paraId="5BE32F12"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4.59</w:t>
            </w:r>
          </w:p>
          <w:p w14:paraId="3591AEF7" w14:textId="77777777" w:rsidR="0086707B" w:rsidRPr="00810782" w:rsidRDefault="0086707B" w:rsidP="00B148D5">
            <w:pPr>
              <w:pStyle w:val="Tables"/>
              <w:rPr>
                <w:rFonts w:asciiTheme="majorHAnsi" w:hAnsiTheme="majorHAnsi"/>
                <w:sz w:val="18"/>
                <w:szCs w:val="18"/>
              </w:rPr>
            </w:pPr>
          </w:p>
        </w:tc>
        <w:tc>
          <w:tcPr>
            <w:tcW w:w="709" w:type="dxa"/>
            <w:gridSpan w:val="2"/>
            <w:tcBorders>
              <w:top w:val="nil"/>
              <w:left w:val="nil"/>
              <w:bottom w:val="nil"/>
              <w:right w:val="nil"/>
            </w:tcBorders>
            <w:shd w:val="clear" w:color="auto" w:fill="auto"/>
            <w:noWrap/>
            <w:vAlign w:val="bottom"/>
          </w:tcPr>
          <w:p w14:paraId="30F20303"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6.32</w:t>
            </w:r>
          </w:p>
          <w:p w14:paraId="4F6A564B" w14:textId="77777777" w:rsidR="0086707B" w:rsidRPr="00810782" w:rsidRDefault="0086707B" w:rsidP="00B148D5">
            <w:pPr>
              <w:pStyle w:val="Tables"/>
              <w:rPr>
                <w:rFonts w:asciiTheme="majorHAnsi" w:hAnsiTheme="majorHAnsi"/>
                <w:sz w:val="18"/>
                <w:szCs w:val="18"/>
              </w:rPr>
            </w:pPr>
          </w:p>
        </w:tc>
        <w:tc>
          <w:tcPr>
            <w:tcW w:w="641" w:type="dxa"/>
            <w:gridSpan w:val="2"/>
            <w:tcBorders>
              <w:top w:val="nil"/>
              <w:left w:val="nil"/>
              <w:bottom w:val="nil"/>
              <w:right w:val="nil"/>
            </w:tcBorders>
            <w:shd w:val="clear" w:color="auto" w:fill="auto"/>
            <w:noWrap/>
            <w:vAlign w:val="bottom"/>
          </w:tcPr>
          <w:p w14:paraId="3D7D4AAC"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2.22</w:t>
            </w:r>
          </w:p>
          <w:p w14:paraId="0AA670A5" w14:textId="77777777" w:rsidR="0086707B" w:rsidRPr="00810782" w:rsidRDefault="0086707B" w:rsidP="00B148D5">
            <w:pPr>
              <w:pStyle w:val="Tables"/>
              <w:rPr>
                <w:rFonts w:asciiTheme="majorHAnsi" w:hAnsiTheme="majorHAnsi"/>
                <w:sz w:val="18"/>
                <w:szCs w:val="18"/>
              </w:rPr>
            </w:pPr>
          </w:p>
        </w:tc>
        <w:tc>
          <w:tcPr>
            <w:tcW w:w="634" w:type="dxa"/>
            <w:gridSpan w:val="2"/>
            <w:tcBorders>
              <w:top w:val="nil"/>
              <w:left w:val="nil"/>
              <w:bottom w:val="nil"/>
              <w:right w:val="nil"/>
            </w:tcBorders>
            <w:shd w:val="clear" w:color="auto" w:fill="auto"/>
            <w:noWrap/>
            <w:vAlign w:val="bottom"/>
          </w:tcPr>
          <w:p w14:paraId="2E3C1A59"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0.00</w:t>
            </w:r>
          </w:p>
          <w:p w14:paraId="52CB88D8" w14:textId="77777777" w:rsidR="0086707B" w:rsidRPr="00810782" w:rsidRDefault="0086707B" w:rsidP="00B148D5">
            <w:pPr>
              <w:pStyle w:val="Tables"/>
              <w:rPr>
                <w:rFonts w:asciiTheme="majorHAnsi" w:hAnsiTheme="majorHAnsi"/>
                <w:sz w:val="18"/>
                <w:szCs w:val="18"/>
              </w:rPr>
            </w:pPr>
          </w:p>
        </w:tc>
        <w:tc>
          <w:tcPr>
            <w:tcW w:w="850" w:type="dxa"/>
            <w:gridSpan w:val="2"/>
            <w:tcBorders>
              <w:top w:val="nil"/>
              <w:left w:val="nil"/>
              <w:bottom w:val="nil"/>
              <w:right w:val="nil"/>
            </w:tcBorders>
            <w:shd w:val="clear" w:color="auto" w:fill="auto"/>
            <w:noWrap/>
            <w:vAlign w:val="bottom"/>
          </w:tcPr>
          <w:p w14:paraId="654DAF5E"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68.6</w:t>
            </w:r>
          </w:p>
          <w:p w14:paraId="704D8E60" w14:textId="77777777" w:rsidR="0086707B" w:rsidRPr="00810782" w:rsidRDefault="0086707B" w:rsidP="00B148D5">
            <w:pPr>
              <w:pStyle w:val="Tables"/>
              <w:rPr>
                <w:rFonts w:asciiTheme="majorHAnsi" w:hAnsiTheme="majorHAnsi"/>
                <w:sz w:val="18"/>
                <w:szCs w:val="18"/>
              </w:rPr>
            </w:pPr>
          </w:p>
        </w:tc>
        <w:tc>
          <w:tcPr>
            <w:tcW w:w="2728" w:type="dxa"/>
            <w:gridSpan w:val="2"/>
            <w:tcBorders>
              <w:top w:val="nil"/>
              <w:left w:val="nil"/>
              <w:bottom w:val="nil"/>
              <w:right w:val="nil"/>
            </w:tcBorders>
            <w:shd w:val="clear" w:color="auto" w:fill="auto"/>
            <w:noWrap/>
            <w:vAlign w:val="bottom"/>
          </w:tcPr>
          <w:p w14:paraId="6A5BE1EC"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CO2 emissions, metric tons per capita</w:t>
            </w:r>
          </w:p>
        </w:tc>
        <w:tc>
          <w:tcPr>
            <w:tcW w:w="1560" w:type="dxa"/>
            <w:gridSpan w:val="2"/>
            <w:tcBorders>
              <w:top w:val="nil"/>
              <w:left w:val="nil"/>
              <w:bottom w:val="nil"/>
              <w:right w:val="nil"/>
            </w:tcBorders>
            <w:shd w:val="clear" w:color="auto" w:fill="auto"/>
            <w:noWrap/>
            <w:vAlign w:val="bottom"/>
          </w:tcPr>
          <w:p w14:paraId="61F70E0C"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WDI, World Bank</w:t>
            </w:r>
          </w:p>
          <w:p w14:paraId="5DE2D11A" w14:textId="77777777" w:rsidR="0086707B" w:rsidRPr="00810782" w:rsidRDefault="0086707B" w:rsidP="00B148D5">
            <w:pPr>
              <w:pStyle w:val="Tables"/>
              <w:rPr>
                <w:rFonts w:asciiTheme="majorHAnsi" w:hAnsiTheme="majorHAnsi"/>
                <w:sz w:val="18"/>
                <w:szCs w:val="18"/>
              </w:rPr>
            </w:pPr>
            <w:r w:rsidRPr="00810782">
              <w:rPr>
                <w:rFonts w:asciiTheme="majorHAnsi" w:hAnsiTheme="majorHAnsi"/>
                <w:sz w:val="18"/>
                <w:szCs w:val="18"/>
              </w:rPr>
              <w:t>(2012)</w:t>
            </w:r>
          </w:p>
        </w:tc>
      </w:tr>
      <w:tr w:rsidR="0086707B" w:rsidRPr="00810782" w14:paraId="56377153" w14:textId="77777777" w:rsidTr="00B148D5">
        <w:trPr>
          <w:gridAfter w:val="1"/>
          <w:wAfter w:w="164" w:type="dxa"/>
          <w:trHeight w:val="300"/>
        </w:trPr>
        <w:tc>
          <w:tcPr>
            <w:tcW w:w="1997" w:type="dxa"/>
            <w:tcBorders>
              <w:top w:val="nil"/>
              <w:left w:val="nil"/>
              <w:bottom w:val="nil"/>
              <w:right w:val="nil"/>
            </w:tcBorders>
            <w:shd w:val="clear" w:color="auto" w:fill="auto"/>
            <w:noWrap/>
            <w:vAlign w:val="bottom"/>
          </w:tcPr>
          <w:p w14:paraId="09965F6A" w14:textId="77777777" w:rsidR="0086707B" w:rsidRPr="00810782" w:rsidRDefault="0086707B" w:rsidP="00B148D5">
            <w:pPr>
              <w:pStyle w:val="Tables"/>
              <w:rPr>
                <w:rFonts w:asciiTheme="majorHAnsi" w:eastAsia="Batang" w:hAnsiTheme="majorHAnsi"/>
                <w:sz w:val="18"/>
                <w:szCs w:val="18"/>
              </w:rPr>
            </w:pPr>
            <w:r>
              <w:rPr>
                <w:rFonts w:asciiTheme="majorHAnsi" w:eastAsia="Batang" w:hAnsiTheme="majorHAnsi"/>
                <w:sz w:val="18"/>
                <w:szCs w:val="18"/>
              </w:rPr>
              <w:t>(2)</w:t>
            </w:r>
            <w:r w:rsidRPr="00810782">
              <w:rPr>
                <w:rFonts w:asciiTheme="majorHAnsi" w:eastAsia="Batang" w:hAnsiTheme="majorHAnsi"/>
                <w:sz w:val="18"/>
                <w:szCs w:val="18"/>
              </w:rPr>
              <w:t xml:space="preserve">common law </w:t>
            </w:r>
          </w:p>
          <w:p w14:paraId="68D7292A" w14:textId="77777777" w:rsidR="0086707B" w:rsidRPr="00810782" w:rsidRDefault="0086707B" w:rsidP="00B148D5">
            <w:pPr>
              <w:pStyle w:val="Tables"/>
              <w:rPr>
                <w:rFonts w:asciiTheme="majorHAnsi" w:eastAsia="Batang" w:hAnsiTheme="majorHAnsi"/>
                <w:sz w:val="18"/>
                <w:szCs w:val="18"/>
              </w:rPr>
            </w:pPr>
            <w:r w:rsidRPr="00810782">
              <w:rPr>
                <w:rFonts w:asciiTheme="majorHAnsi" w:eastAsia="Batang" w:hAnsiTheme="majorHAnsi"/>
                <w:sz w:val="18"/>
                <w:szCs w:val="18"/>
              </w:rPr>
              <w:t>country</w:t>
            </w:r>
          </w:p>
          <w:p w14:paraId="21533149" w14:textId="77777777" w:rsidR="0086707B" w:rsidRPr="00810782" w:rsidRDefault="0086707B" w:rsidP="00B148D5">
            <w:pPr>
              <w:pStyle w:val="Tables"/>
              <w:ind w:left="720"/>
              <w:rPr>
                <w:rFonts w:asciiTheme="majorHAnsi" w:eastAsia="Batang" w:hAnsiTheme="majorHAnsi"/>
                <w:sz w:val="18"/>
                <w:szCs w:val="18"/>
              </w:rPr>
            </w:pPr>
          </w:p>
        </w:tc>
        <w:tc>
          <w:tcPr>
            <w:tcW w:w="704" w:type="dxa"/>
            <w:gridSpan w:val="2"/>
            <w:tcBorders>
              <w:top w:val="nil"/>
              <w:left w:val="nil"/>
              <w:bottom w:val="nil"/>
              <w:right w:val="nil"/>
            </w:tcBorders>
            <w:shd w:val="clear" w:color="auto" w:fill="auto"/>
            <w:noWrap/>
            <w:vAlign w:val="bottom"/>
          </w:tcPr>
          <w:p w14:paraId="0F968F1F"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1783</w:t>
            </w:r>
          </w:p>
          <w:p w14:paraId="1DFD4452" w14:textId="77777777" w:rsidR="0086707B" w:rsidRPr="00810782" w:rsidRDefault="0086707B" w:rsidP="00B148D5">
            <w:pPr>
              <w:pStyle w:val="Tables"/>
              <w:rPr>
                <w:rFonts w:asciiTheme="majorHAnsi" w:hAnsiTheme="majorHAnsi"/>
                <w:sz w:val="18"/>
                <w:szCs w:val="18"/>
              </w:rPr>
            </w:pPr>
          </w:p>
          <w:p w14:paraId="1832D023" w14:textId="77777777" w:rsidR="0086707B" w:rsidRPr="00810782" w:rsidRDefault="0086707B" w:rsidP="00B148D5">
            <w:pPr>
              <w:pStyle w:val="Tables"/>
              <w:rPr>
                <w:rFonts w:asciiTheme="majorHAnsi" w:hAnsiTheme="majorHAnsi"/>
                <w:sz w:val="18"/>
                <w:szCs w:val="18"/>
              </w:rPr>
            </w:pPr>
          </w:p>
        </w:tc>
        <w:tc>
          <w:tcPr>
            <w:tcW w:w="810" w:type="dxa"/>
            <w:gridSpan w:val="2"/>
            <w:tcBorders>
              <w:top w:val="nil"/>
              <w:left w:val="nil"/>
              <w:bottom w:val="nil"/>
              <w:right w:val="nil"/>
            </w:tcBorders>
            <w:shd w:val="clear" w:color="auto" w:fill="auto"/>
            <w:noWrap/>
            <w:vAlign w:val="bottom"/>
          </w:tcPr>
          <w:p w14:paraId="70679A17" w14:textId="77777777" w:rsidR="0086707B" w:rsidRDefault="0086707B" w:rsidP="00B148D5">
            <w:pPr>
              <w:pStyle w:val="Tables"/>
              <w:rPr>
                <w:rFonts w:asciiTheme="majorHAnsi" w:hAnsiTheme="majorHAnsi"/>
                <w:sz w:val="18"/>
                <w:szCs w:val="18"/>
              </w:rPr>
            </w:pPr>
            <w:r>
              <w:rPr>
                <w:rFonts w:asciiTheme="majorHAnsi" w:hAnsiTheme="majorHAnsi"/>
                <w:sz w:val="18"/>
                <w:szCs w:val="18"/>
              </w:rPr>
              <w:t>4.85</w:t>
            </w:r>
          </w:p>
          <w:p w14:paraId="518F5A38" w14:textId="77777777" w:rsidR="0086707B" w:rsidRDefault="0086707B" w:rsidP="00B148D5">
            <w:pPr>
              <w:pStyle w:val="Tables"/>
              <w:rPr>
                <w:rFonts w:asciiTheme="majorHAnsi" w:hAnsiTheme="majorHAnsi"/>
                <w:sz w:val="18"/>
                <w:szCs w:val="18"/>
              </w:rPr>
            </w:pPr>
          </w:p>
          <w:p w14:paraId="0384E58C" w14:textId="77777777" w:rsidR="0086707B" w:rsidRPr="00810782" w:rsidRDefault="0086707B" w:rsidP="00B148D5">
            <w:pPr>
              <w:pStyle w:val="Tables"/>
              <w:rPr>
                <w:rFonts w:asciiTheme="majorHAnsi" w:hAnsiTheme="majorHAnsi"/>
                <w:sz w:val="18"/>
                <w:szCs w:val="18"/>
              </w:rPr>
            </w:pPr>
          </w:p>
        </w:tc>
        <w:tc>
          <w:tcPr>
            <w:tcW w:w="709" w:type="dxa"/>
            <w:gridSpan w:val="2"/>
            <w:tcBorders>
              <w:top w:val="nil"/>
              <w:left w:val="nil"/>
              <w:bottom w:val="nil"/>
              <w:right w:val="nil"/>
            </w:tcBorders>
            <w:shd w:val="clear" w:color="auto" w:fill="auto"/>
            <w:noWrap/>
            <w:vAlign w:val="bottom"/>
          </w:tcPr>
          <w:p w14:paraId="1C66DF1D" w14:textId="77777777" w:rsidR="0086707B" w:rsidRDefault="0086707B" w:rsidP="00B148D5">
            <w:pPr>
              <w:pStyle w:val="Tables"/>
              <w:rPr>
                <w:rFonts w:asciiTheme="majorHAnsi" w:hAnsiTheme="majorHAnsi"/>
                <w:sz w:val="18"/>
                <w:szCs w:val="18"/>
              </w:rPr>
            </w:pPr>
            <w:r>
              <w:rPr>
                <w:rFonts w:asciiTheme="majorHAnsi" w:hAnsiTheme="majorHAnsi"/>
                <w:sz w:val="18"/>
                <w:szCs w:val="18"/>
              </w:rPr>
              <w:t>6.95</w:t>
            </w:r>
          </w:p>
          <w:p w14:paraId="318A184E" w14:textId="77777777" w:rsidR="0086707B" w:rsidRDefault="0086707B" w:rsidP="00B148D5">
            <w:pPr>
              <w:pStyle w:val="Tables"/>
              <w:rPr>
                <w:rFonts w:asciiTheme="majorHAnsi" w:hAnsiTheme="majorHAnsi"/>
                <w:sz w:val="18"/>
                <w:szCs w:val="18"/>
              </w:rPr>
            </w:pPr>
          </w:p>
          <w:p w14:paraId="19D327BA" w14:textId="77777777" w:rsidR="0086707B" w:rsidRPr="00810782" w:rsidRDefault="0086707B" w:rsidP="00B148D5">
            <w:pPr>
              <w:pStyle w:val="Tables"/>
              <w:rPr>
                <w:rFonts w:asciiTheme="majorHAnsi" w:hAnsiTheme="majorHAnsi"/>
                <w:sz w:val="18"/>
                <w:szCs w:val="18"/>
              </w:rPr>
            </w:pPr>
          </w:p>
        </w:tc>
        <w:tc>
          <w:tcPr>
            <w:tcW w:w="641" w:type="dxa"/>
            <w:gridSpan w:val="2"/>
            <w:tcBorders>
              <w:top w:val="nil"/>
              <w:left w:val="nil"/>
              <w:bottom w:val="nil"/>
              <w:right w:val="nil"/>
            </w:tcBorders>
            <w:shd w:val="clear" w:color="auto" w:fill="auto"/>
            <w:noWrap/>
            <w:vAlign w:val="bottom"/>
          </w:tcPr>
          <w:p w14:paraId="54A7D7AC" w14:textId="77777777" w:rsidR="0086707B" w:rsidRDefault="0086707B" w:rsidP="00B148D5">
            <w:pPr>
              <w:pStyle w:val="Tables"/>
              <w:rPr>
                <w:rFonts w:asciiTheme="majorHAnsi" w:hAnsiTheme="majorHAnsi"/>
                <w:sz w:val="18"/>
                <w:szCs w:val="18"/>
              </w:rPr>
            </w:pPr>
            <w:r>
              <w:rPr>
                <w:rFonts w:asciiTheme="majorHAnsi" w:hAnsiTheme="majorHAnsi"/>
                <w:sz w:val="18"/>
                <w:szCs w:val="18"/>
              </w:rPr>
              <w:t>1.29</w:t>
            </w:r>
          </w:p>
          <w:p w14:paraId="4609B7CD" w14:textId="77777777" w:rsidR="0086707B" w:rsidRDefault="0086707B" w:rsidP="00B148D5">
            <w:pPr>
              <w:pStyle w:val="Tables"/>
              <w:rPr>
                <w:rFonts w:asciiTheme="majorHAnsi" w:hAnsiTheme="majorHAnsi"/>
                <w:sz w:val="18"/>
                <w:szCs w:val="18"/>
              </w:rPr>
            </w:pPr>
          </w:p>
          <w:p w14:paraId="7DDD16E6" w14:textId="77777777" w:rsidR="0086707B" w:rsidRPr="00810782" w:rsidRDefault="0086707B" w:rsidP="00B148D5">
            <w:pPr>
              <w:pStyle w:val="Tables"/>
              <w:rPr>
                <w:rFonts w:asciiTheme="majorHAnsi" w:hAnsiTheme="majorHAnsi"/>
                <w:sz w:val="18"/>
                <w:szCs w:val="18"/>
              </w:rPr>
            </w:pPr>
          </w:p>
        </w:tc>
        <w:tc>
          <w:tcPr>
            <w:tcW w:w="634" w:type="dxa"/>
            <w:gridSpan w:val="2"/>
            <w:tcBorders>
              <w:top w:val="nil"/>
              <w:left w:val="nil"/>
              <w:bottom w:val="nil"/>
              <w:right w:val="nil"/>
            </w:tcBorders>
            <w:shd w:val="clear" w:color="auto" w:fill="auto"/>
            <w:noWrap/>
            <w:vAlign w:val="bottom"/>
          </w:tcPr>
          <w:p w14:paraId="25C4772F" w14:textId="77777777" w:rsidR="0086707B" w:rsidRDefault="0086707B" w:rsidP="00B148D5">
            <w:pPr>
              <w:pStyle w:val="Tables"/>
              <w:rPr>
                <w:rFonts w:asciiTheme="majorHAnsi" w:hAnsiTheme="majorHAnsi"/>
                <w:sz w:val="18"/>
                <w:szCs w:val="18"/>
              </w:rPr>
            </w:pPr>
            <w:r>
              <w:rPr>
                <w:rFonts w:asciiTheme="majorHAnsi" w:hAnsiTheme="majorHAnsi"/>
                <w:sz w:val="18"/>
                <w:szCs w:val="18"/>
              </w:rPr>
              <w:t>0.00</w:t>
            </w:r>
          </w:p>
          <w:p w14:paraId="7D1D02D6" w14:textId="77777777" w:rsidR="0086707B" w:rsidRDefault="0086707B" w:rsidP="00B148D5">
            <w:pPr>
              <w:pStyle w:val="Tables"/>
              <w:rPr>
                <w:rFonts w:asciiTheme="majorHAnsi" w:hAnsiTheme="majorHAnsi"/>
                <w:sz w:val="18"/>
                <w:szCs w:val="18"/>
              </w:rPr>
            </w:pPr>
          </w:p>
          <w:p w14:paraId="5D02D7DB" w14:textId="77777777" w:rsidR="0086707B" w:rsidRPr="00810782" w:rsidRDefault="0086707B" w:rsidP="00B148D5">
            <w:pPr>
              <w:pStyle w:val="Tables"/>
              <w:rPr>
                <w:rFonts w:asciiTheme="majorHAnsi" w:hAnsiTheme="majorHAnsi"/>
                <w:sz w:val="18"/>
                <w:szCs w:val="18"/>
              </w:rPr>
            </w:pPr>
          </w:p>
        </w:tc>
        <w:tc>
          <w:tcPr>
            <w:tcW w:w="850" w:type="dxa"/>
            <w:gridSpan w:val="2"/>
            <w:tcBorders>
              <w:top w:val="nil"/>
              <w:left w:val="nil"/>
              <w:bottom w:val="nil"/>
              <w:right w:val="nil"/>
            </w:tcBorders>
            <w:shd w:val="clear" w:color="auto" w:fill="auto"/>
            <w:noWrap/>
            <w:vAlign w:val="bottom"/>
          </w:tcPr>
          <w:p w14:paraId="511FE02C" w14:textId="77777777" w:rsidR="0086707B" w:rsidRDefault="0086707B" w:rsidP="00B148D5">
            <w:pPr>
              <w:pStyle w:val="Tables"/>
              <w:rPr>
                <w:rFonts w:asciiTheme="majorHAnsi" w:hAnsiTheme="majorHAnsi"/>
                <w:sz w:val="18"/>
                <w:szCs w:val="18"/>
              </w:rPr>
            </w:pPr>
            <w:r>
              <w:rPr>
                <w:rFonts w:asciiTheme="majorHAnsi" w:hAnsiTheme="majorHAnsi"/>
                <w:sz w:val="18"/>
                <w:szCs w:val="18"/>
              </w:rPr>
              <w:t>37.9</w:t>
            </w:r>
          </w:p>
          <w:p w14:paraId="4EE7DC3D" w14:textId="77777777" w:rsidR="0086707B" w:rsidRDefault="0086707B" w:rsidP="00B148D5">
            <w:pPr>
              <w:pStyle w:val="Tables"/>
              <w:rPr>
                <w:rFonts w:asciiTheme="majorHAnsi" w:hAnsiTheme="majorHAnsi"/>
                <w:sz w:val="18"/>
                <w:szCs w:val="18"/>
              </w:rPr>
            </w:pPr>
          </w:p>
          <w:p w14:paraId="2FF8EB59" w14:textId="77777777" w:rsidR="0086707B" w:rsidRPr="00810782" w:rsidRDefault="0086707B" w:rsidP="00B148D5">
            <w:pPr>
              <w:pStyle w:val="Tables"/>
              <w:rPr>
                <w:rFonts w:asciiTheme="majorHAnsi" w:hAnsiTheme="majorHAnsi"/>
                <w:sz w:val="18"/>
                <w:szCs w:val="18"/>
              </w:rPr>
            </w:pPr>
          </w:p>
        </w:tc>
        <w:tc>
          <w:tcPr>
            <w:tcW w:w="2728" w:type="dxa"/>
            <w:gridSpan w:val="2"/>
            <w:tcBorders>
              <w:top w:val="nil"/>
              <w:left w:val="nil"/>
              <w:bottom w:val="nil"/>
              <w:right w:val="nil"/>
            </w:tcBorders>
            <w:shd w:val="clear" w:color="auto" w:fill="auto"/>
            <w:noWrap/>
            <w:vAlign w:val="bottom"/>
          </w:tcPr>
          <w:p w14:paraId="7B699157" w14:textId="77777777" w:rsidR="0086707B" w:rsidRPr="00810782" w:rsidRDefault="0086707B" w:rsidP="00B148D5">
            <w:pPr>
              <w:pStyle w:val="Tables"/>
              <w:rPr>
                <w:rFonts w:asciiTheme="majorHAnsi" w:hAnsiTheme="majorHAnsi"/>
                <w:sz w:val="18"/>
                <w:szCs w:val="18"/>
              </w:rPr>
            </w:pPr>
          </w:p>
        </w:tc>
        <w:tc>
          <w:tcPr>
            <w:tcW w:w="1560" w:type="dxa"/>
            <w:gridSpan w:val="2"/>
            <w:tcBorders>
              <w:top w:val="nil"/>
              <w:left w:val="nil"/>
              <w:bottom w:val="nil"/>
              <w:right w:val="nil"/>
            </w:tcBorders>
            <w:shd w:val="clear" w:color="auto" w:fill="auto"/>
            <w:noWrap/>
            <w:vAlign w:val="bottom"/>
          </w:tcPr>
          <w:p w14:paraId="1BF9B8E9" w14:textId="77777777" w:rsidR="0086707B" w:rsidRPr="00810782" w:rsidRDefault="0086707B" w:rsidP="00B148D5">
            <w:pPr>
              <w:pStyle w:val="Tables"/>
              <w:rPr>
                <w:rFonts w:asciiTheme="majorHAnsi" w:hAnsiTheme="majorHAnsi"/>
                <w:sz w:val="18"/>
                <w:szCs w:val="18"/>
              </w:rPr>
            </w:pPr>
          </w:p>
        </w:tc>
      </w:tr>
      <w:tr w:rsidR="0086707B" w:rsidRPr="00810782" w14:paraId="1B04E310" w14:textId="77777777" w:rsidTr="00B148D5">
        <w:trPr>
          <w:gridAfter w:val="1"/>
          <w:wAfter w:w="164" w:type="dxa"/>
          <w:trHeight w:val="300"/>
        </w:trPr>
        <w:tc>
          <w:tcPr>
            <w:tcW w:w="1997" w:type="dxa"/>
            <w:tcBorders>
              <w:top w:val="nil"/>
              <w:left w:val="nil"/>
              <w:bottom w:val="nil"/>
              <w:right w:val="nil"/>
            </w:tcBorders>
            <w:shd w:val="clear" w:color="auto" w:fill="auto"/>
            <w:noWrap/>
            <w:vAlign w:val="bottom"/>
          </w:tcPr>
          <w:p w14:paraId="28035D36" w14:textId="77777777" w:rsidR="0086707B" w:rsidRPr="00810782" w:rsidRDefault="0086707B" w:rsidP="00B148D5">
            <w:pPr>
              <w:pStyle w:val="Tables"/>
              <w:ind w:left="-663" w:firstLine="663"/>
              <w:rPr>
                <w:rFonts w:asciiTheme="majorHAnsi" w:eastAsia="Batang" w:hAnsiTheme="majorHAnsi"/>
                <w:sz w:val="18"/>
                <w:szCs w:val="18"/>
              </w:rPr>
            </w:pPr>
            <w:r>
              <w:rPr>
                <w:rFonts w:asciiTheme="majorHAnsi" w:eastAsia="Batang" w:hAnsiTheme="majorHAnsi"/>
                <w:sz w:val="18"/>
                <w:szCs w:val="18"/>
              </w:rPr>
              <w:t>(3)</w:t>
            </w:r>
            <w:r w:rsidRPr="00810782">
              <w:rPr>
                <w:rFonts w:asciiTheme="majorHAnsi" w:eastAsia="Batang" w:hAnsiTheme="majorHAnsi"/>
                <w:sz w:val="18"/>
                <w:szCs w:val="18"/>
              </w:rPr>
              <w:t xml:space="preserve"> </w:t>
            </w:r>
            <w:r>
              <w:rPr>
                <w:rFonts w:asciiTheme="majorHAnsi" w:eastAsia="Batang" w:hAnsiTheme="majorHAnsi"/>
                <w:sz w:val="18"/>
                <w:szCs w:val="18"/>
              </w:rPr>
              <w:t>civil</w:t>
            </w:r>
            <w:r w:rsidRPr="00810782">
              <w:rPr>
                <w:rFonts w:asciiTheme="majorHAnsi" w:eastAsia="Batang" w:hAnsiTheme="majorHAnsi"/>
                <w:sz w:val="18"/>
                <w:szCs w:val="18"/>
              </w:rPr>
              <w:t xml:space="preserve"> law country</w:t>
            </w:r>
          </w:p>
        </w:tc>
        <w:tc>
          <w:tcPr>
            <w:tcW w:w="704" w:type="dxa"/>
            <w:gridSpan w:val="2"/>
            <w:tcBorders>
              <w:top w:val="nil"/>
              <w:left w:val="nil"/>
              <w:bottom w:val="nil"/>
              <w:right w:val="nil"/>
            </w:tcBorders>
            <w:shd w:val="clear" w:color="auto" w:fill="auto"/>
            <w:noWrap/>
            <w:vAlign w:val="bottom"/>
          </w:tcPr>
          <w:p w14:paraId="241BB537"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4351</w:t>
            </w:r>
          </w:p>
          <w:p w14:paraId="5603B53A" w14:textId="77777777" w:rsidR="0086707B" w:rsidRPr="00810782" w:rsidRDefault="0086707B" w:rsidP="00B148D5">
            <w:pPr>
              <w:pStyle w:val="Tables"/>
              <w:rPr>
                <w:rFonts w:asciiTheme="majorHAnsi" w:hAnsiTheme="majorHAnsi"/>
                <w:sz w:val="18"/>
                <w:szCs w:val="18"/>
              </w:rPr>
            </w:pPr>
          </w:p>
        </w:tc>
        <w:tc>
          <w:tcPr>
            <w:tcW w:w="810" w:type="dxa"/>
            <w:gridSpan w:val="2"/>
            <w:tcBorders>
              <w:top w:val="nil"/>
              <w:left w:val="nil"/>
              <w:bottom w:val="nil"/>
              <w:right w:val="nil"/>
            </w:tcBorders>
            <w:shd w:val="clear" w:color="auto" w:fill="auto"/>
            <w:noWrap/>
            <w:vAlign w:val="bottom"/>
          </w:tcPr>
          <w:p w14:paraId="674C5F63"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4.48</w:t>
            </w:r>
          </w:p>
          <w:p w14:paraId="77F459B0" w14:textId="77777777" w:rsidR="0086707B" w:rsidRPr="00810782" w:rsidRDefault="0086707B" w:rsidP="00B148D5">
            <w:pPr>
              <w:pStyle w:val="Tables"/>
              <w:rPr>
                <w:rFonts w:asciiTheme="majorHAnsi" w:hAnsiTheme="majorHAnsi"/>
                <w:sz w:val="18"/>
                <w:szCs w:val="18"/>
              </w:rPr>
            </w:pPr>
          </w:p>
        </w:tc>
        <w:tc>
          <w:tcPr>
            <w:tcW w:w="709" w:type="dxa"/>
            <w:gridSpan w:val="2"/>
            <w:tcBorders>
              <w:top w:val="nil"/>
              <w:left w:val="nil"/>
              <w:bottom w:val="nil"/>
              <w:right w:val="nil"/>
            </w:tcBorders>
            <w:shd w:val="clear" w:color="auto" w:fill="auto"/>
            <w:noWrap/>
            <w:vAlign w:val="bottom"/>
          </w:tcPr>
          <w:p w14:paraId="7421B763"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6.04</w:t>
            </w:r>
          </w:p>
          <w:p w14:paraId="4C8533F2" w14:textId="77777777" w:rsidR="0086707B" w:rsidRPr="00810782" w:rsidRDefault="0086707B" w:rsidP="00B148D5">
            <w:pPr>
              <w:pStyle w:val="Tables"/>
              <w:rPr>
                <w:rFonts w:asciiTheme="majorHAnsi" w:hAnsiTheme="majorHAnsi"/>
                <w:sz w:val="18"/>
                <w:szCs w:val="18"/>
              </w:rPr>
            </w:pPr>
          </w:p>
        </w:tc>
        <w:tc>
          <w:tcPr>
            <w:tcW w:w="641" w:type="dxa"/>
            <w:gridSpan w:val="2"/>
            <w:tcBorders>
              <w:top w:val="nil"/>
              <w:left w:val="nil"/>
              <w:bottom w:val="nil"/>
              <w:right w:val="nil"/>
            </w:tcBorders>
            <w:shd w:val="clear" w:color="auto" w:fill="auto"/>
            <w:noWrap/>
            <w:vAlign w:val="bottom"/>
          </w:tcPr>
          <w:p w14:paraId="2D26A2CE"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2.58</w:t>
            </w:r>
          </w:p>
          <w:p w14:paraId="3E409526" w14:textId="77777777" w:rsidR="0086707B" w:rsidRPr="00810782" w:rsidRDefault="0086707B" w:rsidP="00B148D5">
            <w:pPr>
              <w:pStyle w:val="Tables"/>
              <w:rPr>
                <w:rFonts w:asciiTheme="majorHAnsi" w:hAnsiTheme="majorHAnsi"/>
                <w:sz w:val="18"/>
                <w:szCs w:val="18"/>
              </w:rPr>
            </w:pPr>
          </w:p>
        </w:tc>
        <w:tc>
          <w:tcPr>
            <w:tcW w:w="634" w:type="dxa"/>
            <w:gridSpan w:val="2"/>
            <w:tcBorders>
              <w:top w:val="nil"/>
              <w:left w:val="nil"/>
              <w:bottom w:val="nil"/>
              <w:right w:val="nil"/>
            </w:tcBorders>
            <w:shd w:val="clear" w:color="auto" w:fill="auto"/>
            <w:noWrap/>
            <w:vAlign w:val="bottom"/>
          </w:tcPr>
          <w:p w14:paraId="4EA6A440"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0.01</w:t>
            </w:r>
          </w:p>
          <w:p w14:paraId="69F81618" w14:textId="77777777" w:rsidR="0086707B" w:rsidRPr="00810782" w:rsidRDefault="0086707B" w:rsidP="00B148D5">
            <w:pPr>
              <w:pStyle w:val="Tables"/>
              <w:rPr>
                <w:rFonts w:asciiTheme="majorHAnsi" w:hAnsiTheme="majorHAnsi"/>
                <w:sz w:val="18"/>
                <w:szCs w:val="18"/>
              </w:rPr>
            </w:pPr>
          </w:p>
        </w:tc>
        <w:tc>
          <w:tcPr>
            <w:tcW w:w="850" w:type="dxa"/>
            <w:gridSpan w:val="2"/>
            <w:tcBorders>
              <w:top w:val="nil"/>
              <w:left w:val="nil"/>
              <w:bottom w:val="nil"/>
              <w:right w:val="nil"/>
            </w:tcBorders>
            <w:shd w:val="clear" w:color="auto" w:fill="auto"/>
            <w:noWrap/>
            <w:vAlign w:val="bottom"/>
          </w:tcPr>
          <w:p w14:paraId="6D7497AB" w14:textId="77777777" w:rsidR="0086707B" w:rsidRPr="00810782" w:rsidRDefault="0086707B" w:rsidP="00B148D5">
            <w:pPr>
              <w:pStyle w:val="Tables"/>
              <w:rPr>
                <w:rFonts w:asciiTheme="majorHAnsi" w:hAnsiTheme="majorHAnsi"/>
                <w:sz w:val="18"/>
                <w:szCs w:val="18"/>
              </w:rPr>
            </w:pPr>
            <w:r>
              <w:rPr>
                <w:rFonts w:asciiTheme="majorHAnsi" w:hAnsiTheme="majorHAnsi"/>
                <w:sz w:val="18"/>
                <w:szCs w:val="18"/>
              </w:rPr>
              <w:t>68.6</w:t>
            </w:r>
          </w:p>
          <w:p w14:paraId="2CEB6C1D" w14:textId="77777777" w:rsidR="0086707B" w:rsidRPr="00810782" w:rsidRDefault="0086707B" w:rsidP="00B148D5">
            <w:pPr>
              <w:pStyle w:val="Tables"/>
              <w:rPr>
                <w:rFonts w:asciiTheme="majorHAnsi" w:hAnsiTheme="majorHAnsi"/>
                <w:sz w:val="18"/>
                <w:szCs w:val="18"/>
              </w:rPr>
            </w:pPr>
          </w:p>
        </w:tc>
        <w:tc>
          <w:tcPr>
            <w:tcW w:w="2728" w:type="dxa"/>
            <w:gridSpan w:val="2"/>
            <w:tcBorders>
              <w:top w:val="nil"/>
              <w:left w:val="nil"/>
              <w:bottom w:val="nil"/>
              <w:right w:val="nil"/>
            </w:tcBorders>
            <w:shd w:val="clear" w:color="auto" w:fill="auto"/>
            <w:noWrap/>
            <w:vAlign w:val="bottom"/>
          </w:tcPr>
          <w:p w14:paraId="5E9F6B13" w14:textId="77777777" w:rsidR="0086707B" w:rsidRPr="00810782" w:rsidRDefault="0086707B" w:rsidP="00B148D5">
            <w:pPr>
              <w:pStyle w:val="Tables"/>
              <w:rPr>
                <w:rFonts w:asciiTheme="majorHAnsi" w:hAnsiTheme="majorHAnsi"/>
                <w:sz w:val="18"/>
                <w:szCs w:val="18"/>
              </w:rPr>
            </w:pPr>
          </w:p>
        </w:tc>
        <w:tc>
          <w:tcPr>
            <w:tcW w:w="1560" w:type="dxa"/>
            <w:gridSpan w:val="2"/>
            <w:tcBorders>
              <w:top w:val="nil"/>
              <w:left w:val="nil"/>
              <w:bottom w:val="nil"/>
              <w:right w:val="nil"/>
            </w:tcBorders>
            <w:shd w:val="clear" w:color="auto" w:fill="auto"/>
            <w:noWrap/>
            <w:vAlign w:val="bottom"/>
          </w:tcPr>
          <w:p w14:paraId="24DBB03D" w14:textId="77777777" w:rsidR="0086707B" w:rsidRPr="00810782" w:rsidRDefault="0086707B" w:rsidP="00B148D5">
            <w:pPr>
              <w:pStyle w:val="Tables"/>
              <w:rPr>
                <w:rFonts w:asciiTheme="majorHAnsi" w:hAnsiTheme="majorHAnsi"/>
                <w:sz w:val="18"/>
                <w:szCs w:val="18"/>
              </w:rPr>
            </w:pPr>
          </w:p>
        </w:tc>
      </w:tr>
      <w:tr w:rsidR="0086707B" w:rsidRPr="000A4D74" w14:paraId="5CB068EB" w14:textId="77777777" w:rsidTr="00B148D5">
        <w:trPr>
          <w:trHeight w:val="300"/>
        </w:trPr>
        <w:tc>
          <w:tcPr>
            <w:tcW w:w="2161" w:type="dxa"/>
            <w:gridSpan w:val="2"/>
            <w:tcBorders>
              <w:top w:val="nil"/>
              <w:left w:val="nil"/>
              <w:bottom w:val="nil"/>
              <w:right w:val="nil"/>
            </w:tcBorders>
            <w:shd w:val="clear" w:color="auto" w:fill="auto"/>
            <w:noWrap/>
          </w:tcPr>
          <w:p w14:paraId="25879A8E" w14:textId="77777777" w:rsidR="0086707B" w:rsidRPr="004742D3" w:rsidRDefault="0086707B" w:rsidP="00B148D5">
            <w:pPr>
              <w:pStyle w:val="Tables"/>
              <w:rPr>
                <w:b/>
                <w:sz w:val="20"/>
                <w:szCs w:val="20"/>
              </w:rPr>
            </w:pPr>
            <w:r w:rsidRPr="004742D3">
              <w:rPr>
                <w:b/>
                <w:sz w:val="20"/>
                <w:szCs w:val="20"/>
              </w:rPr>
              <w:t>B. Country characteristics</w:t>
            </w:r>
          </w:p>
        </w:tc>
        <w:tc>
          <w:tcPr>
            <w:tcW w:w="704" w:type="dxa"/>
            <w:gridSpan w:val="2"/>
            <w:tcBorders>
              <w:top w:val="nil"/>
              <w:left w:val="nil"/>
              <w:bottom w:val="nil"/>
              <w:right w:val="nil"/>
            </w:tcBorders>
            <w:shd w:val="clear" w:color="auto" w:fill="auto"/>
            <w:noWrap/>
          </w:tcPr>
          <w:p w14:paraId="5E4106D6" w14:textId="77777777" w:rsidR="0086707B" w:rsidRPr="004742D3" w:rsidRDefault="0086707B" w:rsidP="00B148D5">
            <w:pPr>
              <w:pStyle w:val="Tables"/>
              <w:rPr>
                <w:sz w:val="20"/>
                <w:szCs w:val="20"/>
              </w:rPr>
            </w:pPr>
          </w:p>
        </w:tc>
        <w:tc>
          <w:tcPr>
            <w:tcW w:w="810" w:type="dxa"/>
            <w:gridSpan w:val="2"/>
            <w:tcBorders>
              <w:top w:val="nil"/>
              <w:left w:val="nil"/>
              <w:bottom w:val="nil"/>
              <w:right w:val="nil"/>
            </w:tcBorders>
            <w:shd w:val="clear" w:color="auto" w:fill="auto"/>
            <w:noWrap/>
          </w:tcPr>
          <w:p w14:paraId="7FB023FE" w14:textId="77777777" w:rsidR="0086707B" w:rsidRPr="004742D3" w:rsidRDefault="0086707B" w:rsidP="00B148D5">
            <w:pPr>
              <w:pStyle w:val="Tables"/>
              <w:rPr>
                <w:sz w:val="20"/>
                <w:szCs w:val="20"/>
              </w:rPr>
            </w:pPr>
          </w:p>
        </w:tc>
        <w:tc>
          <w:tcPr>
            <w:tcW w:w="709" w:type="dxa"/>
            <w:gridSpan w:val="2"/>
            <w:tcBorders>
              <w:top w:val="nil"/>
              <w:left w:val="nil"/>
              <w:bottom w:val="nil"/>
              <w:right w:val="nil"/>
            </w:tcBorders>
            <w:shd w:val="clear" w:color="auto" w:fill="auto"/>
            <w:noWrap/>
          </w:tcPr>
          <w:p w14:paraId="2361C8D4" w14:textId="77777777" w:rsidR="0086707B" w:rsidRPr="004742D3" w:rsidRDefault="0086707B" w:rsidP="00B148D5">
            <w:pPr>
              <w:pStyle w:val="Tables"/>
              <w:rPr>
                <w:sz w:val="20"/>
                <w:szCs w:val="20"/>
              </w:rPr>
            </w:pPr>
          </w:p>
        </w:tc>
        <w:tc>
          <w:tcPr>
            <w:tcW w:w="641" w:type="dxa"/>
            <w:gridSpan w:val="2"/>
            <w:tcBorders>
              <w:top w:val="nil"/>
              <w:left w:val="nil"/>
              <w:bottom w:val="nil"/>
              <w:right w:val="nil"/>
            </w:tcBorders>
            <w:shd w:val="clear" w:color="auto" w:fill="auto"/>
            <w:noWrap/>
          </w:tcPr>
          <w:p w14:paraId="796222BC" w14:textId="77777777" w:rsidR="0086707B" w:rsidRPr="004742D3" w:rsidRDefault="0086707B" w:rsidP="00B148D5">
            <w:pPr>
              <w:pStyle w:val="Tables"/>
              <w:rPr>
                <w:sz w:val="20"/>
                <w:szCs w:val="20"/>
              </w:rPr>
            </w:pPr>
          </w:p>
        </w:tc>
        <w:tc>
          <w:tcPr>
            <w:tcW w:w="634" w:type="dxa"/>
            <w:gridSpan w:val="2"/>
            <w:tcBorders>
              <w:top w:val="nil"/>
              <w:left w:val="nil"/>
              <w:bottom w:val="nil"/>
              <w:right w:val="nil"/>
            </w:tcBorders>
            <w:shd w:val="clear" w:color="auto" w:fill="auto"/>
            <w:noWrap/>
          </w:tcPr>
          <w:p w14:paraId="44DB8F91" w14:textId="77777777" w:rsidR="0086707B" w:rsidRPr="004742D3" w:rsidRDefault="0086707B" w:rsidP="00B148D5">
            <w:pPr>
              <w:pStyle w:val="Tables"/>
              <w:rPr>
                <w:sz w:val="20"/>
                <w:szCs w:val="20"/>
              </w:rPr>
            </w:pPr>
          </w:p>
        </w:tc>
        <w:tc>
          <w:tcPr>
            <w:tcW w:w="850" w:type="dxa"/>
            <w:gridSpan w:val="2"/>
            <w:tcBorders>
              <w:top w:val="nil"/>
              <w:left w:val="nil"/>
              <w:bottom w:val="nil"/>
              <w:right w:val="nil"/>
            </w:tcBorders>
            <w:shd w:val="clear" w:color="auto" w:fill="auto"/>
            <w:noWrap/>
          </w:tcPr>
          <w:p w14:paraId="361F7E86" w14:textId="77777777" w:rsidR="0086707B" w:rsidRPr="00227745" w:rsidRDefault="0086707B" w:rsidP="00B148D5">
            <w:pPr>
              <w:pStyle w:val="Tables"/>
            </w:pPr>
          </w:p>
        </w:tc>
        <w:tc>
          <w:tcPr>
            <w:tcW w:w="2728" w:type="dxa"/>
            <w:gridSpan w:val="2"/>
            <w:tcBorders>
              <w:top w:val="nil"/>
              <w:left w:val="nil"/>
              <w:bottom w:val="nil"/>
              <w:right w:val="nil"/>
            </w:tcBorders>
            <w:shd w:val="clear" w:color="auto" w:fill="auto"/>
            <w:noWrap/>
          </w:tcPr>
          <w:p w14:paraId="7145B424" w14:textId="77777777" w:rsidR="0086707B" w:rsidRPr="00227745" w:rsidRDefault="0086707B" w:rsidP="00B148D5">
            <w:pPr>
              <w:pStyle w:val="Tables"/>
            </w:pPr>
          </w:p>
        </w:tc>
        <w:tc>
          <w:tcPr>
            <w:tcW w:w="1560" w:type="dxa"/>
            <w:gridSpan w:val="2"/>
            <w:tcBorders>
              <w:top w:val="nil"/>
              <w:left w:val="nil"/>
              <w:bottom w:val="nil"/>
              <w:right w:val="nil"/>
            </w:tcBorders>
            <w:shd w:val="clear" w:color="auto" w:fill="auto"/>
            <w:noWrap/>
          </w:tcPr>
          <w:p w14:paraId="1A1CC4A3" w14:textId="77777777" w:rsidR="0086707B" w:rsidRPr="004742D3" w:rsidRDefault="0086707B" w:rsidP="00B148D5">
            <w:pPr>
              <w:pStyle w:val="Tables"/>
              <w:rPr>
                <w:sz w:val="18"/>
                <w:szCs w:val="18"/>
              </w:rPr>
            </w:pPr>
          </w:p>
        </w:tc>
      </w:tr>
      <w:tr w:rsidR="0086707B" w:rsidRPr="004742D3" w14:paraId="6C7E7C70" w14:textId="77777777" w:rsidTr="00B148D5">
        <w:trPr>
          <w:gridAfter w:val="1"/>
          <w:wAfter w:w="164" w:type="dxa"/>
          <w:trHeight w:val="300"/>
        </w:trPr>
        <w:tc>
          <w:tcPr>
            <w:tcW w:w="1997" w:type="dxa"/>
            <w:tcBorders>
              <w:top w:val="nil"/>
              <w:left w:val="nil"/>
              <w:bottom w:val="nil"/>
              <w:right w:val="nil"/>
            </w:tcBorders>
            <w:shd w:val="clear" w:color="auto" w:fill="auto"/>
            <w:noWrap/>
          </w:tcPr>
          <w:p w14:paraId="76B5F90D" w14:textId="77777777" w:rsidR="0086707B" w:rsidRPr="004742D3" w:rsidRDefault="0086707B" w:rsidP="00B148D5">
            <w:pPr>
              <w:pStyle w:val="Tables"/>
              <w:rPr>
                <w:sz w:val="18"/>
                <w:szCs w:val="18"/>
              </w:rPr>
            </w:pPr>
            <w:r>
              <w:rPr>
                <w:sz w:val="18"/>
                <w:szCs w:val="18"/>
              </w:rPr>
              <w:t>Urban population</w:t>
            </w:r>
          </w:p>
        </w:tc>
        <w:tc>
          <w:tcPr>
            <w:tcW w:w="704" w:type="dxa"/>
            <w:gridSpan w:val="2"/>
            <w:tcBorders>
              <w:top w:val="nil"/>
              <w:left w:val="nil"/>
              <w:bottom w:val="nil"/>
              <w:right w:val="nil"/>
            </w:tcBorders>
            <w:shd w:val="clear" w:color="auto" w:fill="auto"/>
            <w:noWrap/>
          </w:tcPr>
          <w:p w14:paraId="3E206753" w14:textId="77777777" w:rsidR="0086707B" w:rsidRPr="004742D3" w:rsidRDefault="0086707B" w:rsidP="00B148D5">
            <w:pPr>
              <w:pStyle w:val="Tables"/>
              <w:rPr>
                <w:sz w:val="18"/>
                <w:szCs w:val="18"/>
              </w:rPr>
            </w:pPr>
            <w:r>
              <w:rPr>
                <w:sz w:val="18"/>
                <w:szCs w:val="18"/>
              </w:rPr>
              <w:t>6530</w:t>
            </w:r>
          </w:p>
        </w:tc>
        <w:tc>
          <w:tcPr>
            <w:tcW w:w="810" w:type="dxa"/>
            <w:gridSpan w:val="2"/>
            <w:tcBorders>
              <w:top w:val="nil"/>
              <w:left w:val="nil"/>
              <w:bottom w:val="nil"/>
              <w:right w:val="nil"/>
            </w:tcBorders>
            <w:shd w:val="clear" w:color="auto" w:fill="auto"/>
            <w:noWrap/>
          </w:tcPr>
          <w:p w14:paraId="7C28C1E0" w14:textId="77777777" w:rsidR="0086707B" w:rsidRPr="004742D3" w:rsidRDefault="0086707B" w:rsidP="00B148D5">
            <w:pPr>
              <w:pStyle w:val="Tables"/>
              <w:rPr>
                <w:sz w:val="18"/>
                <w:szCs w:val="18"/>
              </w:rPr>
            </w:pPr>
            <w:r>
              <w:rPr>
                <w:sz w:val="18"/>
                <w:szCs w:val="18"/>
              </w:rPr>
              <w:t>0.74</w:t>
            </w:r>
          </w:p>
        </w:tc>
        <w:tc>
          <w:tcPr>
            <w:tcW w:w="709" w:type="dxa"/>
            <w:gridSpan w:val="2"/>
            <w:tcBorders>
              <w:top w:val="nil"/>
              <w:left w:val="nil"/>
              <w:bottom w:val="nil"/>
              <w:right w:val="nil"/>
            </w:tcBorders>
            <w:shd w:val="clear" w:color="auto" w:fill="auto"/>
            <w:noWrap/>
          </w:tcPr>
          <w:p w14:paraId="42A2AFB4" w14:textId="77777777" w:rsidR="0086707B" w:rsidRPr="004742D3" w:rsidRDefault="0086707B" w:rsidP="00B148D5">
            <w:pPr>
              <w:pStyle w:val="Tables"/>
              <w:rPr>
                <w:sz w:val="18"/>
                <w:szCs w:val="18"/>
              </w:rPr>
            </w:pPr>
            <w:r>
              <w:rPr>
                <w:sz w:val="18"/>
                <w:szCs w:val="18"/>
              </w:rPr>
              <w:t>2.73</w:t>
            </w:r>
          </w:p>
        </w:tc>
        <w:tc>
          <w:tcPr>
            <w:tcW w:w="641" w:type="dxa"/>
            <w:gridSpan w:val="2"/>
            <w:tcBorders>
              <w:top w:val="nil"/>
              <w:left w:val="nil"/>
              <w:bottom w:val="nil"/>
              <w:right w:val="nil"/>
            </w:tcBorders>
            <w:shd w:val="clear" w:color="auto" w:fill="auto"/>
            <w:noWrap/>
          </w:tcPr>
          <w:p w14:paraId="763B53A5" w14:textId="77777777" w:rsidR="0086707B" w:rsidRPr="004742D3" w:rsidRDefault="0086707B" w:rsidP="00B148D5">
            <w:pPr>
              <w:pStyle w:val="Tables"/>
              <w:rPr>
                <w:sz w:val="18"/>
                <w:szCs w:val="18"/>
              </w:rPr>
            </w:pPr>
            <w:r>
              <w:rPr>
                <w:sz w:val="18"/>
                <w:szCs w:val="18"/>
              </w:rPr>
              <w:t>0.03</w:t>
            </w:r>
          </w:p>
        </w:tc>
        <w:tc>
          <w:tcPr>
            <w:tcW w:w="634" w:type="dxa"/>
            <w:gridSpan w:val="2"/>
            <w:tcBorders>
              <w:top w:val="nil"/>
              <w:left w:val="nil"/>
              <w:bottom w:val="nil"/>
              <w:right w:val="nil"/>
            </w:tcBorders>
            <w:shd w:val="clear" w:color="auto" w:fill="auto"/>
            <w:noWrap/>
          </w:tcPr>
          <w:p w14:paraId="5D04D72D" w14:textId="77777777" w:rsidR="0086707B" w:rsidRPr="004742D3" w:rsidRDefault="0086707B" w:rsidP="00B148D5">
            <w:pPr>
              <w:pStyle w:val="Tables"/>
              <w:rPr>
                <w:sz w:val="18"/>
                <w:szCs w:val="18"/>
              </w:rPr>
            </w:pPr>
            <w:r>
              <w:rPr>
                <w:sz w:val="18"/>
                <w:szCs w:val="18"/>
              </w:rPr>
              <w:t>0.01</w:t>
            </w:r>
          </w:p>
        </w:tc>
        <w:tc>
          <w:tcPr>
            <w:tcW w:w="850" w:type="dxa"/>
            <w:gridSpan w:val="2"/>
            <w:tcBorders>
              <w:top w:val="nil"/>
              <w:left w:val="nil"/>
              <w:bottom w:val="nil"/>
              <w:right w:val="nil"/>
            </w:tcBorders>
            <w:shd w:val="clear" w:color="auto" w:fill="auto"/>
            <w:noWrap/>
          </w:tcPr>
          <w:p w14:paraId="1DBFCB77" w14:textId="77777777" w:rsidR="0086707B" w:rsidRPr="004742D3" w:rsidRDefault="0086707B" w:rsidP="00B148D5">
            <w:pPr>
              <w:pStyle w:val="Tables"/>
              <w:rPr>
                <w:sz w:val="18"/>
                <w:szCs w:val="18"/>
              </w:rPr>
            </w:pPr>
            <w:r>
              <w:rPr>
                <w:sz w:val="18"/>
                <w:szCs w:val="18"/>
              </w:rPr>
              <w:t>34.8</w:t>
            </w:r>
          </w:p>
        </w:tc>
        <w:tc>
          <w:tcPr>
            <w:tcW w:w="2728" w:type="dxa"/>
            <w:gridSpan w:val="2"/>
            <w:tcBorders>
              <w:top w:val="nil"/>
              <w:left w:val="nil"/>
              <w:bottom w:val="nil"/>
              <w:right w:val="nil"/>
            </w:tcBorders>
            <w:shd w:val="clear" w:color="auto" w:fill="auto"/>
            <w:noWrap/>
          </w:tcPr>
          <w:p w14:paraId="61ED6035" w14:textId="77777777" w:rsidR="0086707B" w:rsidRPr="00227745" w:rsidRDefault="0086707B" w:rsidP="00B148D5">
            <w:pPr>
              <w:pStyle w:val="Tables"/>
            </w:pPr>
            <w:r>
              <w:t>Person in millions</w:t>
            </w:r>
          </w:p>
        </w:tc>
        <w:tc>
          <w:tcPr>
            <w:tcW w:w="1560" w:type="dxa"/>
            <w:gridSpan w:val="2"/>
            <w:tcBorders>
              <w:top w:val="nil"/>
              <w:left w:val="nil"/>
              <w:bottom w:val="nil"/>
              <w:right w:val="nil"/>
            </w:tcBorders>
            <w:shd w:val="clear" w:color="auto" w:fill="auto"/>
            <w:noWrap/>
          </w:tcPr>
          <w:p w14:paraId="6A90B222" w14:textId="77777777" w:rsidR="0086707B" w:rsidRPr="004742D3" w:rsidRDefault="0086707B" w:rsidP="00B148D5">
            <w:pPr>
              <w:pStyle w:val="Tables"/>
              <w:rPr>
                <w:sz w:val="18"/>
                <w:szCs w:val="18"/>
              </w:rPr>
            </w:pPr>
            <w:r w:rsidRPr="004742D3">
              <w:rPr>
                <w:sz w:val="18"/>
                <w:szCs w:val="18"/>
              </w:rPr>
              <w:t>WDI, World Bank</w:t>
            </w:r>
          </w:p>
          <w:p w14:paraId="4C0EBD3C" w14:textId="77777777" w:rsidR="0086707B" w:rsidRPr="004742D3" w:rsidRDefault="0086707B" w:rsidP="00B148D5">
            <w:pPr>
              <w:pStyle w:val="Tables"/>
              <w:rPr>
                <w:sz w:val="18"/>
                <w:szCs w:val="18"/>
              </w:rPr>
            </w:pPr>
            <w:r w:rsidRPr="004742D3">
              <w:rPr>
                <w:sz w:val="18"/>
                <w:szCs w:val="18"/>
              </w:rPr>
              <w:t>(2012)</w:t>
            </w:r>
          </w:p>
        </w:tc>
      </w:tr>
      <w:tr w:rsidR="0086707B" w:rsidRPr="004742D3" w14:paraId="19FA7CF1" w14:textId="77777777" w:rsidTr="00B148D5">
        <w:trPr>
          <w:gridAfter w:val="1"/>
          <w:wAfter w:w="164" w:type="dxa"/>
          <w:trHeight w:val="300"/>
        </w:trPr>
        <w:tc>
          <w:tcPr>
            <w:tcW w:w="1997" w:type="dxa"/>
            <w:tcBorders>
              <w:top w:val="nil"/>
              <w:left w:val="nil"/>
              <w:bottom w:val="nil"/>
              <w:right w:val="nil"/>
            </w:tcBorders>
            <w:shd w:val="clear" w:color="auto" w:fill="auto"/>
            <w:noWrap/>
          </w:tcPr>
          <w:p w14:paraId="4B78C621" w14:textId="77777777" w:rsidR="0086707B" w:rsidRPr="004742D3" w:rsidRDefault="0086707B" w:rsidP="00B148D5">
            <w:pPr>
              <w:pStyle w:val="Tables"/>
              <w:rPr>
                <w:rFonts w:eastAsia="Batang"/>
                <w:sz w:val="18"/>
                <w:szCs w:val="18"/>
              </w:rPr>
            </w:pPr>
            <w:r w:rsidRPr="004742D3">
              <w:rPr>
                <w:rFonts w:eastAsia="Batang" w:hint="eastAsia"/>
                <w:sz w:val="18"/>
                <w:szCs w:val="18"/>
              </w:rPr>
              <w:t>GDP/person</w:t>
            </w:r>
          </w:p>
        </w:tc>
        <w:tc>
          <w:tcPr>
            <w:tcW w:w="704" w:type="dxa"/>
            <w:gridSpan w:val="2"/>
            <w:tcBorders>
              <w:top w:val="nil"/>
              <w:left w:val="nil"/>
              <w:bottom w:val="nil"/>
              <w:right w:val="nil"/>
            </w:tcBorders>
            <w:shd w:val="clear" w:color="auto" w:fill="auto"/>
            <w:noWrap/>
          </w:tcPr>
          <w:p w14:paraId="7355BA20" w14:textId="77777777" w:rsidR="0086707B" w:rsidRPr="004742D3" w:rsidRDefault="0086707B" w:rsidP="00B148D5">
            <w:pPr>
              <w:pStyle w:val="Tables"/>
              <w:rPr>
                <w:rFonts w:eastAsia="Batang"/>
                <w:sz w:val="18"/>
                <w:szCs w:val="18"/>
              </w:rPr>
            </w:pPr>
            <w:r w:rsidRPr="004742D3">
              <w:rPr>
                <w:rFonts w:eastAsia="Batang" w:hint="eastAsia"/>
                <w:sz w:val="18"/>
                <w:szCs w:val="18"/>
              </w:rPr>
              <w:t>6530</w:t>
            </w:r>
          </w:p>
        </w:tc>
        <w:tc>
          <w:tcPr>
            <w:tcW w:w="810" w:type="dxa"/>
            <w:gridSpan w:val="2"/>
            <w:tcBorders>
              <w:top w:val="nil"/>
              <w:left w:val="nil"/>
              <w:bottom w:val="nil"/>
              <w:right w:val="nil"/>
            </w:tcBorders>
            <w:shd w:val="clear" w:color="auto" w:fill="auto"/>
            <w:noWrap/>
          </w:tcPr>
          <w:p w14:paraId="3AD24B2C" w14:textId="77777777" w:rsidR="0086707B" w:rsidRPr="004742D3" w:rsidRDefault="0086707B" w:rsidP="00B148D5">
            <w:pPr>
              <w:pStyle w:val="Tables"/>
              <w:rPr>
                <w:rFonts w:eastAsia="Batang"/>
                <w:sz w:val="18"/>
                <w:szCs w:val="18"/>
              </w:rPr>
            </w:pPr>
            <w:r w:rsidRPr="004742D3">
              <w:rPr>
                <w:rFonts w:eastAsia="Batang" w:hint="eastAsia"/>
                <w:sz w:val="18"/>
                <w:szCs w:val="18"/>
              </w:rPr>
              <w:t>7142</w:t>
            </w:r>
          </w:p>
        </w:tc>
        <w:tc>
          <w:tcPr>
            <w:tcW w:w="709" w:type="dxa"/>
            <w:gridSpan w:val="2"/>
            <w:tcBorders>
              <w:top w:val="nil"/>
              <w:left w:val="nil"/>
              <w:bottom w:val="nil"/>
              <w:right w:val="nil"/>
            </w:tcBorders>
            <w:shd w:val="clear" w:color="auto" w:fill="auto"/>
            <w:noWrap/>
          </w:tcPr>
          <w:p w14:paraId="309AA00A" w14:textId="77777777" w:rsidR="0086707B" w:rsidRPr="004742D3" w:rsidRDefault="0086707B" w:rsidP="00B148D5">
            <w:pPr>
              <w:pStyle w:val="Tables"/>
              <w:rPr>
                <w:rFonts w:eastAsia="Batang"/>
                <w:sz w:val="18"/>
                <w:szCs w:val="18"/>
              </w:rPr>
            </w:pPr>
            <w:r w:rsidRPr="004742D3">
              <w:rPr>
                <w:rFonts w:eastAsia="Batang" w:hint="eastAsia"/>
                <w:sz w:val="18"/>
                <w:szCs w:val="18"/>
              </w:rPr>
              <w:t>11181</w:t>
            </w:r>
          </w:p>
        </w:tc>
        <w:tc>
          <w:tcPr>
            <w:tcW w:w="641" w:type="dxa"/>
            <w:gridSpan w:val="2"/>
            <w:tcBorders>
              <w:top w:val="nil"/>
              <w:left w:val="nil"/>
              <w:bottom w:val="nil"/>
              <w:right w:val="nil"/>
            </w:tcBorders>
            <w:shd w:val="clear" w:color="auto" w:fill="auto"/>
            <w:noWrap/>
          </w:tcPr>
          <w:p w14:paraId="36FA7D4B" w14:textId="77777777" w:rsidR="0086707B" w:rsidRPr="004742D3" w:rsidRDefault="0086707B" w:rsidP="00B148D5">
            <w:pPr>
              <w:pStyle w:val="Tables"/>
              <w:rPr>
                <w:rFonts w:eastAsia="Batang"/>
                <w:sz w:val="18"/>
                <w:szCs w:val="18"/>
              </w:rPr>
            </w:pPr>
            <w:r w:rsidRPr="004742D3">
              <w:rPr>
                <w:rFonts w:eastAsia="Batang" w:hint="eastAsia"/>
                <w:sz w:val="18"/>
                <w:szCs w:val="18"/>
              </w:rPr>
              <w:t>2090</w:t>
            </w:r>
          </w:p>
        </w:tc>
        <w:tc>
          <w:tcPr>
            <w:tcW w:w="634" w:type="dxa"/>
            <w:gridSpan w:val="2"/>
            <w:tcBorders>
              <w:top w:val="nil"/>
              <w:left w:val="nil"/>
              <w:bottom w:val="nil"/>
              <w:right w:val="nil"/>
            </w:tcBorders>
            <w:shd w:val="clear" w:color="auto" w:fill="auto"/>
            <w:noWrap/>
          </w:tcPr>
          <w:p w14:paraId="42A58209" w14:textId="77777777" w:rsidR="0086707B" w:rsidRPr="004742D3" w:rsidRDefault="0086707B" w:rsidP="00B148D5">
            <w:pPr>
              <w:pStyle w:val="Tables"/>
              <w:rPr>
                <w:rFonts w:eastAsia="Batang"/>
                <w:sz w:val="18"/>
                <w:szCs w:val="18"/>
              </w:rPr>
            </w:pPr>
            <w:r w:rsidRPr="004742D3">
              <w:rPr>
                <w:rFonts w:eastAsia="Batang" w:hint="eastAsia"/>
                <w:sz w:val="18"/>
                <w:szCs w:val="18"/>
              </w:rPr>
              <w:t>57.8</w:t>
            </w:r>
          </w:p>
        </w:tc>
        <w:tc>
          <w:tcPr>
            <w:tcW w:w="850" w:type="dxa"/>
            <w:gridSpan w:val="2"/>
            <w:tcBorders>
              <w:top w:val="nil"/>
              <w:left w:val="nil"/>
              <w:bottom w:val="nil"/>
              <w:right w:val="nil"/>
            </w:tcBorders>
            <w:shd w:val="clear" w:color="auto" w:fill="auto"/>
            <w:noWrap/>
          </w:tcPr>
          <w:p w14:paraId="627A5A4D" w14:textId="77777777" w:rsidR="0086707B" w:rsidRPr="00AF52DE" w:rsidRDefault="0086707B" w:rsidP="00B148D5">
            <w:pPr>
              <w:pStyle w:val="Tables"/>
              <w:rPr>
                <w:rFonts w:eastAsia="Batang"/>
              </w:rPr>
            </w:pPr>
            <w:r w:rsidRPr="00AF52DE">
              <w:rPr>
                <w:rFonts w:eastAsia="Batang" w:hint="eastAsia"/>
              </w:rPr>
              <w:t>1.08</w:t>
            </w:r>
            <w:r w:rsidRPr="00AF52DE">
              <w:rPr>
                <w:rFonts w:eastAsia="Batang"/>
              </w:rPr>
              <w:t>x10</w:t>
            </w:r>
            <w:r w:rsidRPr="00AF52DE">
              <w:rPr>
                <w:rFonts w:eastAsia="Batang"/>
                <w:vertAlign w:val="superscript"/>
              </w:rPr>
              <w:t>5</w:t>
            </w:r>
          </w:p>
        </w:tc>
        <w:tc>
          <w:tcPr>
            <w:tcW w:w="2728" w:type="dxa"/>
            <w:gridSpan w:val="2"/>
            <w:tcBorders>
              <w:top w:val="nil"/>
              <w:left w:val="nil"/>
              <w:bottom w:val="nil"/>
              <w:right w:val="nil"/>
            </w:tcBorders>
            <w:shd w:val="clear" w:color="auto" w:fill="auto"/>
            <w:noWrap/>
          </w:tcPr>
          <w:p w14:paraId="0AE71D4F" w14:textId="77777777" w:rsidR="0086707B" w:rsidRPr="00227745" w:rsidRDefault="0086707B" w:rsidP="00B148D5">
            <w:pPr>
              <w:pStyle w:val="Tables"/>
              <w:rPr>
                <w:rFonts w:eastAsia="Batang"/>
              </w:rPr>
            </w:pPr>
            <w:r w:rsidRPr="00227745">
              <w:rPr>
                <w:rFonts w:eastAsia="Batang" w:hint="eastAsia"/>
              </w:rPr>
              <w:t>GDP per capita</w:t>
            </w:r>
          </w:p>
        </w:tc>
        <w:tc>
          <w:tcPr>
            <w:tcW w:w="1560" w:type="dxa"/>
            <w:gridSpan w:val="2"/>
            <w:tcBorders>
              <w:top w:val="nil"/>
              <w:left w:val="nil"/>
              <w:bottom w:val="nil"/>
              <w:right w:val="nil"/>
            </w:tcBorders>
            <w:shd w:val="clear" w:color="auto" w:fill="auto"/>
            <w:noWrap/>
          </w:tcPr>
          <w:p w14:paraId="5F5C114D" w14:textId="77777777" w:rsidR="0086707B" w:rsidRPr="004742D3" w:rsidRDefault="0086707B" w:rsidP="00B148D5">
            <w:pPr>
              <w:pStyle w:val="Tables"/>
              <w:rPr>
                <w:sz w:val="18"/>
                <w:szCs w:val="18"/>
              </w:rPr>
            </w:pPr>
            <w:r w:rsidRPr="004742D3">
              <w:rPr>
                <w:sz w:val="18"/>
                <w:szCs w:val="18"/>
              </w:rPr>
              <w:t>WDI, World Bank</w:t>
            </w:r>
          </w:p>
          <w:p w14:paraId="6A109A40" w14:textId="77777777" w:rsidR="0086707B" w:rsidRPr="004742D3" w:rsidRDefault="0086707B" w:rsidP="00B148D5">
            <w:pPr>
              <w:pStyle w:val="Tables"/>
              <w:rPr>
                <w:rFonts w:eastAsia="Batang"/>
                <w:sz w:val="18"/>
                <w:szCs w:val="18"/>
              </w:rPr>
            </w:pPr>
            <w:r w:rsidRPr="004742D3">
              <w:rPr>
                <w:sz w:val="18"/>
                <w:szCs w:val="18"/>
              </w:rPr>
              <w:t>(2012)</w:t>
            </w:r>
          </w:p>
        </w:tc>
      </w:tr>
      <w:tr w:rsidR="0086707B" w:rsidRPr="000A4D74" w14:paraId="4B3FB763" w14:textId="77777777" w:rsidTr="00B148D5">
        <w:trPr>
          <w:gridAfter w:val="1"/>
          <w:wAfter w:w="164" w:type="dxa"/>
          <w:trHeight w:val="300"/>
        </w:trPr>
        <w:tc>
          <w:tcPr>
            <w:tcW w:w="1997" w:type="dxa"/>
            <w:tcBorders>
              <w:top w:val="nil"/>
              <w:left w:val="nil"/>
              <w:bottom w:val="nil"/>
              <w:right w:val="nil"/>
            </w:tcBorders>
            <w:shd w:val="clear" w:color="auto" w:fill="auto"/>
            <w:noWrap/>
          </w:tcPr>
          <w:p w14:paraId="3997EE69" w14:textId="77777777" w:rsidR="0086707B" w:rsidRPr="004742D3" w:rsidRDefault="0086707B" w:rsidP="00B148D5">
            <w:pPr>
              <w:pStyle w:val="Tables"/>
              <w:rPr>
                <w:b/>
                <w:sz w:val="20"/>
                <w:szCs w:val="20"/>
              </w:rPr>
            </w:pPr>
            <w:r w:rsidRPr="004742D3">
              <w:rPr>
                <w:b/>
                <w:sz w:val="20"/>
                <w:szCs w:val="20"/>
              </w:rPr>
              <w:t>C. Corporate governance variables</w:t>
            </w:r>
          </w:p>
        </w:tc>
        <w:tc>
          <w:tcPr>
            <w:tcW w:w="704" w:type="dxa"/>
            <w:gridSpan w:val="2"/>
            <w:tcBorders>
              <w:top w:val="nil"/>
              <w:left w:val="nil"/>
              <w:bottom w:val="nil"/>
              <w:right w:val="nil"/>
            </w:tcBorders>
            <w:shd w:val="clear" w:color="auto" w:fill="auto"/>
            <w:noWrap/>
          </w:tcPr>
          <w:p w14:paraId="14A20937" w14:textId="77777777" w:rsidR="0086707B" w:rsidRPr="004742D3" w:rsidRDefault="0086707B" w:rsidP="00B148D5">
            <w:pPr>
              <w:pStyle w:val="Tables"/>
              <w:rPr>
                <w:sz w:val="20"/>
                <w:szCs w:val="20"/>
              </w:rPr>
            </w:pPr>
          </w:p>
        </w:tc>
        <w:tc>
          <w:tcPr>
            <w:tcW w:w="810" w:type="dxa"/>
            <w:gridSpan w:val="2"/>
            <w:tcBorders>
              <w:top w:val="nil"/>
              <w:left w:val="nil"/>
              <w:bottom w:val="nil"/>
              <w:right w:val="nil"/>
            </w:tcBorders>
            <w:shd w:val="clear" w:color="auto" w:fill="auto"/>
            <w:noWrap/>
          </w:tcPr>
          <w:p w14:paraId="27483901" w14:textId="77777777" w:rsidR="0086707B" w:rsidRPr="004742D3" w:rsidRDefault="0086707B" w:rsidP="00B148D5">
            <w:pPr>
              <w:pStyle w:val="Tables"/>
              <w:rPr>
                <w:sz w:val="20"/>
                <w:szCs w:val="20"/>
              </w:rPr>
            </w:pPr>
          </w:p>
        </w:tc>
        <w:tc>
          <w:tcPr>
            <w:tcW w:w="709" w:type="dxa"/>
            <w:gridSpan w:val="2"/>
            <w:tcBorders>
              <w:top w:val="nil"/>
              <w:left w:val="nil"/>
              <w:bottom w:val="nil"/>
              <w:right w:val="nil"/>
            </w:tcBorders>
            <w:shd w:val="clear" w:color="auto" w:fill="auto"/>
            <w:noWrap/>
          </w:tcPr>
          <w:p w14:paraId="18BFB3C8" w14:textId="77777777" w:rsidR="0086707B" w:rsidRPr="004742D3" w:rsidRDefault="0086707B" w:rsidP="00B148D5">
            <w:pPr>
              <w:pStyle w:val="Tables"/>
              <w:rPr>
                <w:sz w:val="20"/>
                <w:szCs w:val="20"/>
              </w:rPr>
            </w:pPr>
          </w:p>
        </w:tc>
        <w:tc>
          <w:tcPr>
            <w:tcW w:w="641" w:type="dxa"/>
            <w:gridSpan w:val="2"/>
            <w:tcBorders>
              <w:top w:val="nil"/>
              <w:left w:val="nil"/>
              <w:bottom w:val="nil"/>
              <w:right w:val="nil"/>
            </w:tcBorders>
            <w:shd w:val="clear" w:color="auto" w:fill="auto"/>
            <w:noWrap/>
          </w:tcPr>
          <w:p w14:paraId="0D60C006" w14:textId="77777777" w:rsidR="0086707B" w:rsidRPr="004742D3" w:rsidRDefault="0086707B" w:rsidP="00B148D5">
            <w:pPr>
              <w:pStyle w:val="Tables"/>
              <w:rPr>
                <w:sz w:val="20"/>
                <w:szCs w:val="20"/>
              </w:rPr>
            </w:pPr>
          </w:p>
        </w:tc>
        <w:tc>
          <w:tcPr>
            <w:tcW w:w="634" w:type="dxa"/>
            <w:gridSpan w:val="2"/>
            <w:tcBorders>
              <w:top w:val="nil"/>
              <w:left w:val="nil"/>
              <w:bottom w:val="nil"/>
              <w:right w:val="nil"/>
            </w:tcBorders>
            <w:shd w:val="clear" w:color="auto" w:fill="auto"/>
            <w:noWrap/>
          </w:tcPr>
          <w:p w14:paraId="53B35AC7" w14:textId="77777777" w:rsidR="0086707B" w:rsidRPr="004742D3" w:rsidRDefault="0086707B" w:rsidP="00B148D5">
            <w:pPr>
              <w:pStyle w:val="Tables"/>
              <w:rPr>
                <w:sz w:val="20"/>
                <w:szCs w:val="20"/>
              </w:rPr>
            </w:pPr>
          </w:p>
        </w:tc>
        <w:tc>
          <w:tcPr>
            <w:tcW w:w="850" w:type="dxa"/>
            <w:gridSpan w:val="2"/>
            <w:tcBorders>
              <w:top w:val="nil"/>
              <w:left w:val="nil"/>
              <w:bottom w:val="nil"/>
              <w:right w:val="nil"/>
            </w:tcBorders>
            <w:shd w:val="clear" w:color="auto" w:fill="auto"/>
            <w:noWrap/>
          </w:tcPr>
          <w:p w14:paraId="22AE71C4" w14:textId="77777777" w:rsidR="0086707B" w:rsidRPr="004742D3" w:rsidRDefault="0086707B" w:rsidP="00B148D5">
            <w:pPr>
              <w:pStyle w:val="Tables"/>
              <w:rPr>
                <w:sz w:val="20"/>
                <w:szCs w:val="20"/>
              </w:rPr>
            </w:pPr>
          </w:p>
        </w:tc>
        <w:tc>
          <w:tcPr>
            <w:tcW w:w="2728" w:type="dxa"/>
            <w:gridSpan w:val="2"/>
            <w:tcBorders>
              <w:top w:val="nil"/>
              <w:left w:val="nil"/>
              <w:bottom w:val="nil"/>
              <w:right w:val="nil"/>
            </w:tcBorders>
            <w:shd w:val="clear" w:color="auto" w:fill="auto"/>
            <w:noWrap/>
          </w:tcPr>
          <w:p w14:paraId="194F2E25" w14:textId="77777777" w:rsidR="0086707B" w:rsidRPr="00227745" w:rsidRDefault="0086707B" w:rsidP="00B148D5">
            <w:pPr>
              <w:pStyle w:val="Tables"/>
            </w:pPr>
          </w:p>
        </w:tc>
        <w:tc>
          <w:tcPr>
            <w:tcW w:w="1560" w:type="dxa"/>
            <w:gridSpan w:val="2"/>
            <w:tcBorders>
              <w:top w:val="nil"/>
              <w:left w:val="nil"/>
              <w:bottom w:val="nil"/>
              <w:right w:val="nil"/>
            </w:tcBorders>
            <w:shd w:val="clear" w:color="auto" w:fill="auto"/>
            <w:noWrap/>
          </w:tcPr>
          <w:p w14:paraId="0DA9EEED" w14:textId="77777777" w:rsidR="0086707B" w:rsidRPr="004742D3" w:rsidRDefault="0086707B" w:rsidP="00B148D5">
            <w:pPr>
              <w:pStyle w:val="Tables"/>
              <w:rPr>
                <w:sz w:val="18"/>
                <w:szCs w:val="18"/>
              </w:rPr>
            </w:pPr>
          </w:p>
        </w:tc>
      </w:tr>
      <w:tr w:rsidR="0086707B" w:rsidRPr="004742D3" w14:paraId="5F1290EF" w14:textId="77777777" w:rsidTr="00B148D5">
        <w:trPr>
          <w:gridAfter w:val="1"/>
          <w:wAfter w:w="164" w:type="dxa"/>
          <w:trHeight w:val="300"/>
        </w:trPr>
        <w:tc>
          <w:tcPr>
            <w:tcW w:w="1997" w:type="dxa"/>
            <w:tcBorders>
              <w:top w:val="nil"/>
              <w:left w:val="nil"/>
              <w:bottom w:val="nil"/>
              <w:right w:val="nil"/>
            </w:tcBorders>
            <w:shd w:val="clear" w:color="auto" w:fill="auto"/>
            <w:noWrap/>
          </w:tcPr>
          <w:p w14:paraId="666B4121" w14:textId="77777777" w:rsidR="0086707B" w:rsidRPr="004742D3" w:rsidRDefault="0086707B" w:rsidP="00B148D5">
            <w:pPr>
              <w:pStyle w:val="Tables"/>
              <w:rPr>
                <w:sz w:val="18"/>
                <w:szCs w:val="18"/>
              </w:rPr>
            </w:pPr>
            <w:r w:rsidRPr="004742D3">
              <w:rPr>
                <w:sz w:val="18"/>
                <w:szCs w:val="18"/>
              </w:rPr>
              <w:t xml:space="preserve">(1) Legal Origin </w:t>
            </w:r>
          </w:p>
        </w:tc>
        <w:tc>
          <w:tcPr>
            <w:tcW w:w="704" w:type="dxa"/>
            <w:gridSpan w:val="2"/>
            <w:tcBorders>
              <w:top w:val="nil"/>
              <w:left w:val="nil"/>
              <w:bottom w:val="nil"/>
              <w:right w:val="nil"/>
            </w:tcBorders>
            <w:shd w:val="clear" w:color="auto" w:fill="auto"/>
            <w:noWrap/>
          </w:tcPr>
          <w:p w14:paraId="3BAE8BF8" w14:textId="77777777" w:rsidR="0086707B" w:rsidRPr="004742D3" w:rsidRDefault="0086707B" w:rsidP="00B148D5">
            <w:pPr>
              <w:pStyle w:val="Tables"/>
              <w:rPr>
                <w:sz w:val="18"/>
                <w:szCs w:val="18"/>
              </w:rPr>
            </w:pPr>
            <w:r w:rsidRPr="004742D3">
              <w:rPr>
                <w:sz w:val="18"/>
                <w:szCs w:val="18"/>
              </w:rPr>
              <w:t>742</w:t>
            </w:r>
          </w:p>
        </w:tc>
        <w:tc>
          <w:tcPr>
            <w:tcW w:w="810" w:type="dxa"/>
            <w:gridSpan w:val="2"/>
            <w:tcBorders>
              <w:top w:val="nil"/>
              <w:left w:val="nil"/>
              <w:bottom w:val="nil"/>
              <w:right w:val="nil"/>
            </w:tcBorders>
            <w:shd w:val="clear" w:color="auto" w:fill="auto"/>
            <w:noWrap/>
          </w:tcPr>
          <w:p w14:paraId="323C8209" w14:textId="77777777" w:rsidR="0086707B" w:rsidRPr="004742D3" w:rsidRDefault="0086707B" w:rsidP="00B148D5">
            <w:pPr>
              <w:pStyle w:val="Tables"/>
              <w:rPr>
                <w:sz w:val="18"/>
                <w:szCs w:val="18"/>
              </w:rPr>
            </w:pPr>
            <w:r w:rsidRPr="004742D3">
              <w:rPr>
                <w:sz w:val="18"/>
                <w:szCs w:val="18"/>
              </w:rPr>
              <w:t>0.31</w:t>
            </w:r>
          </w:p>
        </w:tc>
        <w:tc>
          <w:tcPr>
            <w:tcW w:w="709" w:type="dxa"/>
            <w:gridSpan w:val="2"/>
            <w:tcBorders>
              <w:top w:val="nil"/>
              <w:left w:val="nil"/>
              <w:bottom w:val="nil"/>
              <w:right w:val="nil"/>
            </w:tcBorders>
            <w:shd w:val="clear" w:color="auto" w:fill="auto"/>
            <w:noWrap/>
          </w:tcPr>
          <w:p w14:paraId="56555E0C" w14:textId="77777777" w:rsidR="0086707B" w:rsidRPr="004742D3" w:rsidRDefault="0086707B" w:rsidP="00B148D5">
            <w:pPr>
              <w:pStyle w:val="Tables"/>
              <w:rPr>
                <w:sz w:val="18"/>
                <w:szCs w:val="18"/>
              </w:rPr>
            </w:pPr>
            <w:r w:rsidRPr="004742D3">
              <w:rPr>
                <w:sz w:val="18"/>
                <w:szCs w:val="18"/>
              </w:rPr>
              <w:t>0.46</w:t>
            </w:r>
          </w:p>
        </w:tc>
        <w:tc>
          <w:tcPr>
            <w:tcW w:w="641" w:type="dxa"/>
            <w:gridSpan w:val="2"/>
            <w:tcBorders>
              <w:top w:val="nil"/>
              <w:left w:val="nil"/>
              <w:bottom w:val="nil"/>
              <w:right w:val="nil"/>
            </w:tcBorders>
            <w:shd w:val="clear" w:color="auto" w:fill="auto"/>
            <w:noWrap/>
          </w:tcPr>
          <w:p w14:paraId="2405D6D7" w14:textId="77777777" w:rsidR="0086707B" w:rsidRPr="004742D3" w:rsidRDefault="0086707B" w:rsidP="00B148D5">
            <w:pPr>
              <w:pStyle w:val="Tables"/>
              <w:rPr>
                <w:sz w:val="18"/>
                <w:szCs w:val="18"/>
              </w:rPr>
            </w:pPr>
            <w:r w:rsidRPr="004742D3">
              <w:rPr>
                <w:sz w:val="18"/>
                <w:szCs w:val="18"/>
              </w:rPr>
              <w:t>0</w:t>
            </w:r>
          </w:p>
        </w:tc>
        <w:tc>
          <w:tcPr>
            <w:tcW w:w="634" w:type="dxa"/>
            <w:gridSpan w:val="2"/>
            <w:tcBorders>
              <w:top w:val="nil"/>
              <w:left w:val="nil"/>
              <w:bottom w:val="nil"/>
              <w:right w:val="nil"/>
            </w:tcBorders>
            <w:shd w:val="clear" w:color="auto" w:fill="auto"/>
            <w:noWrap/>
          </w:tcPr>
          <w:p w14:paraId="0F0FBFD7"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bottom w:val="nil"/>
              <w:right w:val="nil"/>
            </w:tcBorders>
            <w:shd w:val="clear" w:color="auto" w:fill="auto"/>
            <w:noWrap/>
          </w:tcPr>
          <w:p w14:paraId="6A3F4464" w14:textId="77777777" w:rsidR="0086707B" w:rsidRPr="004742D3" w:rsidRDefault="0086707B" w:rsidP="00B148D5">
            <w:pPr>
              <w:pStyle w:val="Tables"/>
              <w:rPr>
                <w:sz w:val="18"/>
                <w:szCs w:val="18"/>
              </w:rPr>
            </w:pPr>
            <w:r w:rsidRPr="004742D3">
              <w:rPr>
                <w:sz w:val="18"/>
                <w:szCs w:val="18"/>
              </w:rPr>
              <w:t>1</w:t>
            </w:r>
          </w:p>
        </w:tc>
        <w:tc>
          <w:tcPr>
            <w:tcW w:w="2728" w:type="dxa"/>
            <w:gridSpan w:val="2"/>
            <w:tcBorders>
              <w:top w:val="nil"/>
              <w:left w:val="nil"/>
              <w:bottom w:val="nil"/>
              <w:right w:val="nil"/>
            </w:tcBorders>
            <w:shd w:val="clear" w:color="auto" w:fill="auto"/>
            <w:noWrap/>
          </w:tcPr>
          <w:p w14:paraId="182F8D64" w14:textId="77777777" w:rsidR="0086707B" w:rsidRPr="00227745" w:rsidRDefault="0086707B" w:rsidP="00B148D5">
            <w:pPr>
              <w:pStyle w:val="Tables"/>
            </w:pPr>
            <w:r w:rsidRPr="00227745">
              <w:t>1 if a country is common law legal origin, 0 otherwise</w:t>
            </w:r>
          </w:p>
        </w:tc>
        <w:tc>
          <w:tcPr>
            <w:tcW w:w="1560" w:type="dxa"/>
            <w:gridSpan w:val="2"/>
            <w:tcBorders>
              <w:top w:val="nil"/>
              <w:left w:val="nil"/>
              <w:bottom w:val="nil"/>
              <w:right w:val="nil"/>
            </w:tcBorders>
            <w:shd w:val="clear" w:color="auto" w:fill="auto"/>
            <w:noWrap/>
          </w:tcPr>
          <w:p w14:paraId="734FFFBB" w14:textId="77777777" w:rsidR="0086707B" w:rsidRPr="004742D3" w:rsidRDefault="0086707B" w:rsidP="00B148D5">
            <w:pPr>
              <w:pStyle w:val="Tables"/>
              <w:rPr>
                <w:sz w:val="18"/>
                <w:szCs w:val="18"/>
              </w:rPr>
            </w:pPr>
            <w:r w:rsidRPr="004742D3">
              <w:rPr>
                <w:sz w:val="18"/>
                <w:szCs w:val="18"/>
              </w:rPr>
              <w:t xml:space="preserve">La Porta et al. </w:t>
            </w:r>
            <w:r>
              <w:rPr>
                <w:sz w:val="18"/>
                <w:szCs w:val="18"/>
              </w:rPr>
              <w:t xml:space="preserve">(1998, 2002), </w:t>
            </w:r>
            <w:r w:rsidRPr="004742D3">
              <w:rPr>
                <w:sz w:val="18"/>
                <w:szCs w:val="18"/>
              </w:rPr>
              <w:t xml:space="preserve">Acharya et al. (2011). </w:t>
            </w:r>
          </w:p>
        </w:tc>
      </w:tr>
      <w:tr w:rsidR="0086707B" w:rsidRPr="004742D3" w14:paraId="08EA565E" w14:textId="77777777" w:rsidTr="00B148D5">
        <w:trPr>
          <w:gridAfter w:val="1"/>
          <w:wAfter w:w="164" w:type="dxa"/>
          <w:trHeight w:val="300"/>
        </w:trPr>
        <w:tc>
          <w:tcPr>
            <w:tcW w:w="1997" w:type="dxa"/>
            <w:tcBorders>
              <w:top w:val="nil"/>
              <w:left w:val="nil"/>
              <w:bottom w:val="nil"/>
              <w:right w:val="nil"/>
            </w:tcBorders>
            <w:shd w:val="clear" w:color="auto" w:fill="auto"/>
            <w:noWrap/>
          </w:tcPr>
          <w:p w14:paraId="664EFF28" w14:textId="77777777" w:rsidR="0086707B" w:rsidRPr="004742D3" w:rsidRDefault="0086707B" w:rsidP="00B148D5">
            <w:pPr>
              <w:pStyle w:val="Tables"/>
              <w:rPr>
                <w:sz w:val="18"/>
                <w:szCs w:val="18"/>
              </w:rPr>
            </w:pPr>
            <w:r w:rsidRPr="004742D3">
              <w:rPr>
                <w:sz w:val="18"/>
                <w:szCs w:val="18"/>
              </w:rPr>
              <w:t>(2) G-Index 41</w:t>
            </w:r>
          </w:p>
        </w:tc>
        <w:tc>
          <w:tcPr>
            <w:tcW w:w="704" w:type="dxa"/>
            <w:gridSpan w:val="2"/>
            <w:tcBorders>
              <w:top w:val="nil"/>
              <w:left w:val="nil"/>
              <w:bottom w:val="nil"/>
              <w:right w:val="nil"/>
            </w:tcBorders>
            <w:shd w:val="clear" w:color="auto" w:fill="auto"/>
            <w:noWrap/>
          </w:tcPr>
          <w:p w14:paraId="7F9F95AB" w14:textId="77777777" w:rsidR="0086707B" w:rsidRPr="004742D3" w:rsidRDefault="0086707B" w:rsidP="00B148D5">
            <w:pPr>
              <w:pStyle w:val="Tables"/>
              <w:rPr>
                <w:sz w:val="18"/>
                <w:szCs w:val="18"/>
              </w:rPr>
            </w:pPr>
            <w:r w:rsidRPr="004742D3">
              <w:rPr>
                <w:sz w:val="18"/>
                <w:szCs w:val="18"/>
              </w:rPr>
              <w:t>115</w:t>
            </w:r>
          </w:p>
        </w:tc>
        <w:tc>
          <w:tcPr>
            <w:tcW w:w="810" w:type="dxa"/>
            <w:gridSpan w:val="2"/>
            <w:tcBorders>
              <w:top w:val="nil"/>
              <w:left w:val="nil"/>
              <w:bottom w:val="nil"/>
              <w:right w:val="nil"/>
            </w:tcBorders>
            <w:shd w:val="clear" w:color="auto" w:fill="auto"/>
            <w:noWrap/>
          </w:tcPr>
          <w:p w14:paraId="283DAFCB" w14:textId="77777777" w:rsidR="0086707B" w:rsidRPr="004742D3" w:rsidRDefault="0086707B" w:rsidP="00B148D5">
            <w:pPr>
              <w:pStyle w:val="Tables"/>
              <w:rPr>
                <w:sz w:val="18"/>
                <w:szCs w:val="18"/>
              </w:rPr>
            </w:pPr>
            <w:r w:rsidRPr="004742D3">
              <w:rPr>
                <w:sz w:val="18"/>
                <w:szCs w:val="18"/>
              </w:rPr>
              <w:t>45.0</w:t>
            </w:r>
          </w:p>
        </w:tc>
        <w:tc>
          <w:tcPr>
            <w:tcW w:w="709" w:type="dxa"/>
            <w:gridSpan w:val="2"/>
            <w:tcBorders>
              <w:top w:val="nil"/>
              <w:left w:val="nil"/>
              <w:bottom w:val="nil"/>
              <w:right w:val="nil"/>
            </w:tcBorders>
            <w:shd w:val="clear" w:color="auto" w:fill="auto"/>
            <w:noWrap/>
          </w:tcPr>
          <w:p w14:paraId="618DBD29" w14:textId="77777777" w:rsidR="0086707B" w:rsidRPr="004742D3" w:rsidRDefault="0086707B" w:rsidP="00B148D5">
            <w:pPr>
              <w:pStyle w:val="Tables"/>
              <w:rPr>
                <w:sz w:val="18"/>
                <w:szCs w:val="18"/>
              </w:rPr>
            </w:pPr>
            <w:r w:rsidRPr="004742D3">
              <w:rPr>
                <w:sz w:val="18"/>
                <w:szCs w:val="18"/>
              </w:rPr>
              <w:t>8.45</w:t>
            </w:r>
          </w:p>
        </w:tc>
        <w:tc>
          <w:tcPr>
            <w:tcW w:w="641" w:type="dxa"/>
            <w:gridSpan w:val="2"/>
            <w:tcBorders>
              <w:top w:val="nil"/>
              <w:left w:val="nil"/>
              <w:bottom w:val="nil"/>
              <w:right w:val="nil"/>
            </w:tcBorders>
            <w:shd w:val="clear" w:color="auto" w:fill="auto"/>
            <w:noWrap/>
          </w:tcPr>
          <w:p w14:paraId="159EB380" w14:textId="77777777" w:rsidR="0086707B" w:rsidRPr="004742D3" w:rsidRDefault="0086707B" w:rsidP="00B148D5">
            <w:pPr>
              <w:pStyle w:val="Tables"/>
              <w:rPr>
                <w:sz w:val="18"/>
                <w:szCs w:val="18"/>
              </w:rPr>
            </w:pPr>
            <w:r w:rsidRPr="004742D3">
              <w:rPr>
                <w:sz w:val="18"/>
                <w:szCs w:val="18"/>
              </w:rPr>
              <w:t>44.9</w:t>
            </w:r>
          </w:p>
        </w:tc>
        <w:tc>
          <w:tcPr>
            <w:tcW w:w="634" w:type="dxa"/>
            <w:gridSpan w:val="2"/>
            <w:tcBorders>
              <w:top w:val="nil"/>
              <w:left w:val="nil"/>
              <w:bottom w:val="nil"/>
              <w:right w:val="nil"/>
            </w:tcBorders>
            <w:shd w:val="clear" w:color="auto" w:fill="auto"/>
            <w:noWrap/>
          </w:tcPr>
          <w:p w14:paraId="0458F4AB" w14:textId="77777777" w:rsidR="0086707B" w:rsidRPr="004742D3" w:rsidRDefault="0086707B" w:rsidP="00B148D5">
            <w:pPr>
              <w:pStyle w:val="Tables"/>
              <w:rPr>
                <w:sz w:val="18"/>
                <w:szCs w:val="18"/>
              </w:rPr>
            </w:pPr>
            <w:r w:rsidRPr="004742D3">
              <w:rPr>
                <w:sz w:val="18"/>
                <w:szCs w:val="18"/>
              </w:rPr>
              <w:t>27.3</w:t>
            </w:r>
          </w:p>
        </w:tc>
        <w:tc>
          <w:tcPr>
            <w:tcW w:w="850" w:type="dxa"/>
            <w:gridSpan w:val="2"/>
            <w:tcBorders>
              <w:top w:val="nil"/>
              <w:left w:val="nil"/>
              <w:bottom w:val="nil"/>
              <w:right w:val="nil"/>
            </w:tcBorders>
            <w:shd w:val="clear" w:color="auto" w:fill="auto"/>
            <w:noWrap/>
          </w:tcPr>
          <w:p w14:paraId="63AEFC51" w14:textId="77777777" w:rsidR="0086707B" w:rsidRPr="004742D3" w:rsidRDefault="0086707B" w:rsidP="00B148D5">
            <w:pPr>
              <w:pStyle w:val="Tables"/>
              <w:rPr>
                <w:sz w:val="18"/>
                <w:szCs w:val="18"/>
              </w:rPr>
            </w:pPr>
            <w:r w:rsidRPr="004742D3">
              <w:rPr>
                <w:sz w:val="18"/>
                <w:szCs w:val="18"/>
              </w:rPr>
              <w:t>72.8</w:t>
            </w:r>
          </w:p>
        </w:tc>
        <w:tc>
          <w:tcPr>
            <w:tcW w:w="2728" w:type="dxa"/>
            <w:gridSpan w:val="2"/>
            <w:tcBorders>
              <w:top w:val="nil"/>
              <w:left w:val="nil"/>
              <w:bottom w:val="nil"/>
              <w:right w:val="nil"/>
            </w:tcBorders>
            <w:shd w:val="clear" w:color="auto" w:fill="auto"/>
            <w:noWrap/>
          </w:tcPr>
          <w:p w14:paraId="4B12921B" w14:textId="77777777" w:rsidR="0086707B" w:rsidRPr="00227745" w:rsidRDefault="0086707B" w:rsidP="00B148D5">
            <w:pPr>
              <w:pStyle w:val="Tables"/>
            </w:pPr>
            <w:r w:rsidRPr="00227745">
              <w:t>Corporate governance index using 41 firm-level components. It ranges from 0 to 100.</w:t>
            </w:r>
          </w:p>
        </w:tc>
        <w:tc>
          <w:tcPr>
            <w:tcW w:w="1560" w:type="dxa"/>
            <w:gridSpan w:val="2"/>
            <w:tcBorders>
              <w:top w:val="nil"/>
              <w:left w:val="nil"/>
              <w:bottom w:val="nil"/>
              <w:right w:val="nil"/>
            </w:tcBorders>
            <w:shd w:val="clear" w:color="auto" w:fill="auto"/>
            <w:noWrap/>
          </w:tcPr>
          <w:p w14:paraId="227BF81E" w14:textId="77777777" w:rsidR="0086707B" w:rsidRPr="004742D3" w:rsidRDefault="0086707B" w:rsidP="00B148D5">
            <w:pPr>
              <w:pStyle w:val="Tables"/>
              <w:rPr>
                <w:sz w:val="18"/>
                <w:szCs w:val="18"/>
              </w:rPr>
            </w:pPr>
            <w:r w:rsidRPr="004742D3">
              <w:rPr>
                <w:sz w:val="18"/>
                <w:szCs w:val="18"/>
              </w:rPr>
              <w:t>Aggarwal, Erel, Ferreira, and Matos (2011)</w:t>
            </w:r>
          </w:p>
        </w:tc>
      </w:tr>
      <w:tr w:rsidR="0086707B" w:rsidRPr="004742D3" w14:paraId="3FBAEBD4" w14:textId="77777777" w:rsidTr="00B148D5">
        <w:trPr>
          <w:gridAfter w:val="1"/>
          <w:wAfter w:w="164" w:type="dxa"/>
          <w:trHeight w:val="300"/>
        </w:trPr>
        <w:tc>
          <w:tcPr>
            <w:tcW w:w="1997" w:type="dxa"/>
            <w:tcBorders>
              <w:top w:val="nil"/>
              <w:left w:val="nil"/>
              <w:bottom w:val="nil"/>
              <w:right w:val="nil"/>
            </w:tcBorders>
            <w:shd w:val="clear" w:color="auto" w:fill="auto"/>
            <w:noWrap/>
          </w:tcPr>
          <w:p w14:paraId="210001DB" w14:textId="77777777" w:rsidR="0086707B" w:rsidRPr="004742D3" w:rsidRDefault="0086707B" w:rsidP="00B148D5">
            <w:pPr>
              <w:pStyle w:val="Tables"/>
              <w:rPr>
                <w:sz w:val="18"/>
                <w:szCs w:val="18"/>
              </w:rPr>
            </w:pPr>
          </w:p>
          <w:p w14:paraId="185400C2" w14:textId="77777777" w:rsidR="0086707B" w:rsidRPr="004742D3" w:rsidRDefault="0086707B" w:rsidP="00B148D5">
            <w:pPr>
              <w:pStyle w:val="Tables"/>
              <w:rPr>
                <w:sz w:val="18"/>
                <w:szCs w:val="18"/>
              </w:rPr>
            </w:pPr>
            <w:r w:rsidRPr="004742D3">
              <w:rPr>
                <w:sz w:val="18"/>
                <w:szCs w:val="18"/>
              </w:rPr>
              <w:t>(3) Shareholder</w:t>
            </w:r>
          </w:p>
          <w:p w14:paraId="69ADCFEA" w14:textId="77777777" w:rsidR="0086707B" w:rsidRPr="004742D3" w:rsidRDefault="0086707B" w:rsidP="00B148D5">
            <w:pPr>
              <w:pStyle w:val="Tables"/>
              <w:rPr>
                <w:sz w:val="18"/>
                <w:szCs w:val="18"/>
              </w:rPr>
            </w:pPr>
            <w:r w:rsidRPr="004742D3">
              <w:rPr>
                <w:sz w:val="18"/>
                <w:szCs w:val="18"/>
              </w:rPr>
              <w:t>right</w:t>
            </w:r>
          </w:p>
        </w:tc>
        <w:tc>
          <w:tcPr>
            <w:tcW w:w="704" w:type="dxa"/>
            <w:gridSpan w:val="2"/>
            <w:tcBorders>
              <w:top w:val="nil"/>
              <w:left w:val="nil"/>
              <w:bottom w:val="nil"/>
              <w:right w:val="nil"/>
            </w:tcBorders>
            <w:shd w:val="clear" w:color="auto" w:fill="auto"/>
            <w:noWrap/>
          </w:tcPr>
          <w:p w14:paraId="4C0E421D" w14:textId="77777777" w:rsidR="0086707B" w:rsidRPr="004742D3" w:rsidRDefault="0086707B" w:rsidP="00B148D5">
            <w:pPr>
              <w:pStyle w:val="Tables"/>
              <w:rPr>
                <w:sz w:val="18"/>
                <w:szCs w:val="18"/>
              </w:rPr>
            </w:pPr>
            <w:r w:rsidRPr="004742D3">
              <w:rPr>
                <w:sz w:val="18"/>
                <w:szCs w:val="18"/>
              </w:rPr>
              <w:t>736</w:t>
            </w:r>
          </w:p>
        </w:tc>
        <w:tc>
          <w:tcPr>
            <w:tcW w:w="810" w:type="dxa"/>
            <w:gridSpan w:val="2"/>
            <w:tcBorders>
              <w:top w:val="nil"/>
              <w:left w:val="nil"/>
              <w:bottom w:val="nil"/>
              <w:right w:val="nil"/>
            </w:tcBorders>
            <w:shd w:val="clear" w:color="auto" w:fill="auto"/>
            <w:noWrap/>
          </w:tcPr>
          <w:p w14:paraId="5A0B20E9" w14:textId="77777777" w:rsidR="0086707B" w:rsidRPr="004742D3" w:rsidRDefault="0086707B" w:rsidP="00B148D5">
            <w:pPr>
              <w:pStyle w:val="Tables"/>
              <w:rPr>
                <w:sz w:val="18"/>
                <w:szCs w:val="18"/>
              </w:rPr>
            </w:pPr>
            <w:r w:rsidRPr="004742D3">
              <w:rPr>
                <w:sz w:val="18"/>
                <w:szCs w:val="18"/>
              </w:rPr>
              <w:t>2.87</w:t>
            </w:r>
          </w:p>
        </w:tc>
        <w:tc>
          <w:tcPr>
            <w:tcW w:w="709" w:type="dxa"/>
            <w:gridSpan w:val="2"/>
            <w:tcBorders>
              <w:top w:val="nil"/>
              <w:left w:val="nil"/>
              <w:bottom w:val="nil"/>
              <w:right w:val="nil"/>
            </w:tcBorders>
            <w:shd w:val="clear" w:color="auto" w:fill="auto"/>
            <w:noWrap/>
          </w:tcPr>
          <w:p w14:paraId="77FA6455" w14:textId="77777777" w:rsidR="0086707B" w:rsidRPr="004742D3" w:rsidRDefault="0086707B" w:rsidP="00B148D5">
            <w:pPr>
              <w:pStyle w:val="Tables"/>
              <w:rPr>
                <w:sz w:val="18"/>
                <w:szCs w:val="18"/>
              </w:rPr>
            </w:pPr>
            <w:r w:rsidRPr="004742D3">
              <w:rPr>
                <w:sz w:val="18"/>
                <w:szCs w:val="18"/>
              </w:rPr>
              <w:t>1.42</w:t>
            </w:r>
          </w:p>
        </w:tc>
        <w:tc>
          <w:tcPr>
            <w:tcW w:w="641" w:type="dxa"/>
            <w:gridSpan w:val="2"/>
            <w:tcBorders>
              <w:top w:val="nil"/>
              <w:left w:val="nil"/>
              <w:bottom w:val="nil"/>
              <w:right w:val="nil"/>
            </w:tcBorders>
            <w:shd w:val="clear" w:color="auto" w:fill="auto"/>
            <w:noWrap/>
          </w:tcPr>
          <w:p w14:paraId="5BE7FAFA" w14:textId="77777777" w:rsidR="0086707B" w:rsidRPr="004742D3" w:rsidRDefault="0086707B" w:rsidP="00B148D5">
            <w:pPr>
              <w:pStyle w:val="Tables"/>
              <w:rPr>
                <w:sz w:val="18"/>
                <w:szCs w:val="18"/>
              </w:rPr>
            </w:pPr>
            <w:r w:rsidRPr="004742D3">
              <w:rPr>
                <w:sz w:val="18"/>
                <w:szCs w:val="18"/>
              </w:rPr>
              <w:t>3</w:t>
            </w:r>
          </w:p>
        </w:tc>
        <w:tc>
          <w:tcPr>
            <w:tcW w:w="634" w:type="dxa"/>
            <w:gridSpan w:val="2"/>
            <w:tcBorders>
              <w:top w:val="nil"/>
              <w:left w:val="nil"/>
              <w:bottom w:val="nil"/>
              <w:right w:val="nil"/>
            </w:tcBorders>
            <w:shd w:val="clear" w:color="auto" w:fill="auto"/>
            <w:noWrap/>
          </w:tcPr>
          <w:p w14:paraId="6D942A73"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bottom w:val="nil"/>
              <w:right w:val="nil"/>
            </w:tcBorders>
            <w:shd w:val="clear" w:color="auto" w:fill="auto"/>
            <w:noWrap/>
          </w:tcPr>
          <w:p w14:paraId="682D719D" w14:textId="77777777" w:rsidR="0086707B" w:rsidRPr="004742D3" w:rsidRDefault="0086707B" w:rsidP="00B148D5">
            <w:pPr>
              <w:pStyle w:val="Tables"/>
              <w:rPr>
                <w:sz w:val="18"/>
                <w:szCs w:val="18"/>
              </w:rPr>
            </w:pPr>
            <w:r w:rsidRPr="004742D3">
              <w:rPr>
                <w:sz w:val="18"/>
                <w:szCs w:val="18"/>
              </w:rPr>
              <w:t>5</w:t>
            </w:r>
          </w:p>
        </w:tc>
        <w:tc>
          <w:tcPr>
            <w:tcW w:w="2728" w:type="dxa"/>
            <w:gridSpan w:val="2"/>
            <w:tcBorders>
              <w:top w:val="nil"/>
              <w:left w:val="nil"/>
              <w:bottom w:val="nil"/>
              <w:right w:val="nil"/>
            </w:tcBorders>
            <w:shd w:val="clear" w:color="auto" w:fill="auto"/>
            <w:noWrap/>
          </w:tcPr>
          <w:p w14:paraId="326C8D58" w14:textId="77777777" w:rsidR="0086707B" w:rsidRPr="00227745" w:rsidRDefault="0086707B" w:rsidP="00B148D5">
            <w:pPr>
              <w:pStyle w:val="Tables"/>
            </w:pPr>
            <w:r w:rsidRPr="00227745">
              <w:t>Index to indicate the level of shareholder right protection. It ranges from 0 to 5.</w:t>
            </w:r>
          </w:p>
        </w:tc>
        <w:tc>
          <w:tcPr>
            <w:tcW w:w="1560" w:type="dxa"/>
            <w:gridSpan w:val="2"/>
            <w:tcBorders>
              <w:top w:val="nil"/>
              <w:left w:val="nil"/>
              <w:bottom w:val="nil"/>
              <w:right w:val="nil"/>
            </w:tcBorders>
            <w:shd w:val="clear" w:color="auto" w:fill="auto"/>
            <w:noWrap/>
          </w:tcPr>
          <w:p w14:paraId="097745BC" w14:textId="77777777" w:rsidR="0086707B" w:rsidRPr="004742D3" w:rsidRDefault="0086707B" w:rsidP="00B148D5">
            <w:pPr>
              <w:pStyle w:val="Tables"/>
              <w:rPr>
                <w:sz w:val="18"/>
                <w:szCs w:val="18"/>
              </w:rPr>
            </w:pPr>
            <w:r w:rsidRPr="004742D3">
              <w:rPr>
                <w:sz w:val="18"/>
                <w:szCs w:val="18"/>
              </w:rPr>
              <w:t>La Porta et al. (2002)</w:t>
            </w:r>
          </w:p>
        </w:tc>
      </w:tr>
      <w:tr w:rsidR="0086707B" w:rsidRPr="004742D3" w14:paraId="406135C3" w14:textId="77777777" w:rsidTr="00B148D5">
        <w:trPr>
          <w:gridAfter w:val="1"/>
          <w:wAfter w:w="164" w:type="dxa"/>
          <w:trHeight w:val="300"/>
        </w:trPr>
        <w:tc>
          <w:tcPr>
            <w:tcW w:w="1997" w:type="dxa"/>
            <w:tcBorders>
              <w:top w:val="nil"/>
              <w:left w:val="nil"/>
              <w:bottom w:val="nil"/>
              <w:right w:val="nil"/>
            </w:tcBorders>
            <w:shd w:val="clear" w:color="auto" w:fill="auto"/>
            <w:noWrap/>
          </w:tcPr>
          <w:p w14:paraId="00F5F624" w14:textId="77777777" w:rsidR="0086707B" w:rsidRPr="004742D3" w:rsidRDefault="0086707B" w:rsidP="00B148D5">
            <w:pPr>
              <w:pStyle w:val="Tables"/>
              <w:rPr>
                <w:sz w:val="18"/>
                <w:szCs w:val="18"/>
              </w:rPr>
            </w:pPr>
            <w:r w:rsidRPr="004742D3">
              <w:rPr>
                <w:sz w:val="18"/>
                <w:szCs w:val="18"/>
              </w:rPr>
              <w:t>(4) Creditor</w:t>
            </w:r>
          </w:p>
          <w:p w14:paraId="76F0798C" w14:textId="77777777" w:rsidR="0086707B" w:rsidRPr="004742D3" w:rsidRDefault="0086707B" w:rsidP="00B148D5">
            <w:pPr>
              <w:pStyle w:val="Tables"/>
              <w:rPr>
                <w:sz w:val="18"/>
                <w:szCs w:val="18"/>
              </w:rPr>
            </w:pPr>
            <w:r w:rsidRPr="004742D3">
              <w:rPr>
                <w:sz w:val="18"/>
                <w:szCs w:val="18"/>
              </w:rPr>
              <w:t>right</w:t>
            </w:r>
          </w:p>
        </w:tc>
        <w:tc>
          <w:tcPr>
            <w:tcW w:w="704" w:type="dxa"/>
            <w:gridSpan w:val="2"/>
            <w:tcBorders>
              <w:top w:val="nil"/>
              <w:left w:val="nil"/>
              <w:bottom w:val="nil"/>
              <w:right w:val="nil"/>
            </w:tcBorders>
            <w:shd w:val="clear" w:color="auto" w:fill="auto"/>
            <w:noWrap/>
          </w:tcPr>
          <w:p w14:paraId="0273F217" w14:textId="77777777" w:rsidR="0086707B" w:rsidRPr="004742D3" w:rsidRDefault="0086707B" w:rsidP="00B148D5">
            <w:pPr>
              <w:pStyle w:val="Tables"/>
              <w:rPr>
                <w:sz w:val="18"/>
                <w:szCs w:val="18"/>
              </w:rPr>
            </w:pPr>
            <w:r w:rsidRPr="004742D3">
              <w:rPr>
                <w:sz w:val="18"/>
                <w:szCs w:val="18"/>
              </w:rPr>
              <w:t>736</w:t>
            </w:r>
          </w:p>
        </w:tc>
        <w:tc>
          <w:tcPr>
            <w:tcW w:w="810" w:type="dxa"/>
            <w:gridSpan w:val="2"/>
            <w:tcBorders>
              <w:top w:val="nil"/>
              <w:left w:val="nil"/>
              <w:bottom w:val="nil"/>
              <w:right w:val="nil"/>
            </w:tcBorders>
            <w:shd w:val="clear" w:color="auto" w:fill="auto"/>
            <w:noWrap/>
          </w:tcPr>
          <w:p w14:paraId="351B0F88" w14:textId="77777777" w:rsidR="0086707B" w:rsidRPr="004742D3" w:rsidRDefault="0086707B" w:rsidP="00B148D5">
            <w:pPr>
              <w:pStyle w:val="Tables"/>
              <w:rPr>
                <w:sz w:val="18"/>
                <w:szCs w:val="18"/>
              </w:rPr>
            </w:pPr>
            <w:r w:rsidRPr="004742D3">
              <w:rPr>
                <w:sz w:val="18"/>
                <w:szCs w:val="18"/>
              </w:rPr>
              <w:t>1.91</w:t>
            </w:r>
          </w:p>
        </w:tc>
        <w:tc>
          <w:tcPr>
            <w:tcW w:w="709" w:type="dxa"/>
            <w:gridSpan w:val="2"/>
            <w:tcBorders>
              <w:top w:val="nil"/>
              <w:left w:val="nil"/>
              <w:bottom w:val="nil"/>
              <w:right w:val="nil"/>
            </w:tcBorders>
            <w:shd w:val="clear" w:color="auto" w:fill="auto"/>
            <w:noWrap/>
          </w:tcPr>
          <w:p w14:paraId="6A2FB091" w14:textId="77777777" w:rsidR="0086707B" w:rsidRPr="004742D3" w:rsidRDefault="0086707B" w:rsidP="00B148D5">
            <w:pPr>
              <w:pStyle w:val="Tables"/>
              <w:rPr>
                <w:sz w:val="18"/>
                <w:szCs w:val="18"/>
              </w:rPr>
            </w:pPr>
            <w:r w:rsidRPr="004742D3">
              <w:rPr>
                <w:sz w:val="18"/>
                <w:szCs w:val="18"/>
              </w:rPr>
              <w:t>1.02</w:t>
            </w:r>
          </w:p>
        </w:tc>
        <w:tc>
          <w:tcPr>
            <w:tcW w:w="641" w:type="dxa"/>
            <w:gridSpan w:val="2"/>
            <w:tcBorders>
              <w:top w:val="nil"/>
              <w:left w:val="nil"/>
              <w:bottom w:val="nil"/>
              <w:right w:val="nil"/>
            </w:tcBorders>
            <w:shd w:val="clear" w:color="auto" w:fill="auto"/>
            <w:noWrap/>
          </w:tcPr>
          <w:p w14:paraId="4295AB8D" w14:textId="77777777" w:rsidR="0086707B" w:rsidRPr="004742D3" w:rsidRDefault="0086707B" w:rsidP="00B148D5">
            <w:pPr>
              <w:pStyle w:val="Tables"/>
              <w:rPr>
                <w:sz w:val="18"/>
                <w:szCs w:val="18"/>
              </w:rPr>
            </w:pPr>
            <w:r w:rsidRPr="004742D3">
              <w:rPr>
                <w:sz w:val="18"/>
                <w:szCs w:val="18"/>
              </w:rPr>
              <w:t>2</w:t>
            </w:r>
          </w:p>
        </w:tc>
        <w:tc>
          <w:tcPr>
            <w:tcW w:w="634" w:type="dxa"/>
            <w:gridSpan w:val="2"/>
            <w:tcBorders>
              <w:top w:val="nil"/>
              <w:left w:val="nil"/>
              <w:bottom w:val="nil"/>
              <w:right w:val="nil"/>
            </w:tcBorders>
            <w:shd w:val="clear" w:color="auto" w:fill="auto"/>
            <w:noWrap/>
          </w:tcPr>
          <w:p w14:paraId="02E32A40"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bottom w:val="nil"/>
              <w:right w:val="nil"/>
            </w:tcBorders>
            <w:shd w:val="clear" w:color="auto" w:fill="auto"/>
            <w:noWrap/>
          </w:tcPr>
          <w:p w14:paraId="5FD88D8C" w14:textId="77777777" w:rsidR="0086707B" w:rsidRPr="004742D3" w:rsidRDefault="0086707B" w:rsidP="00B148D5">
            <w:pPr>
              <w:pStyle w:val="Tables"/>
              <w:rPr>
                <w:sz w:val="18"/>
                <w:szCs w:val="18"/>
              </w:rPr>
            </w:pPr>
            <w:r w:rsidRPr="004742D3">
              <w:rPr>
                <w:sz w:val="18"/>
                <w:szCs w:val="18"/>
              </w:rPr>
              <w:t>4</w:t>
            </w:r>
          </w:p>
        </w:tc>
        <w:tc>
          <w:tcPr>
            <w:tcW w:w="2728" w:type="dxa"/>
            <w:gridSpan w:val="2"/>
            <w:tcBorders>
              <w:top w:val="nil"/>
              <w:left w:val="nil"/>
              <w:bottom w:val="nil"/>
              <w:right w:val="nil"/>
            </w:tcBorders>
            <w:shd w:val="clear" w:color="auto" w:fill="auto"/>
            <w:noWrap/>
          </w:tcPr>
          <w:p w14:paraId="11BB2BD3" w14:textId="77777777" w:rsidR="0086707B" w:rsidRPr="00227745" w:rsidRDefault="0086707B" w:rsidP="00B148D5">
            <w:pPr>
              <w:pStyle w:val="Tables"/>
            </w:pPr>
            <w:r w:rsidRPr="00227745">
              <w:t>Index to indicate the level of creditor right protection. It ranges from 0 to 4.</w:t>
            </w:r>
          </w:p>
        </w:tc>
        <w:tc>
          <w:tcPr>
            <w:tcW w:w="1560" w:type="dxa"/>
            <w:gridSpan w:val="2"/>
            <w:tcBorders>
              <w:top w:val="nil"/>
              <w:left w:val="nil"/>
              <w:bottom w:val="nil"/>
              <w:right w:val="nil"/>
            </w:tcBorders>
            <w:shd w:val="clear" w:color="auto" w:fill="auto"/>
            <w:noWrap/>
          </w:tcPr>
          <w:p w14:paraId="548D00B6" w14:textId="77777777" w:rsidR="0086707B" w:rsidRPr="004742D3" w:rsidRDefault="0086707B" w:rsidP="00B148D5">
            <w:pPr>
              <w:pStyle w:val="Tables"/>
              <w:rPr>
                <w:sz w:val="18"/>
                <w:szCs w:val="18"/>
              </w:rPr>
            </w:pPr>
            <w:r w:rsidRPr="004742D3">
              <w:rPr>
                <w:sz w:val="18"/>
                <w:szCs w:val="18"/>
              </w:rPr>
              <w:t>La Porta et al. (2002)</w:t>
            </w:r>
          </w:p>
        </w:tc>
      </w:tr>
      <w:tr w:rsidR="0086707B" w:rsidRPr="004742D3" w14:paraId="21A5221D" w14:textId="77777777" w:rsidTr="00B148D5">
        <w:trPr>
          <w:gridAfter w:val="1"/>
          <w:wAfter w:w="164" w:type="dxa"/>
          <w:trHeight w:val="300"/>
        </w:trPr>
        <w:tc>
          <w:tcPr>
            <w:tcW w:w="1997" w:type="dxa"/>
            <w:tcBorders>
              <w:top w:val="nil"/>
              <w:left w:val="nil"/>
              <w:bottom w:val="nil"/>
              <w:right w:val="nil"/>
            </w:tcBorders>
            <w:shd w:val="clear" w:color="auto" w:fill="auto"/>
            <w:noWrap/>
          </w:tcPr>
          <w:p w14:paraId="6C58460A" w14:textId="77777777" w:rsidR="0086707B" w:rsidRPr="004742D3" w:rsidRDefault="0086707B" w:rsidP="00B148D5">
            <w:pPr>
              <w:pStyle w:val="Tables"/>
              <w:rPr>
                <w:sz w:val="18"/>
                <w:szCs w:val="18"/>
              </w:rPr>
            </w:pPr>
            <w:r w:rsidRPr="004742D3">
              <w:rPr>
                <w:sz w:val="18"/>
                <w:szCs w:val="18"/>
              </w:rPr>
              <w:t>(5) wedge</w:t>
            </w:r>
          </w:p>
        </w:tc>
        <w:tc>
          <w:tcPr>
            <w:tcW w:w="704" w:type="dxa"/>
            <w:gridSpan w:val="2"/>
            <w:tcBorders>
              <w:top w:val="nil"/>
              <w:left w:val="nil"/>
              <w:bottom w:val="nil"/>
              <w:right w:val="nil"/>
            </w:tcBorders>
            <w:shd w:val="clear" w:color="auto" w:fill="auto"/>
            <w:noWrap/>
          </w:tcPr>
          <w:p w14:paraId="1183E36C" w14:textId="77777777" w:rsidR="0086707B" w:rsidRPr="004742D3" w:rsidRDefault="0086707B" w:rsidP="00B148D5">
            <w:pPr>
              <w:pStyle w:val="Tables"/>
              <w:rPr>
                <w:sz w:val="18"/>
                <w:szCs w:val="18"/>
              </w:rPr>
            </w:pPr>
            <w:r w:rsidRPr="004742D3">
              <w:rPr>
                <w:sz w:val="18"/>
                <w:szCs w:val="18"/>
              </w:rPr>
              <w:t>144</w:t>
            </w:r>
          </w:p>
        </w:tc>
        <w:tc>
          <w:tcPr>
            <w:tcW w:w="810" w:type="dxa"/>
            <w:gridSpan w:val="2"/>
            <w:tcBorders>
              <w:top w:val="nil"/>
              <w:left w:val="nil"/>
              <w:bottom w:val="nil"/>
              <w:right w:val="nil"/>
            </w:tcBorders>
            <w:shd w:val="clear" w:color="auto" w:fill="auto"/>
            <w:noWrap/>
          </w:tcPr>
          <w:p w14:paraId="0BB86E65" w14:textId="77777777" w:rsidR="0086707B" w:rsidRPr="004742D3" w:rsidRDefault="0086707B" w:rsidP="00B148D5">
            <w:pPr>
              <w:pStyle w:val="Tables"/>
              <w:rPr>
                <w:sz w:val="18"/>
                <w:szCs w:val="18"/>
              </w:rPr>
            </w:pPr>
            <w:r w:rsidRPr="004742D3">
              <w:rPr>
                <w:sz w:val="18"/>
                <w:szCs w:val="18"/>
              </w:rPr>
              <w:t>0.1</w:t>
            </w:r>
          </w:p>
        </w:tc>
        <w:tc>
          <w:tcPr>
            <w:tcW w:w="709" w:type="dxa"/>
            <w:gridSpan w:val="2"/>
            <w:tcBorders>
              <w:top w:val="nil"/>
              <w:left w:val="nil"/>
              <w:bottom w:val="nil"/>
              <w:right w:val="nil"/>
            </w:tcBorders>
            <w:shd w:val="clear" w:color="auto" w:fill="auto"/>
            <w:noWrap/>
          </w:tcPr>
          <w:p w14:paraId="3D6FC918" w14:textId="77777777" w:rsidR="0086707B" w:rsidRPr="004742D3" w:rsidRDefault="0086707B" w:rsidP="00B148D5">
            <w:pPr>
              <w:pStyle w:val="Tables"/>
              <w:rPr>
                <w:sz w:val="18"/>
                <w:szCs w:val="18"/>
              </w:rPr>
            </w:pPr>
            <w:r w:rsidRPr="004742D3">
              <w:rPr>
                <w:sz w:val="18"/>
                <w:szCs w:val="18"/>
              </w:rPr>
              <w:t>0.07</w:t>
            </w:r>
          </w:p>
        </w:tc>
        <w:tc>
          <w:tcPr>
            <w:tcW w:w="641" w:type="dxa"/>
            <w:gridSpan w:val="2"/>
            <w:tcBorders>
              <w:top w:val="nil"/>
              <w:left w:val="nil"/>
              <w:bottom w:val="nil"/>
              <w:right w:val="nil"/>
            </w:tcBorders>
            <w:shd w:val="clear" w:color="auto" w:fill="auto"/>
            <w:noWrap/>
          </w:tcPr>
          <w:p w14:paraId="04828499" w14:textId="77777777" w:rsidR="0086707B" w:rsidRPr="004742D3" w:rsidRDefault="0086707B" w:rsidP="00B148D5">
            <w:pPr>
              <w:pStyle w:val="Tables"/>
              <w:rPr>
                <w:sz w:val="18"/>
                <w:szCs w:val="18"/>
              </w:rPr>
            </w:pPr>
            <w:r w:rsidRPr="004742D3">
              <w:rPr>
                <w:sz w:val="18"/>
                <w:szCs w:val="18"/>
              </w:rPr>
              <w:t>0.09</w:t>
            </w:r>
          </w:p>
        </w:tc>
        <w:tc>
          <w:tcPr>
            <w:tcW w:w="634" w:type="dxa"/>
            <w:gridSpan w:val="2"/>
            <w:tcBorders>
              <w:top w:val="nil"/>
              <w:left w:val="nil"/>
              <w:bottom w:val="nil"/>
              <w:right w:val="nil"/>
            </w:tcBorders>
            <w:shd w:val="clear" w:color="auto" w:fill="auto"/>
            <w:noWrap/>
          </w:tcPr>
          <w:p w14:paraId="1E25A41F" w14:textId="77777777" w:rsidR="0086707B" w:rsidRPr="004742D3" w:rsidRDefault="0086707B" w:rsidP="00B148D5">
            <w:pPr>
              <w:pStyle w:val="Tables"/>
              <w:rPr>
                <w:sz w:val="18"/>
                <w:szCs w:val="18"/>
              </w:rPr>
            </w:pPr>
            <w:r w:rsidRPr="004742D3">
              <w:rPr>
                <w:sz w:val="18"/>
                <w:szCs w:val="18"/>
              </w:rPr>
              <w:t>0.01</w:t>
            </w:r>
          </w:p>
        </w:tc>
        <w:tc>
          <w:tcPr>
            <w:tcW w:w="850" w:type="dxa"/>
            <w:gridSpan w:val="2"/>
            <w:tcBorders>
              <w:top w:val="nil"/>
              <w:left w:val="nil"/>
              <w:bottom w:val="nil"/>
              <w:right w:val="nil"/>
            </w:tcBorders>
            <w:shd w:val="clear" w:color="auto" w:fill="auto"/>
            <w:noWrap/>
          </w:tcPr>
          <w:p w14:paraId="2515F821" w14:textId="77777777" w:rsidR="0086707B" w:rsidRPr="004742D3" w:rsidRDefault="0086707B" w:rsidP="00B148D5">
            <w:pPr>
              <w:pStyle w:val="Tables"/>
              <w:rPr>
                <w:sz w:val="18"/>
                <w:szCs w:val="18"/>
              </w:rPr>
            </w:pPr>
            <w:r w:rsidRPr="004742D3">
              <w:rPr>
                <w:sz w:val="18"/>
                <w:szCs w:val="18"/>
              </w:rPr>
              <w:t>0.37</w:t>
            </w:r>
          </w:p>
        </w:tc>
        <w:tc>
          <w:tcPr>
            <w:tcW w:w="2728" w:type="dxa"/>
            <w:gridSpan w:val="2"/>
            <w:tcBorders>
              <w:top w:val="nil"/>
              <w:left w:val="nil"/>
              <w:bottom w:val="nil"/>
              <w:right w:val="nil"/>
            </w:tcBorders>
            <w:shd w:val="clear" w:color="auto" w:fill="auto"/>
            <w:noWrap/>
          </w:tcPr>
          <w:p w14:paraId="56DCCCAC" w14:textId="77777777" w:rsidR="0086707B" w:rsidRPr="00227745" w:rsidRDefault="0086707B" w:rsidP="00B148D5">
            <w:pPr>
              <w:pStyle w:val="Tables"/>
            </w:pPr>
            <w:r w:rsidRPr="00227745">
              <w:t>Difference between the average control rights and cash-flow rights in a country</w:t>
            </w:r>
          </w:p>
        </w:tc>
        <w:tc>
          <w:tcPr>
            <w:tcW w:w="1560" w:type="dxa"/>
            <w:gridSpan w:val="2"/>
            <w:tcBorders>
              <w:top w:val="nil"/>
              <w:left w:val="nil"/>
              <w:bottom w:val="nil"/>
              <w:right w:val="nil"/>
            </w:tcBorders>
            <w:shd w:val="clear" w:color="auto" w:fill="auto"/>
            <w:noWrap/>
          </w:tcPr>
          <w:p w14:paraId="6FA4D5A6" w14:textId="77777777" w:rsidR="0086707B" w:rsidRPr="004742D3" w:rsidRDefault="0086707B" w:rsidP="00B148D5">
            <w:pPr>
              <w:pStyle w:val="Tables"/>
              <w:rPr>
                <w:sz w:val="18"/>
                <w:szCs w:val="18"/>
              </w:rPr>
            </w:pPr>
            <w:r w:rsidRPr="004742D3">
              <w:rPr>
                <w:sz w:val="18"/>
                <w:szCs w:val="18"/>
              </w:rPr>
              <w:t>La Porta et al. (2002)</w:t>
            </w:r>
          </w:p>
        </w:tc>
      </w:tr>
      <w:tr w:rsidR="0086707B" w:rsidRPr="006B6740" w14:paraId="30BEE196" w14:textId="77777777" w:rsidTr="00B148D5">
        <w:trPr>
          <w:gridAfter w:val="1"/>
          <w:wAfter w:w="164" w:type="dxa"/>
          <w:trHeight w:val="300"/>
        </w:trPr>
        <w:tc>
          <w:tcPr>
            <w:tcW w:w="1997" w:type="dxa"/>
            <w:tcBorders>
              <w:top w:val="nil"/>
              <w:left w:val="nil"/>
              <w:right w:val="nil"/>
            </w:tcBorders>
            <w:shd w:val="clear" w:color="auto" w:fill="auto"/>
            <w:noWrap/>
          </w:tcPr>
          <w:p w14:paraId="571A8016" w14:textId="77777777" w:rsidR="0086707B" w:rsidRPr="004742D3" w:rsidRDefault="0086707B" w:rsidP="00B148D5">
            <w:pPr>
              <w:pStyle w:val="Tables"/>
              <w:rPr>
                <w:b/>
                <w:sz w:val="20"/>
                <w:szCs w:val="20"/>
              </w:rPr>
            </w:pPr>
            <w:r w:rsidRPr="004742D3">
              <w:rPr>
                <w:b/>
                <w:sz w:val="20"/>
                <w:szCs w:val="20"/>
              </w:rPr>
              <w:t xml:space="preserve">D. International Env. Agreement </w:t>
            </w:r>
          </w:p>
        </w:tc>
        <w:tc>
          <w:tcPr>
            <w:tcW w:w="704" w:type="dxa"/>
            <w:gridSpan w:val="2"/>
            <w:tcBorders>
              <w:top w:val="nil"/>
              <w:left w:val="nil"/>
              <w:right w:val="nil"/>
            </w:tcBorders>
            <w:shd w:val="clear" w:color="auto" w:fill="auto"/>
            <w:noWrap/>
          </w:tcPr>
          <w:p w14:paraId="2EB0A5C2" w14:textId="77777777" w:rsidR="0086707B" w:rsidRPr="004742D3" w:rsidRDefault="0086707B" w:rsidP="00B148D5">
            <w:pPr>
              <w:pStyle w:val="Tables"/>
              <w:rPr>
                <w:sz w:val="20"/>
                <w:szCs w:val="20"/>
              </w:rPr>
            </w:pPr>
          </w:p>
        </w:tc>
        <w:tc>
          <w:tcPr>
            <w:tcW w:w="810" w:type="dxa"/>
            <w:gridSpan w:val="2"/>
            <w:tcBorders>
              <w:top w:val="nil"/>
              <w:left w:val="nil"/>
              <w:right w:val="nil"/>
            </w:tcBorders>
            <w:shd w:val="clear" w:color="auto" w:fill="auto"/>
            <w:noWrap/>
          </w:tcPr>
          <w:p w14:paraId="49D3CE2E" w14:textId="77777777" w:rsidR="0086707B" w:rsidRPr="004742D3" w:rsidRDefault="0086707B" w:rsidP="00B148D5">
            <w:pPr>
              <w:pStyle w:val="Tables"/>
              <w:rPr>
                <w:sz w:val="20"/>
                <w:szCs w:val="20"/>
              </w:rPr>
            </w:pPr>
          </w:p>
        </w:tc>
        <w:tc>
          <w:tcPr>
            <w:tcW w:w="709" w:type="dxa"/>
            <w:gridSpan w:val="2"/>
            <w:tcBorders>
              <w:top w:val="nil"/>
              <w:left w:val="nil"/>
              <w:right w:val="nil"/>
            </w:tcBorders>
            <w:shd w:val="clear" w:color="auto" w:fill="auto"/>
            <w:noWrap/>
          </w:tcPr>
          <w:p w14:paraId="5D999838" w14:textId="77777777" w:rsidR="0086707B" w:rsidRPr="004742D3" w:rsidRDefault="0086707B" w:rsidP="00B148D5">
            <w:pPr>
              <w:pStyle w:val="Tables"/>
              <w:rPr>
                <w:sz w:val="20"/>
                <w:szCs w:val="20"/>
              </w:rPr>
            </w:pPr>
          </w:p>
        </w:tc>
        <w:tc>
          <w:tcPr>
            <w:tcW w:w="641" w:type="dxa"/>
            <w:gridSpan w:val="2"/>
            <w:tcBorders>
              <w:top w:val="nil"/>
              <w:left w:val="nil"/>
              <w:right w:val="nil"/>
            </w:tcBorders>
            <w:shd w:val="clear" w:color="auto" w:fill="auto"/>
            <w:noWrap/>
          </w:tcPr>
          <w:p w14:paraId="6871908E" w14:textId="77777777" w:rsidR="0086707B" w:rsidRPr="004742D3" w:rsidRDefault="0086707B" w:rsidP="00B148D5">
            <w:pPr>
              <w:pStyle w:val="Tables"/>
              <w:rPr>
                <w:sz w:val="20"/>
                <w:szCs w:val="20"/>
              </w:rPr>
            </w:pPr>
          </w:p>
        </w:tc>
        <w:tc>
          <w:tcPr>
            <w:tcW w:w="634" w:type="dxa"/>
            <w:gridSpan w:val="2"/>
            <w:tcBorders>
              <w:top w:val="nil"/>
              <w:left w:val="nil"/>
              <w:right w:val="nil"/>
            </w:tcBorders>
            <w:shd w:val="clear" w:color="auto" w:fill="auto"/>
            <w:noWrap/>
          </w:tcPr>
          <w:p w14:paraId="67C38D39" w14:textId="77777777" w:rsidR="0086707B" w:rsidRPr="004742D3" w:rsidRDefault="0086707B" w:rsidP="00B148D5">
            <w:pPr>
              <w:pStyle w:val="Tables"/>
              <w:rPr>
                <w:sz w:val="20"/>
                <w:szCs w:val="20"/>
              </w:rPr>
            </w:pPr>
          </w:p>
        </w:tc>
        <w:tc>
          <w:tcPr>
            <w:tcW w:w="850" w:type="dxa"/>
            <w:gridSpan w:val="2"/>
            <w:tcBorders>
              <w:top w:val="nil"/>
              <w:left w:val="nil"/>
              <w:right w:val="nil"/>
            </w:tcBorders>
            <w:shd w:val="clear" w:color="auto" w:fill="auto"/>
            <w:noWrap/>
          </w:tcPr>
          <w:p w14:paraId="540DA44A" w14:textId="77777777" w:rsidR="0086707B" w:rsidRPr="004742D3" w:rsidRDefault="0086707B" w:rsidP="00B148D5">
            <w:pPr>
              <w:pStyle w:val="Tables"/>
              <w:rPr>
                <w:sz w:val="20"/>
                <w:szCs w:val="20"/>
              </w:rPr>
            </w:pPr>
          </w:p>
        </w:tc>
        <w:tc>
          <w:tcPr>
            <w:tcW w:w="2728" w:type="dxa"/>
            <w:gridSpan w:val="2"/>
            <w:tcBorders>
              <w:top w:val="nil"/>
              <w:left w:val="nil"/>
              <w:right w:val="nil"/>
            </w:tcBorders>
            <w:shd w:val="clear" w:color="auto" w:fill="auto"/>
            <w:noWrap/>
          </w:tcPr>
          <w:p w14:paraId="2A6489E5" w14:textId="77777777" w:rsidR="0086707B" w:rsidRPr="00227745" w:rsidRDefault="0086707B" w:rsidP="00B148D5">
            <w:pPr>
              <w:pStyle w:val="Tables"/>
            </w:pPr>
          </w:p>
        </w:tc>
        <w:tc>
          <w:tcPr>
            <w:tcW w:w="1560" w:type="dxa"/>
            <w:gridSpan w:val="2"/>
            <w:tcBorders>
              <w:top w:val="nil"/>
              <w:left w:val="nil"/>
              <w:right w:val="nil"/>
            </w:tcBorders>
            <w:shd w:val="clear" w:color="auto" w:fill="auto"/>
            <w:noWrap/>
          </w:tcPr>
          <w:p w14:paraId="6E0AD5F4" w14:textId="77777777" w:rsidR="0086707B" w:rsidRPr="004742D3" w:rsidRDefault="0086707B" w:rsidP="00B148D5">
            <w:pPr>
              <w:pStyle w:val="Tables"/>
              <w:rPr>
                <w:sz w:val="18"/>
                <w:szCs w:val="18"/>
              </w:rPr>
            </w:pPr>
          </w:p>
        </w:tc>
      </w:tr>
      <w:tr w:rsidR="0086707B" w:rsidRPr="004742D3" w14:paraId="27F5AB0D" w14:textId="77777777" w:rsidTr="00B148D5">
        <w:trPr>
          <w:gridAfter w:val="1"/>
          <w:wAfter w:w="164" w:type="dxa"/>
          <w:trHeight w:val="300"/>
        </w:trPr>
        <w:tc>
          <w:tcPr>
            <w:tcW w:w="1997" w:type="dxa"/>
            <w:tcBorders>
              <w:top w:val="nil"/>
              <w:left w:val="nil"/>
              <w:bottom w:val="nil"/>
              <w:right w:val="nil"/>
            </w:tcBorders>
            <w:shd w:val="clear" w:color="auto" w:fill="auto"/>
            <w:noWrap/>
          </w:tcPr>
          <w:p w14:paraId="25E0F95B" w14:textId="77777777" w:rsidR="0086707B" w:rsidRPr="004742D3" w:rsidRDefault="0086707B" w:rsidP="00B148D5">
            <w:pPr>
              <w:pStyle w:val="Tables"/>
              <w:rPr>
                <w:sz w:val="18"/>
                <w:szCs w:val="18"/>
              </w:rPr>
            </w:pPr>
            <w:r w:rsidRPr="004742D3">
              <w:rPr>
                <w:sz w:val="18"/>
                <w:szCs w:val="18"/>
              </w:rPr>
              <w:t>(1) Earth Summit</w:t>
            </w:r>
          </w:p>
        </w:tc>
        <w:tc>
          <w:tcPr>
            <w:tcW w:w="704" w:type="dxa"/>
            <w:gridSpan w:val="2"/>
            <w:tcBorders>
              <w:top w:val="nil"/>
              <w:left w:val="nil"/>
              <w:bottom w:val="nil"/>
              <w:right w:val="nil"/>
            </w:tcBorders>
            <w:shd w:val="clear" w:color="auto" w:fill="auto"/>
            <w:noWrap/>
          </w:tcPr>
          <w:p w14:paraId="42CAE4EF" w14:textId="77777777" w:rsidR="0086707B" w:rsidRPr="004742D3" w:rsidRDefault="0086707B" w:rsidP="00B148D5">
            <w:pPr>
              <w:pStyle w:val="Tables"/>
              <w:rPr>
                <w:sz w:val="18"/>
                <w:szCs w:val="18"/>
              </w:rPr>
            </w:pPr>
            <w:r>
              <w:rPr>
                <w:sz w:val="18"/>
                <w:szCs w:val="18"/>
              </w:rPr>
              <w:t>6530</w:t>
            </w:r>
          </w:p>
        </w:tc>
        <w:tc>
          <w:tcPr>
            <w:tcW w:w="810" w:type="dxa"/>
            <w:gridSpan w:val="2"/>
            <w:tcBorders>
              <w:top w:val="nil"/>
              <w:left w:val="nil"/>
              <w:bottom w:val="nil"/>
              <w:right w:val="nil"/>
            </w:tcBorders>
            <w:shd w:val="clear" w:color="auto" w:fill="auto"/>
            <w:noWrap/>
          </w:tcPr>
          <w:p w14:paraId="7CBD8C99" w14:textId="77777777" w:rsidR="0086707B" w:rsidRPr="004742D3" w:rsidRDefault="0086707B" w:rsidP="00B148D5">
            <w:pPr>
              <w:pStyle w:val="Tables"/>
              <w:rPr>
                <w:sz w:val="18"/>
                <w:szCs w:val="18"/>
              </w:rPr>
            </w:pPr>
            <w:r w:rsidRPr="004742D3">
              <w:rPr>
                <w:sz w:val="18"/>
                <w:szCs w:val="18"/>
              </w:rPr>
              <w:t>0.6</w:t>
            </w:r>
            <w:r>
              <w:rPr>
                <w:sz w:val="18"/>
                <w:szCs w:val="18"/>
              </w:rPr>
              <w:t>0</w:t>
            </w:r>
          </w:p>
        </w:tc>
        <w:tc>
          <w:tcPr>
            <w:tcW w:w="709" w:type="dxa"/>
            <w:gridSpan w:val="2"/>
            <w:tcBorders>
              <w:top w:val="nil"/>
              <w:left w:val="nil"/>
              <w:bottom w:val="nil"/>
              <w:right w:val="nil"/>
            </w:tcBorders>
            <w:shd w:val="clear" w:color="auto" w:fill="auto"/>
            <w:noWrap/>
          </w:tcPr>
          <w:p w14:paraId="0EC7B961" w14:textId="77777777" w:rsidR="0086707B" w:rsidRPr="004742D3" w:rsidRDefault="0086707B" w:rsidP="00B148D5">
            <w:pPr>
              <w:pStyle w:val="Tables"/>
              <w:rPr>
                <w:sz w:val="18"/>
                <w:szCs w:val="18"/>
              </w:rPr>
            </w:pPr>
            <w:r w:rsidRPr="004742D3">
              <w:rPr>
                <w:sz w:val="18"/>
                <w:szCs w:val="18"/>
              </w:rPr>
              <w:t>0.49</w:t>
            </w:r>
          </w:p>
        </w:tc>
        <w:tc>
          <w:tcPr>
            <w:tcW w:w="641" w:type="dxa"/>
            <w:gridSpan w:val="2"/>
            <w:tcBorders>
              <w:top w:val="nil"/>
              <w:left w:val="nil"/>
              <w:bottom w:val="nil"/>
              <w:right w:val="nil"/>
            </w:tcBorders>
            <w:shd w:val="clear" w:color="auto" w:fill="auto"/>
            <w:noWrap/>
          </w:tcPr>
          <w:p w14:paraId="1F1F7204" w14:textId="77777777" w:rsidR="0086707B" w:rsidRPr="004742D3" w:rsidRDefault="0086707B" w:rsidP="00B148D5">
            <w:pPr>
              <w:pStyle w:val="Tables"/>
              <w:rPr>
                <w:sz w:val="18"/>
                <w:szCs w:val="18"/>
              </w:rPr>
            </w:pPr>
            <w:r w:rsidRPr="004742D3">
              <w:rPr>
                <w:sz w:val="18"/>
                <w:szCs w:val="18"/>
              </w:rPr>
              <w:t>1</w:t>
            </w:r>
          </w:p>
        </w:tc>
        <w:tc>
          <w:tcPr>
            <w:tcW w:w="634" w:type="dxa"/>
            <w:gridSpan w:val="2"/>
            <w:tcBorders>
              <w:top w:val="nil"/>
              <w:left w:val="nil"/>
              <w:bottom w:val="nil"/>
              <w:right w:val="nil"/>
            </w:tcBorders>
            <w:shd w:val="clear" w:color="auto" w:fill="auto"/>
            <w:noWrap/>
          </w:tcPr>
          <w:p w14:paraId="1465CAA3"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bottom w:val="nil"/>
              <w:right w:val="nil"/>
            </w:tcBorders>
            <w:shd w:val="clear" w:color="auto" w:fill="auto"/>
            <w:noWrap/>
          </w:tcPr>
          <w:p w14:paraId="201B981F" w14:textId="77777777" w:rsidR="0086707B" w:rsidRPr="004742D3" w:rsidRDefault="0086707B" w:rsidP="00B148D5">
            <w:pPr>
              <w:pStyle w:val="Tables"/>
              <w:rPr>
                <w:sz w:val="18"/>
                <w:szCs w:val="18"/>
              </w:rPr>
            </w:pPr>
            <w:r w:rsidRPr="004742D3">
              <w:rPr>
                <w:sz w:val="18"/>
                <w:szCs w:val="18"/>
              </w:rPr>
              <w:t>1</w:t>
            </w:r>
          </w:p>
        </w:tc>
        <w:tc>
          <w:tcPr>
            <w:tcW w:w="2728" w:type="dxa"/>
            <w:gridSpan w:val="2"/>
            <w:tcBorders>
              <w:top w:val="nil"/>
              <w:left w:val="nil"/>
              <w:bottom w:val="nil"/>
              <w:right w:val="nil"/>
            </w:tcBorders>
            <w:shd w:val="clear" w:color="auto" w:fill="auto"/>
            <w:noWrap/>
          </w:tcPr>
          <w:p w14:paraId="5DA7ACFC" w14:textId="77777777" w:rsidR="0086707B" w:rsidRPr="00227745" w:rsidRDefault="0086707B" w:rsidP="00B148D5">
            <w:pPr>
              <w:pStyle w:val="Tables"/>
            </w:pPr>
            <w:r w:rsidRPr="00227745">
              <w:t>1 if year belongs to 1993 and beyond, and 0 otherwise.</w:t>
            </w:r>
          </w:p>
        </w:tc>
        <w:tc>
          <w:tcPr>
            <w:tcW w:w="1560" w:type="dxa"/>
            <w:gridSpan w:val="2"/>
            <w:tcBorders>
              <w:top w:val="nil"/>
              <w:left w:val="nil"/>
              <w:bottom w:val="nil"/>
              <w:right w:val="nil"/>
            </w:tcBorders>
            <w:shd w:val="clear" w:color="auto" w:fill="auto"/>
            <w:noWrap/>
          </w:tcPr>
          <w:p w14:paraId="04A42395" w14:textId="77777777" w:rsidR="0086707B" w:rsidRPr="004742D3" w:rsidRDefault="0086707B" w:rsidP="00B148D5">
            <w:pPr>
              <w:pStyle w:val="Tables"/>
              <w:rPr>
                <w:sz w:val="18"/>
                <w:szCs w:val="18"/>
              </w:rPr>
            </w:pPr>
            <w:r w:rsidRPr="004742D3">
              <w:rPr>
                <w:sz w:val="18"/>
                <w:szCs w:val="18"/>
              </w:rPr>
              <w:t>UNFCC web home page</w:t>
            </w:r>
          </w:p>
        </w:tc>
      </w:tr>
      <w:tr w:rsidR="0086707B" w:rsidRPr="004742D3" w14:paraId="046AEB2B" w14:textId="77777777" w:rsidTr="00B148D5">
        <w:trPr>
          <w:gridAfter w:val="1"/>
          <w:wAfter w:w="164" w:type="dxa"/>
          <w:trHeight w:val="300"/>
        </w:trPr>
        <w:tc>
          <w:tcPr>
            <w:tcW w:w="1997" w:type="dxa"/>
            <w:tcBorders>
              <w:top w:val="nil"/>
              <w:left w:val="nil"/>
              <w:right w:val="nil"/>
            </w:tcBorders>
            <w:shd w:val="clear" w:color="auto" w:fill="auto"/>
            <w:noWrap/>
          </w:tcPr>
          <w:p w14:paraId="16AFD3BD" w14:textId="77777777" w:rsidR="0086707B" w:rsidRPr="004742D3" w:rsidRDefault="0086707B" w:rsidP="00B148D5">
            <w:pPr>
              <w:pStyle w:val="Tables"/>
              <w:rPr>
                <w:sz w:val="18"/>
                <w:szCs w:val="18"/>
              </w:rPr>
            </w:pPr>
            <w:r w:rsidRPr="004742D3">
              <w:rPr>
                <w:sz w:val="18"/>
                <w:szCs w:val="18"/>
              </w:rPr>
              <w:t>(2) kyoto97</w:t>
            </w:r>
          </w:p>
        </w:tc>
        <w:tc>
          <w:tcPr>
            <w:tcW w:w="704" w:type="dxa"/>
            <w:gridSpan w:val="2"/>
            <w:tcBorders>
              <w:top w:val="nil"/>
              <w:left w:val="nil"/>
              <w:right w:val="nil"/>
            </w:tcBorders>
            <w:shd w:val="clear" w:color="auto" w:fill="auto"/>
            <w:noWrap/>
          </w:tcPr>
          <w:p w14:paraId="725AAE1B" w14:textId="77777777" w:rsidR="0086707B" w:rsidRPr="004742D3" w:rsidRDefault="0086707B" w:rsidP="00B148D5">
            <w:pPr>
              <w:pStyle w:val="Tables"/>
              <w:rPr>
                <w:sz w:val="18"/>
                <w:szCs w:val="18"/>
              </w:rPr>
            </w:pPr>
            <w:r>
              <w:rPr>
                <w:sz w:val="18"/>
                <w:szCs w:val="18"/>
              </w:rPr>
              <w:t>6530</w:t>
            </w:r>
          </w:p>
        </w:tc>
        <w:tc>
          <w:tcPr>
            <w:tcW w:w="810" w:type="dxa"/>
            <w:gridSpan w:val="2"/>
            <w:tcBorders>
              <w:top w:val="nil"/>
              <w:left w:val="nil"/>
              <w:right w:val="nil"/>
            </w:tcBorders>
            <w:shd w:val="clear" w:color="auto" w:fill="auto"/>
            <w:noWrap/>
          </w:tcPr>
          <w:p w14:paraId="1BD647B5" w14:textId="77777777" w:rsidR="0086707B" w:rsidRPr="004742D3" w:rsidRDefault="0086707B" w:rsidP="00B148D5">
            <w:pPr>
              <w:pStyle w:val="Tables"/>
              <w:rPr>
                <w:sz w:val="18"/>
                <w:szCs w:val="18"/>
              </w:rPr>
            </w:pPr>
            <w:r w:rsidRPr="004742D3">
              <w:rPr>
                <w:sz w:val="18"/>
                <w:szCs w:val="18"/>
              </w:rPr>
              <w:t>0.44</w:t>
            </w:r>
          </w:p>
        </w:tc>
        <w:tc>
          <w:tcPr>
            <w:tcW w:w="709" w:type="dxa"/>
            <w:gridSpan w:val="2"/>
            <w:tcBorders>
              <w:top w:val="nil"/>
              <w:left w:val="nil"/>
              <w:right w:val="nil"/>
            </w:tcBorders>
            <w:shd w:val="clear" w:color="auto" w:fill="auto"/>
            <w:noWrap/>
          </w:tcPr>
          <w:p w14:paraId="0689B503" w14:textId="77777777" w:rsidR="0086707B" w:rsidRPr="004742D3" w:rsidRDefault="0086707B" w:rsidP="00B148D5">
            <w:pPr>
              <w:pStyle w:val="Tables"/>
              <w:rPr>
                <w:sz w:val="18"/>
                <w:szCs w:val="18"/>
              </w:rPr>
            </w:pPr>
            <w:r w:rsidRPr="004742D3">
              <w:rPr>
                <w:sz w:val="18"/>
                <w:szCs w:val="18"/>
              </w:rPr>
              <w:t>0.5</w:t>
            </w:r>
          </w:p>
        </w:tc>
        <w:tc>
          <w:tcPr>
            <w:tcW w:w="641" w:type="dxa"/>
            <w:gridSpan w:val="2"/>
            <w:tcBorders>
              <w:top w:val="nil"/>
              <w:left w:val="nil"/>
              <w:right w:val="nil"/>
            </w:tcBorders>
            <w:shd w:val="clear" w:color="auto" w:fill="auto"/>
            <w:noWrap/>
          </w:tcPr>
          <w:p w14:paraId="6BF1E7CA" w14:textId="77777777" w:rsidR="0086707B" w:rsidRPr="004742D3" w:rsidRDefault="0086707B" w:rsidP="00B148D5">
            <w:pPr>
              <w:pStyle w:val="Tables"/>
              <w:rPr>
                <w:sz w:val="18"/>
                <w:szCs w:val="18"/>
              </w:rPr>
            </w:pPr>
            <w:r w:rsidRPr="004742D3">
              <w:rPr>
                <w:sz w:val="18"/>
                <w:szCs w:val="18"/>
              </w:rPr>
              <w:t>0</w:t>
            </w:r>
          </w:p>
        </w:tc>
        <w:tc>
          <w:tcPr>
            <w:tcW w:w="634" w:type="dxa"/>
            <w:gridSpan w:val="2"/>
            <w:tcBorders>
              <w:top w:val="nil"/>
              <w:left w:val="nil"/>
              <w:right w:val="nil"/>
            </w:tcBorders>
            <w:shd w:val="clear" w:color="auto" w:fill="auto"/>
            <w:noWrap/>
          </w:tcPr>
          <w:p w14:paraId="3A5616F6"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right w:val="nil"/>
            </w:tcBorders>
            <w:shd w:val="clear" w:color="auto" w:fill="auto"/>
            <w:noWrap/>
          </w:tcPr>
          <w:p w14:paraId="13BBA879" w14:textId="77777777" w:rsidR="0086707B" w:rsidRPr="004742D3" w:rsidRDefault="0086707B" w:rsidP="00B148D5">
            <w:pPr>
              <w:pStyle w:val="Tables"/>
              <w:rPr>
                <w:sz w:val="18"/>
                <w:szCs w:val="18"/>
              </w:rPr>
            </w:pPr>
            <w:r w:rsidRPr="004742D3">
              <w:rPr>
                <w:sz w:val="18"/>
                <w:szCs w:val="18"/>
              </w:rPr>
              <w:t>1</w:t>
            </w:r>
          </w:p>
        </w:tc>
        <w:tc>
          <w:tcPr>
            <w:tcW w:w="2728" w:type="dxa"/>
            <w:gridSpan w:val="2"/>
            <w:tcBorders>
              <w:top w:val="nil"/>
              <w:left w:val="nil"/>
              <w:right w:val="nil"/>
            </w:tcBorders>
            <w:shd w:val="clear" w:color="auto" w:fill="auto"/>
            <w:noWrap/>
          </w:tcPr>
          <w:p w14:paraId="213AD9EA" w14:textId="77777777" w:rsidR="0086707B" w:rsidRPr="00227745" w:rsidRDefault="0086707B" w:rsidP="00B148D5">
            <w:pPr>
              <w:pStyle w:val="Tables"/>
            </w:pPr>
            <w:r w:rsidRPr="00227745">
              <w:t>1 if year belongs to 1998 and beyond, and 0 otherwise: agreement</w:t>
            </w:r>
          </w:p>
        </w:tc>
        <w:tc>
          <w:tcPr>
            <w:tcW w:w="1560" w:type="dxa"/>
            <w:gridSpan w:val="2"/>
            <w:tcBorders>
              <w:top w:val="nil"/>
              <w:left w:val="nil"/>
              <w:right w:val="nil"/>
            </w:tcBorders>
            <w:shd w:val="clear" w:color="auto" w:fill="auto"/>
            <w:noWrap/>
          </w:tcPr>
          <w:p w14:paraId="69C6A312" w14:textId="77777777" w:rsidR="0086707B" w:rsidRPr="004742D3" w:rsidRDefault="0086707B" w:rsidP="00B148D5">
            <w:pPr>
              <w:pStyle w:val="Tables"/>
              <w:rPr>
                <w:sz w:val="18"/>
                <w:szCs w:val="18"/>
              </w:rPr>
            </w:pPr>
            <w:r w:rsidRPr="004742D3">
              <w:rPr>
                <w:sz w:val="18"/>
                <w:szCs w:val="18"/>
              </w:rPr>
              <w:t>Kyoto Protocol web home page</w:t>
            </w:r>
          </w:p>
        </w:tc>
      </w:tr>
      <w:tr w:rsidR="0086707B" w:rsidRPr="004742D3" w14:paraId="1A4288ED" w14:textId="77777777" w:rsidTr="00B148D5">
        <w:trPr>
          <w:gridAfter w:val="1"/>
          <w:wAfter w:w="164" w:type="dxa"/>
          <w:trHeight w:val="300"/>
        </w:trPr>
        <w:tc>
          <w:tcPr>
            <w:tcW w:w="1997" w:type="dxa"/>
            <w:tcBorders>
              <w:top w:val="nil"/>
              <w:left w:val="nil"/>
              <w:bottom w:val="single" w:sz="4" w:space="0" w:color="auto"/>
              <w:right w:val="nil"/>
            </w:tcBorders>
            <w:shd w:val="clear" w:color="auto" w:fill="auto"/>
            <w:noWrap/>
          </w:tcPr>
          <w:p w14:paraId="14CC8D3E" w14:textId="77777777" w:rsidR="0086707B" w:rsidRPr="004742D3" w:rsidRDefault="0086707B" w:rsidP="00B148D5">
            <w:pPr>
              <w:pStyle w:val="Tables"/>
              <w:rPr>
                <w:sz w:val="18"/>
                <w:szCs w:val="18"/>
              </w:rPr>
            </w:pPr>
            <w:r w:rsidRPr="004742D3">
              <w:rPr>
                <w:sz w:val="18"/>
                <w:szCs w:val="18"/>
              </w:rPr>
              <w:t>(3) kyoto05</w:t>
            </w:r>
          </w:p>
        </w:tc>
        <w:tc>
          <w:tcPr>
            <w:tcW w:w="704" w:type="dxa"/>
            <w:gridSpan w:val="2"/>
            <w:tcBorders>
              <w:top w:val="nil"/>
              <w:left w:val="nil"/>
              <w:bottom w:val="single" w:sz="4" w:space="0" w:color="auto"/>
              <w:right w:val="nil"/>
            </w:tcBorders>
            <w:shd w:val="clear" w:color="auto" w:fill="auto"/>
            <w:noWrap/>
          </w:tcPr>
          <w:p w14:paraId="065334FB" w14:textId="77777777" w:rsidR="0086707B" w:rsidRPr="004742D3" w:rsidRDefault="0086707B" w:rsidP="00B148D5">
            <w:pPr>
              <w:pStyle w:val="Tables"/>
              <w:rPr>
                <w:sz w:val="18"/>
                <w:szCs w:val="18"/>
              </w:rPr>
            </w:pPr>
            <w:r>
              <w:rPr>
                <w:sz w:val="18"/>
                <w:szCs w:val="18"/>
              </w:rPr>
              <w:t>6530</w:t>
            </w:r>
          </w:p>
        </w:tc>
        <w:tc>
          <w:tcPr>
            <w:tcW w:w="810" w:type="dxa"/>
            <w:gridSpan w:val="2"/>
            <w:tcBorders>
              <w:top w:val="nil"/>
              <w:left w:val="nil"/>
              <w:bottom w:val="single" w:sz="4" w:space="0" w:color="auto"/>
              <w:right w:val="nil"/>
            </w:tcBorders>
            <w:shd w:val="clear" w:color="auto" w:fill="auto"/>
            <w:noWrap/>
          </w:tcPr>
          <w:p w14:paraId="4124302A" w14:textId="77777777" w:rsidR="0086707B" w:rsidRPr="004742D3" w:rsidRDefault="0086707B" w:rsidP="00B148D5">
            <w:pPr>
              <w:pStyle w:val="Tables"/>
              <w:rPr>
                <w:sz w:val="18"/>
                <w:szCs w:val="18"/>
              </w:rPr>
            </w:pPr>
            <w:r w:rsidRPr="004742D3">
              <w:rPr>
                <w:sz w:val="18"/>
                <w:szCs w:val="18"/>
              </w:rPr>
              <w:t>0.19</w:t>
            </w:r>
          </w:p>
        </w:tc>
        <w:tc>
          <w:tcPr>
            <w:tcW w:w="709" w:type="dxa"/>
            <w:gridSpan w:val="2"/>
            <w:tcBorders>
              <w:top w:val="nil"/>
              <w:left w:val="nil"/>
              <w:bottom w:val="single" w:sz="4" w:space="0" w:color="auto"/>
              <w:right w:val="nil"/>
            </w:tcBorders>
            <w:shd w:val="clear" w:color="auto" w:fill="auto"/>
            <w:noWrap/>
          </w:tcPr>
          <w:p w14:paraId="245890D4" w14:textId="77777777" w:rsidR="0086707B" w:rsidRPr="004742D3" w:rsidRDefault="0086707B" w:rsidP="00B148D5">
            <w:pPr>
              <w:pStyle w:val="Tables"/>
              <w:rPr>
                <w:sz w:val="18"/>
                <w:szCs w:val="18"/>
              </w:rPr>
            </w:pPr>
            <w:r w:rsidRPr="004742D3">
              <w:rPr>
                <w:sz w:val="18"/>
                <w:szCs w:val="18"/>
              </w:rPr>
              <w:t>0.39</w:t>
            </w:r>
          </w:p>
        </w:tc>
        <w:tc>
          <w:tcPr>
            <w:tcW w:w="641" w:type="dxa"/>
            <w:gridSpan w:val="2"/>
            <w:tcBorders>
              <w:top w:val="nil"/>
              <w:left w:val="nil"/>
              <w:bottom w:val="single" w:sz="4" w:space="0" w:color="auto"/>
              <w:right w:val="nil"/>
            </w:tcBorders>
            <w:shd w:val="clear" w:color="auto" w:fill="auto"/>
            <w:noWrap/>
          </w:tcPr>
          <w:p w14:paraId="74B8D91F" w14:textId="77777777" w:rsidR="0086707B" w:rsidRPr="004742D3" w:rsidRDefault="0086707B" w:rsidP="00B148D5">
            <w:pPr>
              <w:pStyle w:val="Tables"/>
              <w:rPr>
                <w:sz w:val="18"/>
                <w:szCs w:val="18"/>
              </w:rPr>
            </w:pPr>
            <w:r w:rsidRPr="004742D3">
              <w:rPr>
                <w:sz w:val="18"/>
                <w:szCs w:val="18"/>
              </w:rPr>
              <w:t>0</w:t>
            </w:r>
          </w:p>
        </w:tc>
        <w:tc>
          <w:tcPr>
            <w:tcW w:w="634" w:type="dxa"/>
            <w:gridSpan w:val="2"/>
            <w:tcBorders>
              <w:top w:val="nil"/>
              <w:left w:val="nil"/>
              <w:bottom w:val="single" w:sz="4" w:space="0" w:color="auto"/>
              <w:right w:val="nil"/>
            </w:tcBorders>
            <w:shd w:val="clear" w:color="auto" w:fill="auto"/>
            <w:noWrap/>
          </w:tcPr>
          <w:p w14:paraId="726E7EBB" w14:textId="77777777" w:rsidR="0086707B" w:rsidRPr="004742D3" w:rsidRDefault="0086707B" w:rsidP="00B148D5">
            <w:pPr>
              <w:pStyle w:val="Tables"/>
              <w:rPr>
                <w:sz w:val="18"/>
                <w:szCs w:val="18"/>
              </w:rPr>
            </w:pPr>
            <w:r w:rsidRPr="004742D3">
              <w:rPr>
                <w:sz w:val="18"/>
                <w:szCs w:val="18"/>
              </w:rPr>
              <w:t>0</w:t>
            </w:r>
          </w:p>
        </w:tc>
        <w:tc>
          <w:tcPr>
            <w:tcW w:w="850" w:type="dxa"/>
            <w:gridSpan w:val="2"/>
            <w:tcBorders>
              <w:top w:val="nil"/>
              <w:left w:val="nil"/>
              <w:bottom w:val="single" w:sz="4" w:space="0" w:color="auto"/>
              <w:right w:val="nil"/>
            </w:tcBorders>
            <w:shd w:val="clear" w:color="auto" w:fill="auto"/>
            <w:noWrap/>
          </w:tcPr>
          <w:p w14:paraId="1400D189" w14:textId="77777777" w:rsidR="0086707B" w:rsidRPr="004742D3" w:rsidRDefault="0086707B" w:rsidP="00B148D5">
            <w:pPr>
              <w:pStyle w:val="Tables"/>
              <w:rPr>
                <w:sz w:val="18"/>
                <w:szCs w:val="18"/>
              </w:rPr>
            </w:pPr>
            <w:r w:rsidRPr="004742D3">
              <w:rPr>
                <w:sz w:val="18"/>
                <w:szCs w:val="18"/>
              </w:rPr>
              <w:t>1</w:t>
            </w:r>
          </w:p>
        </w:tc>
        <w:tc>
          <w:tcPr>
            <w:tcW w:w="2728" w:type="dxa"/>
            <w:gridSpan w:val="2"/>
            <w:tcBorders>
              <w:top w:val="nil"/>
              <w:left w:val="nil"/>
              <w:bottom w:val="single" w:sz="4" w:space="0" w:color="auto"/>
              <w:right w:val="nil"/>
            </w:tcBorders>
            <w:shd w:val="clear" w:color="auto" w:fill="auto"/>
            <w:noWrap/>
          </w:tcPr>
          <w:p w14:paraId="7E732326" w14:textId="77777777" w:rsidR="0086707B" w:rsidRPr="00227745" w:rsidRDefault="0086707B" w:rsidP="00B148D5">
            <w:pPr>
              <w:pStyle w:val="Tables"/>
            </w:pPr>
            <w:r w:rsidRPr="00227745">
              <w:t>1 if year belongs to 2006 and beyond, and 0 otherwise: implementation</w:t>
            </w:r>
          </w:p>
        </w:tc>
        <w:tc>
          <w:tcPr>
            <w:tcW w:w="1560" w:type="dxa"/>
            <w:gridSpan w:val="2"/>
            <w:tcBorders>
              <w:top w:val="nil"/>
              <w:left w:val="nil"/>
              <w:bottom w:val="single" w:sz="4" w:space="0" w:color="auto"/>
              <w:right w:val="nil"/>
            </w:tcBorders>
            <w:shd w:val="clear" w:color="auto" w:fill="auto"/>
            <w:noWrap/>
          </w:tcPr>
          <w:p w14:paraId="2218535B" w14:textId="77777777" w:rsidR="0086707B" w:rsidRPr="004742D3" w:rsidRDefault="0086707B" w:rsidP="00B148D5">
            <w:pPr>
              <w:pStyle w:val="Tables"/>
              <w:rPr>
                <w:sz w:val="18"/>
                <w:szCs w:val="18"/>
              </w:rPr>
            </w:pPr>
            <w:r w:rsidRPr="004742D3">
              <w:rPr>
                <w:sz w:val="18"/>
                <w:szCs w:val="18"/>
              </w:rPr>
              <w:t>Kyoto Protocol web home page</w:t>
            </w:r>
          </w:p>
        </w:tc>
      </w:tr>
    </w:tbl>
    <w:p w14:paraId="058BAECA" w14:textId="77777777" w:rsidR="0086707B" w:rsidRDefault="0086707B" w:rsidP="0086707B">
      <w:pPr>
        <w:pStyle w:val="Tables"/>
      </w:pPr>
    </w:p>
    <w:p w14:paraId="5ABD21D2" w14:textId="77777777" w:rsidR="0086707B" w:rsidRDefault="0086707B" w:rsidP="0086707B">
      <w:pPr>
        <w:widowControl/>
        <w:ind w:firstLine="0"/>
        <w:rPr>
          <w:rFonts w:eastAsia="Batang"/>
          <w:b/>
          <w:lang w:eastAsia="ko-KR"/>
        </w:rPr>
      </w:pPr>
      <w:r>
        <w:rPr>
          <w:rFonts w:eastAsia="Batang"/>
          <w:b/>
          <w:lang w:eastAsia="ko-KR"/>
        </w:rPr>
        <w:br w:type="page"/>
      </w:r>
    </w:p>
    <w:p w14:paraId="24C75619" w14:textId="77777777" w:rsidR="0086707B" w:rsidRPr="00906F79" w:rsidRDefault="0086707B" w:rsidP="0086707B">
      <w:pPr>
        <w:ind w:firstLine="0"/>
        <w:jc w:val="both"/>
        <w:rPr>
          <w:rFonts w:eastAsia="Batang"/>
          <w:b/>
          <w:lang w:eastAsia="ko-KR"/>
        </w:rPr>
      </w:pPr>
      <w:r w:rsidRPr="00906F79">
        <w:rPr>
          <w:rFonts w:eastAsia="Batang" w:hint="eastAsia"/>
          <w:b/>
          <w:lang w:eastAsia="ko-KR"/>
        </w:rPr>
        <w:lastRenderedPageBreak/>
        <w:t xml:space="preserve">Table </w:t>
      </w:r>
      <w:r w:rsidRPr="00906F79">
        <w:rPr>
          <w:rFonts w:eastAsia="Batang"/>
          <w:b/>
          <w:lang w:eastAsia="ko-KR"/>
        </w:rPr>
        <w:t>2</w:t>
      </w:r>
      <w:r w:rsidRPr="00906F79">
        <w:rPr>
          <w:rFonts w:eastAsia="Batang" w:hint="eastAsia"/>
          <w:b/>
          <w:lang w:eastAsia="ko-KR"/>
        </w:rPr>
        <w:t xml:space="preserve">: </w:t>
      </w:r>
      <w:r w:rsidRPr="00906F79">
        <w:rPr>
          <w:rFonts w:eastAsia="Batang"/>
          <w:b/>
          <w:lang w:eastAsia="ko-KR"/>
        </w:rPr>
        <w:t>E</w:t>
      </w:r>
      <w:r w:rsidRPr="00906F79">
        <w:rPr>
          <w:rFonts w:eastAsia="Batang" w:hint="eastAsia"/>
          <w:b/>
          <w:lang w:eastAsia="ko-KR"/>
        </w:rPr>
        <w:t>ffect of common law on corporate governance and shareholder right</w:t>
      </w:r>
    </w:p>
    <w:p w14:paraId="0E3ECAA3" w14:textId="77777777" w:rsidR="0086707B" w:rsidRDefault="0086707B" w:rsidP="0086707B">
      <w:pPr>
        <w:rPr>
          <w:rFonts w:eastAsia="Batang"/>
          <w:lang w:eastAsia="ko-KR"/>
        </w:rPr>
      </w:pPr>
    </w:p>
    <w:tbl>
      <w:tblPr>
        <w:tblW w:w="9282" w:type="dxa"/>
        <w:tblInd w:w="96" w:type="dxa"/>
        <w:tblLayout w:type="fixed"/>
        <w:tblLook w:val="04A0" w:firstRow="1" w:lastRow="0" w:firstColumn="1" w:lastColumn="0" w:noHBand="0" w:noVBand="1"/>
      </w:tblPr>
      <w:tblGrid>
        <w:gridCol w:w="1322"/>
        <w:gridCol w:w="1238"/>
        <w:gridCol w:w="1238"/>
        <w:gridCol w:w="1238"/>
        <w:gridCol w:w="1366"/>
        <w:gridCol w:w="1440"/>
        <w:gridCol w:w="1440"/>
      </w:tblGrid>
      <w:tr w:rsidR="0086707B" w:rsidRPr="00505C9D" w14:paraId="3E90C0DB" w14:textId="77777777" w:rsidTr="00B148D5">
        <w:trPr>
          <w:trHeight w:val="300"/>
        </w:trPr>
        <w:tc>
          <w:tcPr>
            <w:tcW w:w="1322" w:type="dxa"/>
            <w:tcBorders>
              <w:top w:val="single" w:sz="4" w:space="0" w:color="auto"/>
              <w:left w:val="nil"/>
              <w:right w:val="nil"/>
            </w:tcBorders>
            <w:shd w:val="clear" w:color="auto" w:fill="auto"/>
            <w:noWrap/>
            <w:vAlign w:val="bottom"/>
          </w:tcPr>
          <w:p w14:paraId="19F0829E" w14:textId="77777777" w:rsidR="0086707B" w:rsidRPr="00505C9D" w:rsidRDefault="0086707B" w:rsidP="00B148D5">
            <w:pPr>
              <w:pStyle w:val="Tables11pt"/>
              <w:rPr>
                <w:sz w:val="20"/>
                <w:szCs w:val="20"/>
              </w:rPr>
            </w:pPr>
          </w:p>
        </w:tc>
        <w:tc>
          <w:tcPr>
            <w:tcW w:w="6520" w:type="dxa"/>
            <w:gridSpan w:val="5"/>
            <w:tcBorders>
              <w:top w:val="single" w:sz="4" w:space="0" w:color="auto"/>
              <w:left w:val="nil"/>
              <w:bottom w:val="single" w:sz="4" w:space="0" w:color="auto"/>
              <w:right w:val="nil"/>
            </w:tcBorders>
            <w:shd w:val="clear" w:color="auto" w:fill="auto"/>
            <w:noWrap/>
            <w:vAlign w:val="bottom"/>
          </w:tcPr>
          <w:p w14:paraId="3ACFB21A" w14:textId="77777777" w:rsidR="0086707B" w:rsidRPr="00505C9D" w:rsidRDefault="0086707B" w:rsidP="00B148D5">
            <w:pPr>
              <w:pStyle w:val="Tables11pt"/>
              <w:rPr>
                <w:rFonts w:eastAsia="Batang"/>
                <w:sz w:val="20"/>
                <w:szCs w:val="20"/>
              </w:rPr>
            </w:pPr>
            <w:r w:rsidRPr="00505C9D">
              <w:rPr>
                <w:rFonts w:eastAsia="Batang" w:hint="eastAsia"/>
                <w:sz w:val="20"/>
                <w:szCs w:val="20"/>
              </w:rPr>
              <w:t>Pooled OLS</w:t>
            </w:r>
          </w:p>
        </w:tc>
        <w:tc>
          <w:tcPr>
            <w:tcW w:w="1440" w:type="dxa"/>
            <w:tcBorders>
              <w:top w:val="single" w:sz="4" w:space="0" w:color="auto"/>
              <w:left w:val="nil"/>
              <w:right w:val="nil"/>
            </w:tcBorders>
            <w:shd w:val="clear" w:color="auto" w:fill="auto"/>
            <w:noWrap/>
            <w:vAlign w:val="bottom"/>
          </w:tcPr>
          <w:p w14:paraId="4CF06CF5" w14:textId="77777777" w:rsidR="0086707B" w:rsidRPr="00505C9D" w:rsidRDefault="0086707B" w:rsidP="00B148D5">
            <w:pPr>
              <w:pStyle w:val="Tables11pt"/>
              <w:rPr>
                <w:rFonts w:eastAsia="Batang"/>
                <w:sz w:val="20"/>
                <w:szCs w:val="20"/>
              </w:rPr>
            </w:pPr>
            <w:r w:rsidRPr="00505C9D">
              <w:rPr>
                <w:rFonts w:eastAsia="Batang" w:hint="eastAsia"/>
                <w:sz w:val="20"/>
                <w:szCs w:val="20"/>
              </w:rPr>
              <w:t xml:space="preserve">Poisson </w:t>
            </w:r>
            <w:r w:rsidRPr="00505C9D">
              <w:rPr>
                <w:rFonts w:eastAsia="Batang" w:hint="eastAsia"/>
                <w:sz w:val="20"/>
                <w:szCs w:val="20"/>
                <w:u w:val="single"/>
              </w:rPr>
              <w:t>regression</w:t>
            </w:r>
          </w:p>
        </w:tc>
      </w:tr>
      <w:tr w:rsidR="0086707B" w:rsidRPr="00505C9D" w14:paraId="18FD187D" w14:textId="77777777" w:rsidTr="00B148D5">
        <w:trPr>
          <w:trHeight w:val="300"/>
        </w:trPr>
        <w:tc>
          <w:tcPr>
            <w:tcW w:w="1322" w:type="dxa"/>
            <w:tcBorders>
              <w:left w:val="nil"/>
              <w:bottom w:val="nil"/>
              <w:right w:val="nil"/>
            </w:tcBorders>
            <w:shd w:val="clear" w:color="auto" w:fill="auto"/>
            <w:noWrap/>
            <w:vAlign w:val="bottom"/>
          </w:tcPr>
          <w:p w14:paraId="524360D5" w14:textId="77777777" w:rsidR="0086707B" w:rsidRPr="00505C9D" w:rsidRDefault="0086707B" w:rsidP="00B148D5">
            <w:pPr>
              <w:pStyle w:val="Tables11pt"/>
              <w:rPr>
                <w:sz w:val="20"/>
                <w:szCs w:val="20"/>
              </w:rPr>
            </w:pPr>
          </w:p>
        </w:tc>
        <w:tc>
          <w:tcPr>
            <w:tcW w:w="1238" w:type="dxa"/>
            <w:tcBorders>
              <w:top w:val="single" w:sz="4" w:space="0" w:color="auto"/>
              <w:left w:val="nil"/>
              <w:bottom w:val="nil"/>
              <w:right w:val="nil"/>
            </w:tcBorders>
            <w:shd w:val="clear" w:color="auto" w:fill="auto"/>
            <w:noWrap/>
            <w:vAlign w:val="bottom"/>
          </w:tcPr>
          <w:p w14:paraId="7DE6ABF5" w14:textId="77777777" w:rsidR="0086707B" w:rsidRPr="00505C9D" w:rsidRDefault="0086707B" w:rsidP="00B148D5">
            <w:pPr>
              <w:pStyle w:val="Tables11pt"/>
              <w:rPr>
                <w:rFonts w:eastAsia="Batang"/>
                <w:sz w:val="20"/>
                <w:szCs w:val="20"/>
              </w:rPr>
            </w:pPr>
            <w:r w:rsidRPr="00505C9D">
              <w:rPr>
                <w:rFonts w:eastAsia="Batang" w:hint="eastAsia"/>
                <w:sz w:val="20"/>
                <w:szCs w:val="20"/>
              </w:rPr>
              <w:t>(1)</w:t>
            </w:r>
          </w:p>
        </w:tc>
        <w:tc>
          <w:tcPr>
            <w:tcW w:w="1238" w:type="dxa"/>
            <w:tcBorders>
              <w:top w:val="single" w:sz="4" w:space="0" w:color="auto"/>
              <w:left w:val="nil"/>
              <w:bottom w:val="nil"/>
              <w:right w:val="nil"/>
            </w:tcBorders>
            <w:shd w:val="clear" w:color="auto" w:fill="auto"/>
            <w:noWrap/>
            <w:vAlign w:val="bottom"/>
          </w:tcPr>
          <w:p w14:paraId="155FDB61" w14:textId="77777777" w:rsidR="0086707B" w:rsidRPr="00505C9D" w:rsidRDefault="0086707B" w:rsidP="00B148D5">
            <w:pPr>
              <w:pStyle w:val="Tables11pt"/>
              <w:rPr>
                <w:rFonts w:eastAsia="Batang"/>
                <w:sz w:val="20"/>
                <w:szCs w:val="20"/>
              </w:rPr>
            </w:pPr>
            <w:r w:rsidRPr="00505C9D">
              <w:rPr>
                <w:rFonts w:eastAsia="Batang" w:hint="eastAsia"/>
                <w:sz w:val="20"/>
                <w:szCs w:val="20"/>
              </w:rPr>
              <w:t>(2)</w:t>
            </w:r>
          </w:p>
        </w:tc>
        <w:tc>
          <w:tcPr>
            <w:tcW w:w="1238" w:type="dxa"/>
            <w:tcBorders>
              <w:top w:val="single" w:sz="4" w:space="0" w:color="auto"/>
              <w:left w:val="nil"/>
              <w:bottom w:val="nil"/>
              <w:right w:val="nil"/>
            </w:tcBorders>
            <w:shd w:val="clear" w:color="auto" w:fill="auto"/>
            <w:noWrap/>
            <w:vAlign w:val="bottom"/>
          </w:tcPr>
          <w:p w14:paraId="196FD801" w14:textId="77777777" w:rsidR="0086707B" w:rsidRPr="00505C9D" w:rsidRDefault="0086707B" w:rsidP="00B148D5">
            <w:pPr>
              <w:pStyle w:val="Tables11pt"/>
              <w:rPr>
                <w:rFonts w:eastAsia="Batang"/>
                <w:sz w:val="20"/>
                <w:szCs w:val="20"/>
              </w:rPr>
            </w:pPr>
            <w:r w:rsidRPr="00505C9D">
              <w:rPr>
                <w:rFonts w:eastAsia="Batang" w:hint="eastAsia"/>
                <w:sz w:val="20"/>
                <w:szCs w:val="20"/>
              </w:rPr>
              <w:t>(3)</w:t>
            </w:r>
          </w:p>
        </w:tc>
        <w:tc>
          <w:tcPr>
            <w:tcW w:w="1366" w:type="dxa"/>
            <w:tcBorders>
              <w:top w:val="single" w:sz="4" w:space="0" w:color="auto"/>
              <w:left w:val="nil"/>
              <w:bottom w:val="nil"/>
              <w:right w:val="nil"/>
            </w:tcBorders>
            <w:shd w:val="clear" w:color="auto" w:fill="auto"/>
            <w:noWrap/>
            <w:vAlign w:val="bottom"/>
          </w:tcPr>
          <w:p w14:paraId="72BE67F1" w14:textId="77777777" w:rsidR="0086707B" w:rsidRPr="00505C9D" w:rsidRDefault="0086707B" w:rsidP="00B148D5">
            <w:pPr>
              <w:pStyle w:val="Tables11pt"/>
              <w:rPr>
                <w:rFonts w:eastAsia="Batang"/>
                <w:sz w:val="20"/>
                <w:szCs w:val="20"/>
              </w:rPr>
            </w:pPr>
            <w:r w:rsidRPr="00505C9D">
              <w:rPr>
                <w:rFonts w:eastAsia="Batang" w:hint="eastAsia"/>
                <w:sz w:val="20"/>
                <w:szCs w:val="20"/>
              </w:rPr>
              <w:t>(4)</w:t>
            </w:r>
          </w:p>
        </w:tc>
        <w:tc>
          <w:tcPr>
            <w:tcW w:w="1440" w:type="dxa"/>
            <w:tcBorders>
              <w:top w:val="single" w:sz="4" w:space="0" w:color="auto"/>
              <w:left w:val="nil"/>
              <w:bottom w:val="nil"/>
              <w:right w:val="nil"/>
            </w:tcBorders>
            <w:shd w:val="clear" w:color="auto" w:fill="auto"/>
            <w:noWrap/>
            <w:vAlign w:val="bottom"/>
          </w:tcPr>
          <w:p w14:paraId="0DA670A1" w14:textId="77777777" w:rsidR="0086707B" w:rsidRPr="00505C9D" w:rsidRDefault="0086707B" w:rsidP="00B148D5">
            <w:pPr>
              <w:pStyle w:val="Tables11pt"/>
              <w:rPr>
                <w:rFonts w:eastAsia="Batang"/>
                <w:sz w:val="20"/>
                <w:szCs w:val="20"/>
              </w:rPr>
            </w:pPr>
            <w:r w:rsidRPr="00505C9D">
              <w:rPr>
                <w:rFonts w:eastAsia="Batang" w:hint="eastAsia"/>
                <w:sz w:val="20"/>
                <w:szCs w:val="20"/>
              </w:rPr>
              <w:t>(5)</w:t>
            </w:r>
          </w:p>
        </w:tc>
        <w:tc>
          <w:tcPr>
            <w:tcW w:w="1440" w:type="dxa"/>
            <w:tcBorders>
              <w:left w:val="nil"/>
              <w:bottom w:val="nil"/>
              <w:right w:val="nil"/>
            </w:tcBorders>
            <w:shd w:val="clear" w:color="auto" w:fill="auto"/>
            <w:noWrap/>
            <w:vAlign w:val="bottom"/>
          </w:tcPr>
          <w:p w14:paraId="453B8F81" w14:textId="77777777" w:rsidR="0086707B" w:rsidRPr="00505C9D" w:rsidRDefault="0086707B" w:rsidP="00B148D5">
            <w:pPr>
              <w:pStyle w:val="Tables11pt"/>
              <w:rPr>
                <w:rFonts w:eastAsia="Batang"/>
                <w:sz w:val="20"/>
                <w:szCs w:val="20"/>
              </w:rPr>
            </w:pPr>
            <w:r w:rsidRPr="00505C9D">
              <w:rPr>
                <w:rFonts w:eastAsia="Batang" w:hint="eastAsia"/>
                <w:sz w:val="20"/>
                <w:szCs w:val="20"/>
              </w:rPr>
              <w:t>(6)</w:t>
            </w:r>
          </w:p>
        </w:tc>
      </w:tr>
      <w:tr w:rsidR="0086707B" w:rsidRPr="00505C9D" w14:paraId="089E6D80" w14:textId="77777777" w:rsidTr="00B148D5">
        <w:trPr>
          <w:trHeight w:val="300"/>
        </w:trPr>
        <w:tc>
          <w:tcPr>
            <w:tcW w:w="1322" w:type="dxa"/>
            <w:tcBorders>
              <w:top w:val="nil"/>
              <w:left w:val="nil"/>
              <w:bottom w:val="single" w:sz="4" w:space="0" w:color="auto"/>
              <w:right w:val="nil"/>
            </w:tcBorders>
            <w:shd w:val="clear" w:color="auto" w:fill="auto"/>
            <w:noWrap/>
            <w:vAlign w:val="bottom"/>
          </w:tcPr>
          <w:p w14:paraId="40A137F8" w14:textId="77777777" w:rsidR="0086707B" w:rsidRPr="00505C9D" w:rsidRDefault="0086707B" w:rsidP="00B148D5">
            <w:pPr>
              <w:pStyle w:val="Tables11pt"/>
              <w:rPr>
                <w:sz w:val="20"/>
                <w:szCs w:val="20"/>
              </w:rPr>
            </w:pPr>
          </w:p>
        </w:tc>
        <w:tc>
          <w:tcPr>
            <w:tcW w:w="1238" w:type="dxa"/>
            <w:tcBorders>
              <w:top w:val="nil"/>
              <w:left w:val="nil"/>
              <w:bottom w:val="single" w:sz="4" w:space="0" w:color="auto"/>
              <w:right w:val="nil"/>
            </w:tcBorders>
            <w:shd w:val="clear" w:color="auto" w:fill="auto"/>
            <w:noWrap/>
            <w:vAlign w:val="bottom"/>
          </w:tcPr>
          <w:p w14:paraId="03ED06A8" w14:textId="77777777" w:rsidR="0086707B" w:rsidRPr="00505C9D" w:rsidRDefault="0086707B" w:rsidP="00B148D5">
            <w:pPr>
              <w:pStyle w:val="Tables11pt"/>
              <w:rPr>
                <w:sz w:val="20"/>
                <w:szCs w:val="20"/>
              </w:rPr>
            </w:pPr>
            <w:r w:rsidRPr="00505C9D">
              <w:rPr>
                <w:sz w:val="20"/>
                <w:szCs w:val="20"/>
              </w:rPr>
              <w:t>G-Index 41</w:t>
            </w:r>
          </w:p>
        </w:tc>
        <w:tc>
          <w:tcPr>
            <w:tcW w:w="1238" w:type="dxa"/>
            <w:tcBorders>
              <w:top w:val="nil"/>
              <w:left w:val="nil"/>
              <w:bottom w:val="single" w:sz="4" w:space="0" w:color="auto"/>
              <w:right w:val="nil"/>
            </w:tcBorders>
            <w:shd w:val="clear" w:color="auto" w:fill="auto"/>
            <w:noWrap/>
            <w:vAlign w:val="bottom"/>
          </w:tcPr>
          <w:p w14:paraId="3724FB2D" w14:textId="77777777" w:rsidR="0086707B" w:rsidRPr="00505C9D" w:rsidRDefault="0086707B" w:rsidP="00B148D5">
            <w:pPr>
              <w:pStyle w:val="Tables11pt"/>
              <w:rPr>
                <w:sz w:val="20"/>
                <w:szCs w:val="20"/>
              </w:rPr>
            </w:pPr>
            <w:r w:rsidRPr="00505C9D">
              <w:rPr>
                <w:sz w:val="20"/>
                <w:szCs w:val="20"/>
              </w:rPr>
              <w:t>G-Index 41</w:t>
            </w:r>
          </w:p>
        </w:tc>
        <w:tc>
          <w:tcPr>
            <w:tcW w:w="1238" w:type="dxa"/>
            <w:tcBorders>
              <w:top w:val="nil"/>
              <w:left w:val="nil"/>
              <w:bottom w:val="single" w:sz="4" w:space="0" w:color="auto"/>
              <w:right w:val="nil"/>
            </w:tcBorders>
            <w:shd w:val="clear" w:color="auto" w:fill="auto"/>
            <w:noWrap/>
            <w:vAlign w:val="bottom"/>
          </w:tcPr>
          <w:p w14:paraId="20C4C444" w14:textId="77777777" w:rsidR="0086707B" w:rsidRPr="00505C9D" w:rsidRDefault="0086707B" w:rsidP="00B148D5">
            <w:pPr>
              <w:pStyle w:val="Tables11pt"/>
              <w:rPr>
                <w:sz w:val="20"/>
                <w:szCs w:val="20"/>
              </w:rPr>
            </w:pPr>
            <w:r w:rsidRPr="00505C9D">
              <w:rPr>
                <w:sz w:val="20"/>
                <w:szCs w:val="20"/>
              </w:rPr>
              <w:t>G-Index 41</w:t>
            </w:r>
          </w:p>
        </w:tc>
        <w:tc>
          <w:tcPr>
            <w:tcW w:w="1366" w:type="dxa"/>
            <w:tcBorders>
              <w:top w:val="nil"/>
              <w:left w:val="nil"/>
              <w:bottom w:val="single" w:sz="4" w:space="0" w:color="auto"/>
              <w:right w:val="nil"/>
            </w:tcBorders>
            <w:shd w:val="clear" w:color="auto" w:fill="auto"/>
            <w:noWrap/>
            <w:vAlign w:val="bottom"/>
          </w:tcPr>
          <w:p w14:paraId="37AA3327" w14:textId="77777777" w:rsidR="0086707B" w:rsidRPr="00505C9D" w:rsidRDefault="0086707B" w:rsidP="00B148D5">
            <w:pPr>
              <w:pStyle w:val="Tables11pt"/>
              <w:rPr>
                <w:rFonts w:eastAsia="Batang"/>
                <w:sz w:val="20"/>
                <w:szCs w:val="20"/>
              </w:rPr>
            </w:pPr>
            <w:r w:rsidRPr="00505C9D">
              <w:rPr>
                <w:sz w:val="20"/>
                <w:szCs w:val="20"/>
              </w:rPr>
              <w:t>Shareholde</w:t>
            </w:r>
            <w:r w:rsidRPr="00505C9D">
              <w:rPr>
                <w:rFonts w:eastAsia="Batang" w:hint="eastAsia"/>
                <w:sz w:val="20"/>
                <w:szCs w:val="20"/>
              </w:rPr>
              <w:t>r Right</w:t>
            </w:r>
            <w:r w:rsidRPr="00505C9D">
              <w:rPr>
                <w:rFonts w:eastAsia="Batang"/>
                <w:sz w:val="20"/>
                <w:szCs w:val="20"/>
              </w:rPr>
              <w:t>s</w:t>
            </w:r>
          </w:p>
        </w:tc>
        <w:tc>
          <w:tcPr>
            <w:tcW w:w="1440" w:type="dxa"/>
            <w:tcBorders>
              <w:top w:val="nil"/>
              <w:left w:val="nil"/>
              <w:bottom w:val="single" w:sz="4" w:space="0" w:color="auto"/>
              <w:right w:val="nil"/>
            </w:tcBorders>
            <w:shd w:val="clear" w:color="auto" w:fill="auto"/>
            <w:noWrap/>
            <w:vAlign w:val="bottom"/>
          </w:tcPr>
          <w:p w14:paraId="17793FD4" w14:textId="77777777" w:rsidR="0086707B" w:rsidRPr="00505C9D" w:rsidRDefault="0086707B" w:rsidP="00B148D5">
            <w:pPr>
              <w:pStyle w:val="Tables11pt"/>
              <w:rPr>
                <w:sz w:val="20"/>
                <w:szCs w:val="20"/>
              </w:rPr>
            </w:pPr>
            <w:r w:rsidRPr="00505C9D">
              <w:rPr>
                <w:sz w:val="20"/>
                <w:szCs w:val="20"/>
              </w:rPr>
              <w:t>Shareholde</w:t>
            </w:r>
            <w:r w:rsidRPr="00505C9D">
              <w:rPr>
                <w:rFonts w:eastAsia="Batang" w:hint="eastAsia"/>
                <w:sz w:val="20"/>
                <w:szCs w:val="20"/>
              </w:rPr>
              <w:t>r Right</w:t>
            </w:r>
            <w:r w:rsidRPr="00505C9D">
              <w:rPr>
                <w:rFonts w:eastAsia="Batang"/>
                <w:sz w:val="20"/>
                <w:szCs w:val="20"/>
              </w:rPr>
              <w:t>s</w:t>
            </w:r>
          </w:p>
        </w:tc>
        <w:tc>
          <w:tcPr>
            <w:tcW w:w="1440" w:type="dxa"/>
            <w:tcBorders>
              <w:top w:val="nil"/>
              <w:left w:val="nil"/>
              <w:bottom w:val="single" w:sz="4" w:space="0" w:color="auto"/>
              <w:right w:val="nil"/>
            </w:tcBorders>
            <w:shd w:val="clear" w:color="auto" w:fill="auto"/>
            <w:noWrap/>
            <w:vAlign w:val="bottom"/>
          </w:tcPr>
          <w:p w14:paraId="219267A2" w14:textId="77777777" w:rsidR="0086707B" w:rsidRPr="00505C9D" w:rsidRDefault="0086707B" w:rsidP="00B148D5">
            <w:pPr>
              <w:pStyle w:val="Tables11pt"/>
              <w:rPr>
                <w:sz w:val="20"/>
                <w:szCs w:val="20"/>
              </w:rPr>
            </w:pPr>
            <w:r w:rsidRPr="00505C9D">
              <w:rPr>
                <w:sz w:val="20"/>
                <w:szCs w:val="20"/>
              </w:rPr>
              <w:t>Shareholde</w:t>
            </w:r>
            <w:r w:rsidRPr="00505C9D">
              <w:rPr>
                <w:rFonts w:eastAsia="Batang" w:hint="eastAsia"/>
                <w:sz w:val="20"/>
                <w:szCs w:val="20"/>
              </w:rPr>
              <w:t>r Right</w:t>
            </w:r>
            <w:r w:rsidRPr="00505C9D">
              <w:rPr>
                <w:rFonts w:eastAsia="Batang"/>
                <w:sz w:val="20"/>
                <w:szCs w:val="20"/>
              </w:rPr>
              <w:t>s</w:t>
            </w:r>
          </w:p>
        </w:tc>
      </w:tr>
      <w:tr w:rsidR="0086707B" w:rsidRPr="00505C9D" w14:paraId="332FA01C" w14:textId="77777777" w:rsidTr="00B148D5">
        <w:trPr>
          <w:trHeight w:val="300"/>
        </w:trPr>
        <w:tc>
          <w:tcPr>
            <w:tcW w:w="1322" w:type="dxa"/>
            <w:tcBorders>
              <w:top w:val="single" w:sz="4" w:space="0" w:color="auto"/>
              <w:left w:val="nil"/>
              <w:bottom w:val="nil"/>
              <w:right w:val="nil"/>
            </w:tcBorders>
            <w:shd w:val="clear" w:color="auto" w:fill="auto"/>
            <w:noWrap/>
            <w:vAlign w:val="bottom"/>
          </w:tcPr>
          <w:p w14:paraId="40DB6B17" w14:textId="77777777" w:rsidR="0086707B" w:rsidRPr="00505C9D" w:rsidRDefault="0086707B" w:rsidP="00B148D5">
            <w:pPr>
              <w:pStyle w:val="Tables11pt"/>
              <w:rPr>
                <w:sz w:val="20"/>
                <w:szCs w:val="20"/>
              </w:rPr>
            </w:pPr>
          </w:p>
        </w:tc>
        <w:tc>
          <w:tcPr>
            <w:tcW w:w="1238" w:type="dxa"/>
            <w:tcBorders>
              <w:top w:val="single" w:sz="4" w:space="0" w:color="auto"/>
              <w:left w:val="nil"/>
              <w:bottom w:val="nil"/>
              <w:right w:val="nil"/>
            </w:tcBorders>
            <w:shd w:val="clear" w:color="auto" w:fill="auto"/>
            <w:noWrap/>
            <w:vAlign w:val="bottom"/>
          </w:tcPr>
          <w:p w14:paraId="3CA835E9" w14:textId="77777777" w:rsidR="0086707B" w:rsidRPr="00505C9D" w:rsidRDefault="0086707B" w:rsidP="00B148D5">
            <w:pPr>
              <w:pStyle w:val="Tables11pt"/>
              <w:rPr>
                <w:sz w:val="20"/>
                <w:szCs w:val="20"/>
              </w:rPr>
            </w:pPr>
          </w:p>
        </w:tc>
        <w:tc>
          <w:tcPr>
            <w:tcW w:w="1238" w:type="dxa"/>
            <w:tcBorders>
              <w:top w:val="single" w:sz="4" w:space="0" w:color="auto"/>
              <w:left w:val="nil"/>
              <w:bottom w:val="nil"/>
              <w:right w:val="nil"/>
            </w:tcBorders>
            <w:shd w:val="clear" w:color="auto" w:fill="auto"/>
            <w:noWrap/>
            <w:vAlign w:val="bottom"/>
          </w:tcPr>
          <w:p w14:paraId="1C28FC58" w14:textId="77777777" w:rsidR="0086707B" w:rsidRPr="00505C9D" w:rsidRDefault="0086707B" w:rsidP="00B148D5">
            <w:pPr>
              <w:pStyle w:val="Tables11pt"/>
              <w:rPr>
                <w:sz w:val="20"/>
                <w:szCs w:val="20"/>
              </w:rPr>
            </w:pPr>
          </w:p>
        </w:tc>
        <w:tc>
          <w:tcPr>
            <w:tcW w:w="1238" w:type="dxa"/>
            <w:tcBorders>
              <w:top w:val="single" w:sz="4" w:space="0" w:color="auto"/>
              <w:left w:val="nil"/>
              <w:bottom w:val="nil"/>
              <w:right w:val="nil"/>
            </w:tcBorders>
            <w:shd w:val="clear" w:color="auto" w:fill="auto"/>
            <w:noWrap/>
            <w:vAlign w:val="bottom"/>
          </w:tcPr>
          <w:p w14:paraId="6B65877F" w14:textId="77777777" w:rsidR="0086707B" w:rsidRPr="00505C9D" w:rsidRDefault="0086707B" w:rsidP="00B148D5">
            <w:pPr>
              <w:pStyle w:val="Tables11pt"/>
              <w:rPr>
                <w:sz w:val="20"/>
                <w:szCs w:val="20"/>
              </w:rPr>
            </w:pPr>
          </w:p>
        </w:tc>
        <w:tc>
          <w:tcPr>
            <w:tcW w:w="1366" w:type="dxa"/>
            <w:tcBorders>
              <w:top w:val="single" w:sz="4" w:space="0" w:color="auto"/>
              <w:left w:val="nil"/>
              <w:bottom w:val="nil"/>
              <w:right w:val="nil"/>
            </w:tcBorders>
            <w:shd w:val="clear" w:color="auto" w:fill="auto"/>
            <w:noWrap/>
            <w:vAlign w:val="bottom"/>
          </w:tcPr>
          <w:p w14:paraId="310BF093" w14:textId="77777777" w:rsidR="0086707B" w:rsidRPr="00505C9D" w:rsidRDefault="0086707B" w:rsidP="00B148D5">
            <w:pPr>
              <w:pStyle w:val="Tables11pt"/>
              <w:rPr>
                <w:sz w:val="20"/>
                <w:szCs w:val="20"/>
              </w:rPr>
            </w:pPr>
          </w:p>
        </w:tc>
        <w:tc>
          <w:tcPr>
            <w:tcW w:w="1440" w:type="dxa"/>
            <w:tcBorders>
              <w:top w:val="single" w:sz="4" w:space="0" w:color="auto"/>
              <w:left w:val="nil"/>
              <w:bottom w:val="nil"/>
              <w:right w:val="nil"/>
            </w:tcBorders>
            <w:shd w:val="clear" w:color="auto" w:fill="auto"/>
            <w:noWrap/>
            <w:vAlign w:val="bottom"/>
          </w:tcPr>
          <w:p w14:paraId="3218FE5C" w14:textId="77777777" w:rsidR="0086707B" w:rsidRPr="00505C9D" w:rsidRDefault="0086707B" w:rsidP="00B148D5">
            <w:pPr>
              <w:pStyle w:val="Tables11pt"/>
              <w:rPr>
                <w:sz w:val="20"/>
                <w:szCs w:val="20"/>
              </w:rPr>
            </w:pPr>
          </w:p>
        </w:tc>
        <w:tc>
          <w:tcPr>
            <w:tcW w:w="1440" w:type="dxa"/>
            <w:tcBorders>
              <w:top w:val="single" w:sz="4" w:space="0" w:color="auto"/>
              <w:left w:val="nil"/>
              <w:bottom w:val="nil"/>
              <w:right w:val="nil"/>
            </w:tcBorders>
            <w:shd w:val="clear" w:color="auto" w:fill="auto"/>
            <w:noWrap/>
            <w:vAlign w:val="bottom"/>
          </w:tcPr>
          <w:p w14:paraId="03E2E9CA" w14:textId="77777777" w:rsidR="0086707B" w:rsidRPr="00505C9D" w:rsidRDefault="0086707B" w:rsidP="00B148D5">
            <w:pPr>
              <w:pStyle w:val="Tables11pt"/>
              <w:rPr>
                <w:sz w:val="20"/>
                <w:szCs w:val="20"/>
              </w:rPr>
            </w:pPr>
          </w:p>
        </w:tc>
      </w:tr>
      <w:tr w:rsidR="0086707B" w:rsidRPr="00505C9D" w14:paraId="2C8D99B8" w14:textId="77777777" w:rsidTr="00B148D5">
        <w:trPr>
          <w:trHeight w:val="300"/>
        </w:trPr>
        <w:tc>
          <w:tcPr>
            <w:tcW w:w="1322" w:type="dxa"/>
            <w:tcBorders>
              <w:top w:val="nil"/>
              <w:left w:val="nil"/>
              <w:bottom w:val="nil"/>
              <w:right w:val="nil"/>
            </w:tcBorders>
            <w:shd w:val="clear" w:color="auto" w:fill="auto"/>
            <w:noWrap/>
            <w:vAlign w:val="bottom"/>
          </w:tcPr>
          <w:p w14:paraId="451E0EB7" w14:textId="77777777" w:rsidR="0086707B" w:rsidRPr="00505C9D" w:rsidRDefault="0086707B" w:rsidP="00B148D5">
            <w:pPr>
              <w:pStyle w:val="Tables11pt"/>
              <w:rPr>
                <w:rFonts w:eastAsia="Batang"/>
                <w:sz w:val="20"/>
                <w:szCs w:val="20"/>
              </w:rPr>
            </w:pPr>
            <w:r w:rsidRPr="00505C9D">
              <w:rPr>
                <w:sz w:val="20"/>
                <w:szCs w:val="20"/>
              </w:rPr>
              <w:t xml:space="preserve">Legal Origin </w:t>
            </w:r>
          </w:p>
        </w:tc>
        <w:tc>
          <w:tcPr>
            <w:tcW w:w="1238" w:type="dxa"/>
            <w:tcBorders>
              <w:top w:val="nil"/>
              <w:left w:val="nil"/>
              <w:bottom w:val="nil"/>
              <w:right w:val="nil"/>
            </w:tcBorders>
            <w:shd w:val="clear" w:color="auto" w:fill="auto"/>
            <w:noWrap/>
            <w:vAlign w:val="bottom"/>
          </w:tcPr>
          <w:p w14:paraId="2D275354" w14:textId="77777777" w:rsidR="0086707B" w:rsidRPr="00505C9D" w:rsidRDefault="0086707B" w:rsidP="00B148D5">
            <w:pPr>
              <w:pStyle w:val="Tables11pt"/>
              <w:rPr>
                <w:sz w:val="20"/>
                <w:szCs w:val="20"/>
              </w:rPr>
            </w:pPr>
            <w:r w:rsidRPr="00505C9D">
              <w:rPr>
                <w:sz w:val="20"/>
                <w:szCs w:val="20"/>
              </w:rPr>
              <w:t>8.958***</w:t>
            </w:r>
          </w:p>
        </w:tc>
        <w:tc>
          <w:tcPr>
            <w:tcW w:w="1238" w:type="dxa"/>
            <w:tcBorders>
              <w:top w:val="nil"/>
              <w:left w:val="nil"/>
              <w:bottom w:val="nil"/>
              <w:right w:val="nil"/>
            </w:tcBorders>
            <w:shd w:val="clear" w:color="auto" w:fill="auto"/>
            <w:noWrap/>
            <w:vAlign w:val="bottom"/>
          </w:tcPr>
          <w:p w14:paraId="58B496FB" w14:textId="77777777" w:rsidR="0086707B" w:rsidRPr="00505C9D" w:rsidRDefault="0086707B" w:rsidP="00B148D5">
            <w:pPr>
              <w:pStyle w:val="Tables11pt"/>
              <w:rPr>
                <w:sz w:val="20"/>
                <w:szCs w:val="20"/>
              </w:rPr>
            </w:pPr>
            <w:r w:rsidRPr="00505C9D">
              <w:rPr>
                <w:sz w:val="20"/>
                <w:szCs w:val="20"/>
              </w:rPr>
              <w:t>8.958***</w:t>
            </w:r>
          </w:p>
        </w:tc>
        <w:tc>
          <w:tcPr>
            <w:tcW w:w="1238" w:type="dxa"/>
            <w:tcBorders>
              <w:top w:val="nil"/>
              <w:left w:val="nil"/>
              <w:bottom w:val="nil"/>
              <w:right w:val="nil"/>
            </w:tcBorders>
            <w:shd w:val="clear" w:color="auto" w:fill="auto"/>
            <w:noWrap/>
            <w:vAlign w:val="bottom"/>
          </w:tcPr>
          <w:p w14:paraId="2310F061" w14:textId="77777777" w:rsidR="0086707B" w:rsidRPr="00505C9D" w:rsidRDefault="0086707B" w:rsidP="00B148D5">
            <w:pPr>
              <w:pStyle w:val="Tables11pt"/>
              <w:rPr>
                <w:sz w:val="20"/>
                <w:szCs w:val="20"/>
              </w:rPr>
            </w:pPr>
            <w:r w:rsidRPr="00505C9D">
              <w:rPr>
                <w:sz w:val="20"/>
                <w:szCs w:val="20"/>
              </w:rPr>
              <w:t>15.620***</w:t>
            </w:r>
          </w:p>
        </w:tc>
        <w:tc>
          <w:tcPr>
            <w:tcW w:w="1366" w:type="dxa"/>
            <w:tcBorders>
              <w:top w:val="nil"/>
              <w:left w:val="nil"/>
              <w:bottom w:val="nil"/>
              <w:right w:val="nil"/>
            </w:tcBorders>
            <w:shd w:val="clear" w:color="auto" w:fill="auto"/>
            <w:noWrap/>
            <w:vAlign w:val="bottom"/>
          </w:tcPr>
          <w:p w14:paraId="5BE280DE" w14:textId="77777777" w:rsidR="0086707B" w:rsidRPr="00505C9D" w:rsidRDefault="0086707B" w:rsidP="00B148D5">
            <w:pPr>
              <w:pStyle w:val="Tables11pt"/>
              <w:rPr>
                <w:sz w:val="20"/>
                <w:szCs w:val="20"/>
              </w:rPr>
            </w:pPr>
            <w:r w:rsidRPr="00505C9D">
              <w:rPr>
                <w:sz w:val="20"/>
                <w:szCs w:val="20"/>
              </w:rPr>
              <w:t>1.214***</w:t>
            </w:r>
          </w:p>
        </w:tc>
        <w:tc>
          <w:tcPr>
            <w:tcW w:w="1440" w:type="dxa"/>
            <w:tcBorders>
              <w:top w:val="nil"/>
              <w:left w:val="nil"/>
              <w:bottom w:val="nil"/>
              <w:right w:val="nil"/>
            </w:tcBorders>
            <w:shd w:val="clear" w:color="auto" w:fill="auto"/>
            <w:noWrap/>
            <w:vAlign w:val="bottom"/>
          </w:tcPr>
          <w:p w14:paraId="1B76B75E" w14:textId="77777777" w:rsidR="0086707B" w:rsidRPr="00505C9D" w:rsidRDefault="0086707B" w:rsidP="00B148D5">
            <w:pPr>
              <w:pStyle w:val="Tables11pt"/>
              <w:rPr>
                <w:sz w:val="20"/>
                <w:szCs w:val="20"/>
              </w:rPr>
            </w:pPr>
            <w:r w:rsidRPr="00505C9D">
              <w:rPr>
                <w:sz w:val="20"/>
                <w:szCs w:val="20"/>
              </w:rPr>
              <w:t>1.214***</w:t>
            </w:r>
          </w:p>
        </w:tc>
        <w:tc>
          <w:tcPr>
            <w:tcW w:w="1440" w:type="dxa"/>
            <w:tcBorders>
              <w:top w:val="nil"/>
              <w:left w:val="nil"/>
              <w:bottom w:val="nil"/>
              <w:right w:val="nil"/>
            </w:tcBorders>
            <w:shd w:val="clear" w:color="auto" w:fill="auto"/>
            <w:noWrap/>
            <w:vAlign w:val="bottom"/>
          </w:tcPr>
          <w:p w14:paraId="34654826" w14:textId="77777777" w:rsidR="0086707B" w:rsidRPr="00505C9D" w:rsidRDefault="0086707B" w:rsidP="00B148D5">
            <w:pPr>
              <w:pStyle w:val="Tables11pt"/>
              <w:rPr>
                <w:sz w:val="20"/>
                <w:szCs w:val="20"/>
              </w:rPr>
            </w:pPr>
            <w:r w:rsidRPr="00505C9D">
              <w:rPr>
                <w:sz w:val="20"/>
                <w:szCs w:val="20"/>
              </w:rPr>
              <w:t>0.511***</w:t>
            </w:r>
          </w:p>
        </w:tc>
      </w:tr>
      <w:tr w:rsidR="0086707B" w:rsidRPr="00505C9D" w14:paraId="048A6126" w14:textId="77777777" w:rsidTr="00B148D5">
        <w:trPr>
          <w:trHeight w:val="300"/>
        </w:trPr>
        <w:tc>
          <w:tcPr>
            <w:tcW w:w="1322" w:type="dxa"/>
            <w:tcBorders>
              <w:top w:val="nil"/>
              <w:left w:val="nil"/>
              <w:bottom w:val="nil"/>
              <w:right w:val="nil"/>
            </w:tcBorders>
            <w:shd w:val="clear" w:color="auto" w:fill="auto"/>
            <w:noWrap/>
            <w:vAlign w:val="bottom"/>
          </w:tcPr>
          <w:p w14:paraId="4F4EFF5C" w14:textId="77777777" w:rsidR="0086707B" w:rsidRPr="00505C9D" w:rsidRDefault="0086707B" w:rsidP="00B148D5">
            <w:pPr>
              <w:pStyle w:val="Tables11pt"/>
              <w:rPr>
                <w:sz w:val="20"/>
                <w:szCs w:val="20"/>
              </w:rPr>
            </w:pPr>
          </w:p>
        </w:tc>
        <w:tc>
          <w:tcPr>
            <w:tcW w:w="1238" w:type="dxa"/>
            <w:tcBorders>
              <w:top w:val="nil"/>
              <w:left w:val="nil"/>
              <w:bottom w:val="nil"/>
              <w:right w:val="nil"/>
            </w:tcBorders>
            <w:shd w:val="clear" w:color="auto" w:fill="auto"/>
            <w:noWrap/>
            <w:vAlign w:val="bottom"/>
          </w:tcPr>
          <w:p w14:paraId="24A74C42" w14:textId="77777777" w:rsidR="0086707B" w:rsidRPr="00505C9D" w:rsidRDefault="0086707B" w:rsidP="00B148D5">
            <w:pPr>
              <w:pStyle w:val="Tables11pt"/>
              <w:rPr>
                <w:sz w:val="20"/>
                <w:szCs w:val="20"/>
              </w:rPr>
            </w:pPr>
            <w:r w:rsidRPr="00505C9D">
              <w:rPr>
                <w:sz w:val="20"/>
                <w:szCs w:val="20"/>
              </w:rPr>
              <w:t>[5.77]</w:t>
            </w:r>
          </w:p>
        </w:tc>
        <w:tc>
          <w:tcPr>
            <w:tcW w:w="1238" w:type="dxa"/>
            <w:tcBorders>
              <w:top w:val="nil"/>
              <w:left w:val="nil"/>
              <w:bottom w:val="nil"/>
              <w:right w:val="nil"/>
            </w:tcBorders>
            <w:shd w:val="clear" w:color="auto" w:fill="auto"/>
            <w:noWrap/>
            <w:vAlign w:val="bottom"/>
          </w:tcPr>
          <w:p w14:paraId="41253FAA" w14:textId="77777777" w:rsidR="0086707B" w:rsidRPr="00505C9D" w:rsidRDefault="0086707B" w:rsidP="00B148D5">
            <w:pPr>
              <w:pStyle w:val="Tables11pt"/>
              <w:rPr>
                <w:sz w:val="20"/>
                <w:szCs w:val="20"/>
              </w:rPr>
            </w:pPr>
            <w:r w:rsidRPr="00505C9D">
              <w:rPr>
                <w:sz w:val="20"/>
                <w:szCs w:val="20"/>
              </w:rPr>
              <w:t>[6.08]</w:t>
            </w:r>
          </w:p>
        </w:tc>
        <w:tc>
          <w:tcPr>
            <w:tcW w:w="1238" w:type="dxa"/>
            <w:tcBorders>
              <w:top w:val="nil"/>
              <w:left w:val="nil"/>
              <w:bottom w:val="nil"/>
              <w:right w:val="nil"/>
            </w:tcBorders>
            <w:shd w:val="clear" w:color="auto" w:fill="auto"/>
            <w:noWrap/>
            <w:vAlign w:val="bottom"/>
          </w:tcPr>
          <w:p w14:paraId="4D0845BB" w14:textId="77777777" w:rsidR="0086707B" w:rsidRPr="00505C9D" w:rsidRDefault="0086707B" w:rsidP="00B148D5">
            <w:pPr>
              <w:pStyle w:val="Tables11pt"/>
              <w:rPr>
                <w:sz w:val="20"/>
                <w:szCs w:val="20"/>
              </w:rPr>
            </w:pPr>
            <w:r w:rsidRPr="00505C9D">
              <w:rPr>
                <w:sz w:val="20"/>
                <w:szCs w:val="20"/>
              </w:rPr>
              <w:t>[24.62]</w:t>
            </w:r>
          </w:p>
        </w:tc>
        <w:tc>
          <w:tcPr>
            <w:tcW w:w="1366" w:type="dxa"/>
            <w:tcBorders>
              <w:top w:val="nil"/>
              <w:left w:val="nil"/>
              <w:bottom w:val="nil"/>
              <w:right w:val="nil"/>
            </w:tcBorders>
            <w:shd w:val="clear" w:color="auto" w:fill="auto"/>
            <w:noWrap/>
            <w:vAlign w:val="bottom"/>
          </w:tcPr>
          <w:p w14:paraId="51680321" w14:textId="77777777" w:rsidR="0086707B" w:rsidRPr="00505C9D" w:rsidRDefault="0086707B" w:rsidP="00B148D5">
            <w:pPr>
              <w:pStyle w:val="Tables11pt"/>
              <w:rPr>
                <w:sz w:val="20"/>
                <w:szCs w:val="20"/>
              </w:rPr>
            </w:pPr>
            <w:r w:rsidRPr="00505C9D">
              <w:rPr>
                <w:sz w:val="20"/>
                <w:szCs w:val="20"/>
              </w:rPr>
              <w:t>[10.32]</w:t>
            </w:r>
          </w:p>
        </w:tc>
        <w:tc>
          <w:tcPr>
            <w:tcW w:w="1440" w:type="dxa"/>
            <w:tcBorders>
              <w:top w:val="nil"/>
              <w:left w:val="nil"/>
              <w:bottom w:val="nil"/>
              <w:right w:val="nil"/>
            </w:tcBorders>
            <w:shd w:val="clear" w:color="auto" w:fill="auto"/>
            <w:noWrap/>
            <w:vAlign w:val="bottom"/>
          </w:tcPr>
          <w:p w14:paraId="1E4CEDEB" w14:textId="77777777" w:rsidR="0086707B" w:rsidRPr="00505C9D" w:rsidRDefault="0086707B" w:rsidP="00B148D5">
            <w:pPr>
              <w:pStyle w:val="Tables11pt"/>
              <w:rPr>
                <w:sz w:val="20"/>
                <w:szCs w:val="20"/>
              </w:rPr>
            </w:pPr>
            <w:r w:rsidRPr="00505C9D">
              <w:rPr>
                <w:sz w:val="20"/>
                <w:szCs w:val="20"/>
              </w:rPr>
              <w:t>[10.10]</w:t>
            </w:r>
          </w:p>
        </w:tc>
        <w:tc>
          <w:tcPr>
            <w:tcW w:w="1440" w:type="dxa"/>
            <w:tcBorders>
              <w:top w:val="nil"/>
              <w:left w:val="nil"/>
              <w:bottom w:val="nil"/>
              <w:right w:val="nil"/>
            </w:tcBorders>
            <w:shd w:val="clear" w:color="auto" w:fill="auto"/>
            <w:noWrap/>
            <w:vAlign w:val="bottom"/>
          </w:tcPr>
          <w:p w14:paraId="08501D8D" w14:textId="77777777" w:rsidR="0086707B" w:rsidRPr="00505C9D" w:rsidRDefault="0086707B" w:rsidP="00B148D5">
            <w:pPr>
              <w:pStyle w:val="Tables11pt"/>
              <w:rPr>
                <w:sz w:val="20"/>
                <w:szCs w:val="20"/>
              </w:rPr>
            </w:pPr>
            <w:r w:rsidRPr="00505C9D">
              <w:rPr>
                <w:sz w:val="20"/>
                <w:szCs w:val="20"/>
              </w:rPr>
              <w:t>[6.14x</w:t>
            </w:r>
            <w:r w:rsidRPr="00505C9D">
              <w:rPr>
                <w:noProof/>
                <w:position w:val="-6"/>
                <w:sz w:val="20"/>
                <w:szCs w:val="20"/>
                <w:lang w:val="en-US" w:eastAsia="en-US"/>
              </w:rPr>
              <w:drawing>
                <wp:inline distT="0" distB="0" distL="0" distR="0" wp14:anchorId="52F52FDF" wp14:editId="233A6EEE">
                  <wp:extent cx="186055" cy="169545"/>
                  <wp:effectExtent l="0" t="0" r="0" b="8255"/>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6055" cy="169545"/>
                          </a:xfrm>
                          <a:prstGeom prst="rect">
                            <a:avLst/>
                          </a:prstGeom>
                          <a:noFill/>
                          <a:ln>
                            <a:noFill/>
                          </a:ln>
                        </pic:spPr>
                      </pic:pic>
                    </a:graphicData>
                  </a:graphic>
                </wp:inline>
              </w:drawing>
            </w:r>
            <w:r w:rsidRPr="00505C9D">
              <w:rPr>
                <w:sz w:val="20"/>
                <w:szCs w:val="20"/>
              </w:rPr>
              <w:t>]</w:t>
            </w:r>
          </w:p>
        </w:tc>
      </w:tr>
      <w:tr w:rsidR="0086707B" w:rsidRPr="00505C9D" w14:paraId="290B04DA" w14:textId="77777777" w:rsidTr="00B148D5">
        <w:trPr>
          <w:trHeight w:val="300"/>
        </w:trPr>
        <w:tc>
          <w:tcPr>
            <w:tcW w:w="1322" w:type="dxa"/>
            <w:tcBorders>
              <w:top w:val="nil"/>
              <w:left w:val="nil"/>
              <w:bottom w:val="nil"/>
              <w:right w:val="nil"/>
            </w:tcBorders>
            <w:shd w:val="clear" w:color="auto" w:fill="auto"/>
            <w:noWrap/>
            <w:vAlign w:val="bottom"/>
          </w:tcPr>
          <w:p w14:paraId="4BBDA7C0" w14:textId="77777777" w:rsidR="0086707B" w:rsidRPr="00505C9D" w:rsidRDefault="0086707B" w:rsidP="00B148D5">
            <w:pPr>
              <w:pStyle w:val="Tables11pt"/>
              <w:rPr>
                <w:rFonts w:eastAsia="Batang"/>
                <w:sz w:val="20"/>
                <w:szCs w:val="20"/>
              </w:rPr>
            </w:pPr>
            <w:r w:rsidRPr="00505C9D">
              <w:rPr>
                <w:rFonts w:eastAsia="Batang"/>
                <w:sz w:val="20"/>
                <w:szCs w:val="20"/>
              </w:rPr>
              <w:t>Year-effect</w:t>
            </w:r>
          </w:p>
        </w:tc>
        <w:tc>
          <w:tcPr>
            <w:tcW w:w="1238" w:type="dxa"/>
            <w:tcBorders>
              <w:top w:val="nil"/>
              <w:left w:val="nil"/>
              <w:bottom w:val="nil"/>
              <w:right w:val="nil"/>
            </w:tcBorders>
            <w:shd w:val="clear" w:color="auto" w:fill="auto"/>
            <w:noWrap/>
            <w:vAlign w:val="bottom"/>
          </w:tcPr>
          <w:p w14:paraId="45D94C63"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238" w:type="dxa"/>
            <w:tcBorders>
              <w:top w:val="nil"/>
              <w:left w:val="nil"/>
              <w:bottom w:val="nil"/>
              <w:right w:val="nil"/>
            </w:tcBorders>
            <w:shd w:val="clear" w:color="auto" w:fill="auto"/>
            <w:noWrap/>
            <w:vAlign w:val="bottom"/>
          </w:tcPr>
          <w:p w14:paraId="3C54516D" w14:textId="77777777" w:rsidR="0086707B" w:rsidRPr="00505C9D" w:rsidRDefault="0086707B" w:rsidP="00B148D5">
            <w:pPr>
              <w:pStyle w:val="Tables11pt"/>
              <w:rPr>
                <w:rFonts w:eastAsia="Batang"/>
                <w:sz w:val="20"/>
                <w:szCs w:val="20"/>
              </w:rPr>
            </w:pPr>
            <w:r w:rsidRPr="00505C9D">
              <w:rPr>
                <w:rFonts w:eastAsia="Batang"/>
                <w:sz w:val="20"/>
                <w:szCs w:val="20"/>
              </w:rPr>
              <w:t>Yes</w:t>
            </w:r>
          </w:p>
        </w:tc>
        <w:tc>
          <w:tcPr>
            <w:tcW w:w="1238" w:type="dxa"/>
            <w:tcBorders>
              <w:top w:val="nil"/>
              <w:left w:val="nil"/>
              <w:bottom w:val="nil"/>
              <w:right w:val="nil"/>
            </w:tcBorders>
            <w:shd w:val="clear" w:color="auto" w:fill="auto"/>
            <w:noWrap/>
            <w:vAlign w:val="bottom"/>
          </w:tcPr>
          <w:p w14:paraId="09C485D0" w14:textId="77777777" w:rsidR="0086707B" w:rsidRPr="00505C9D" w:rsidRDefault="0086707B" w:rsidP="00B148D5">
            <w:pPr>
              <w:pStyle w:val="Tables11pt"/>
              <w:rPr>
                <w:rFonts w:eastAsia="Batang"/>
                <w:sz w:val="20"/>
                <w:szCs w:val="20"/>
              </w:rPr>
            </w:pPr>
            <w:r w:rsidRPr="00505C9D">
              <w:rPr>
                <w:rFonts w:eastAsia="Batang"/>
                <w:sz w:val="20"/>
                <w:szCs w:val="20"/>
              </w:rPr>
              <w:t>Yes</w:t>
            </w:r>
          </w:p>
        </w:tc>
        <w:tc>
          <w:tcPr>
            <w:tcW w:w="1366" w:type="dxa"/>
            <w:tcBorders>
              <w:top w:val="nil"/>
              <w:left w:val="nil"/>
              <w:bottom w:val="nil"/>
              <w:right w:val="nil"/>
            </w:tcBorders>
            <w:shd w:val="clear" w:color="auto" w:fill="auto"/>
            <w:noWrap/>
            <w:vAlign w:val="bottom"/>
          </w:tcPr>
          <w:p w14:paraId="534E2D6A"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440" w:type="dxa"/>
            <w:tcBorders>
              <w:top w:val="nil"/>
              <w:left w:val="nil"/>
              <w:bottom w:val="nil"/>
              <w:right w:val="nil"/>
            </w:tcBorders>
            <w:shd w:val="clear" w:color="auto" w:fill="auto"/>
            <w:noWrap/>
            <w:vAlign w:val="bottom"/>
          </w:tcPr>
          <w:p w14:paraId="793125D4" w14:textId="77777777" w:rsidR="0086707B" w:rsidRPr="00505C9D" w:rsidRDefault="0086707B" w:rsidP="00B148D5">
            <w:pPr>
              <w:pStyle w:val="Tables11pt"/>
              <w:rPr>
                <w:rFonts w:eastAsia="Batang"/>
                <w:sz w:val="20"/>
                <w:szCs w:val="20"/>
              </w:rPr>
            </w:pPr>
            <w:r w:rsidRPr="00505C9D">
              <w:rPr>
                <w:rFonts w:eastAsia="Batang"/>
                <w:sz w:val="20"/>
                <w:szCs w:val="20"/>
              </w:rPr>
              <w:t>Yes</w:t>
            </w:r>
          </w:p>
        </w:tc>
        <w:tc>
          <w:tcPr>
            <w:tcW w:w="1440" w:type="dxa"/>
            <w:tcBorders>
              <w:top w:val="nil"/>
              <w:left w:val="nil"/>
              <w:bottom w:val="nil"/>
              <w:right w:val="nil"/>
            </w:tcBorders>
            <w:shd w:val="clear" w:color="auto" w:fill="auto"/>
            <w:noWrap/>
            <w:vAlign w:val="bottom"/>
          </w:tcPr>
          <w:p w14:paraId="6D852C8D" w14:textId="77777777" w:rsidR="0086707B" w:rsidRPr="00505C9D" w:rsidRDefault="0086707B" w:rsidP="00B148D5">
            <w:pPr>
              <w:pStyle w:val="Tables11pt"/>
              <w:rPr>
                <w:rFonts w:eastAsia="Batang"/>
                <w:sz w:val="20"/>
                <w:szCs w:val="20"/>
              </w:rPr>
            </w:pPr>
            <w:r w:rsidRPr="00505C9D">
              <w:rPr>
                <w:rFonts w:eastAsia="Batang"/>
                <w:sz w:val="20"/>
                <w:szCs w:val="20"/>
              </w:rPr>
              <w:t>Yes</w:t>
            </w:r>
          </w:p>
        </w:tc>
      </w:tr>
      <w:tr w:rsidR="0086707B" w:rsidRPr="00505C9D" w14:paraId="20D03D07" w14:textId="77777777" w:rsidTr="00B148D5">
        <w:trPr>
          <w:trHeight w:val="300"/>
        </w:trPr>
        <w:tc>
          <w:tcPr>
            <w:tcW w:w="1322" w:type="dxa"/>
            <w:tcBorders>
              <w:top w:val="nil"/>
              <w:left w:val="nil"/>
              <w:bottom w:val="nil"/>
              <w:right w:val="nil"/>
            </w:tcBorders>
            <w:shd w:val="clear" w:color="auto" w:fill="auto"/>
            <w:noWrap/>
            <w:vAlign w:val="bottom"/>
          </w:tcPr>
          <w:p w14:paraId="26C5DAC4" w14:textId="77777777" w:rsidR="0086707B" w:rsidRPr="00505C9D" w:rsidRDefault="0086707B" w:rsidP="00B148D5">
            <w:pPr>
              <w:pStyle w:val="Tables11pt"/>
              <w:rPr>
                <w:rFonts w:eastAsia="Batang"/>
                <w:sz w:val="20"/>
                <w:szCs w:val="20"/>
              </w:rPr>
            </w:pPr>
            <w:r w:rsidRPr="00505C9D">
              <w:rPr>
                <w:rFonts w:eastAsia="Batang"/>
                <w:sz w:val="20"/>
                <w:szCs w:val="20"/>
              </w:rPr>
              <w:t>Country-effect</w:t>
            </w:r>
          </w:p>
        </w:tc>
        <w:tc>
          <w:tcPr>
            <w:tcW w:w="1238" w:type="dxa"/>
            <w:tcBorders>
              <w:top w:val="nil"/>
              <w:left w:val="nil"/>
              <w:bottom w:val="nil"/>
              <w:right w:val="nil"/>
            </w:tcBorders>
            <w:shd w:val="clear" w:color="auto" w:fill="auto"/>
            <w:noWrap/>
            <w:vAlign w:val="bottom"/>
          </w:tcPr>
          <w:p w14:paraId="0F665431"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238" w:type="dxa"/>
            <w:tcBorders>
              <w:top w:val="nil"/>
              <w:left w:val="nil"/>
              <w:bottom w:val="nil"/>
              <w:right w:val="nil"/>
            </w:tcBorders>
            <w:shd w:val="clear" w:color="auto" w:fill="auto"/>
            <w:noWrap/>
            <w:vAlign w:val="bottom"/>
          </w:tcPr>
          <w:p w14:paraId="63B89E1C"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238" w:type="dxa"/>
            <w:tcBorders>
              <w:top w:val="nil"/>
              <w:left w:val="nil"/>
              <w:bottom w:val="nil"/>
              <w:right w:val="nil"/>
            </w:tcBorders>
            <w:shd w:val="clear" w:color="auto" w:fill="auto"/>
            <w:noWrap/>
            <w:vAlign w:val="bottom"/>
          </w:tcPr>
          <w:p w14:paraId="3C968EDC" w14:textId="77777777" w:rsidR="0086707B" w:rsidRPr="00505C9D" w:rsidRDefault="0086707B" w:rsidP="00B148D5">
            <w:pPr>
              <w:pStyle w:val="Tables11pt"/>
              <w:rPr>
                <w:rFonts w:eastAsia="Batang"/>
                <w:sz w:val="20"/>
                <w:szCs w:val="20"/>
              </w:rPr>
            </w:pPr>
            <w:r w:rsidRPr="00505C9D">
              <w:rPr>
                <w:rFonts w:eastAsia="Batang"/>
                <w:sz w:val="20"/>
                <w:szCs w:val="20"/>
              </w:rPr>
              <w:t>Yes</w:t>
            </w:r>
          </w:p>
        </w:tc>
        <w:tc>
          <w:tcPr>
            <w:tcW w:w="1366" w:type="dxa"/>
            <w:tcBorders>
              <w:top w:val="nil"/>
              <w:left w:val="nil"/>
              <w:bottom w:val="nil"/>
              <w:right w:val="nil"/>
            </w:tcBorders>
            <w:shd w:val="clear" w:color="auto" w:fill="auto"/>
            <w:noWrap/>
            <w:vAlign w:val="bottom"/>
          </w:tcPr>
          <w:p w14:paraId="76F35CF8"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440" w:type="dxa"/>
            <w:tcBorders>
              <w:top w:val="nil"/>
              <w:left w:val="nil"/>
              <w:bottom w:val="nil"/>
              <w:right w:val="nil"/>
            </w:tcBorders>
            <w:shd w:val="clear" w:color="auto" w:fill="auto"/>
            <w:noWrap/>
            <w:vAlign w:val="bottom"/>
          </w:tcPr>
          <w:p w14:paraId="71428822" w14:textId="77777777" w:rsidR="0086707B" w:rsidRPr="00505C9D" w:rsidRDefault="0086707B" w:rsidP="00B148D5">
            <w:pPr>
              <w:pStyle w:val="Tables11pt"/>
              <w:rPr>
                <w:rFonts w:eastAsia="Batang"/>
                <w:sz w:val="20"/>
                <w:szCs w:val="20"/>
              </w:rPr>
            </w:pPr>
            <w:r w:rsidRPr="00505C9D">
              <w:rPr>
                <w:rFonts w:eastAsia="Batang"/>
                <w:sz w:val="20"/>
                <w:szCs w:val="20"/>
              </w:rPr>
              <w:t>No</w:t>
            </w:r>
          </w:p>
        </w:tc>
        <w:tc>
          <w:tcPr>
            <w:tcW w:w="1440" w:type="dxa"/>
            <w:tcBorders>
              <w:top w:val="nil"/>
              <w:left w:val="nil"/>
              <w:bottom w:val="nil"/>
              <w:right w:val="nil"/>
            </w:tcBorders>
            <w:shd w:val="clear" w:color="auto" w:fill="auto"/>
            <w:noWrap/>
            <w:vAlign w:val="bottom"/>
          </w:tcPr>
          <w:p w14:paraId="206D6BE0" w14:textId="77777777" w:rsidR="0086707B" w:rsidRPr="00505C9D" w:rsidRDefault="0086707B" w:rsidP="00B148D5">
            <w:pPr>
              <w:pStyle w:val="Tables11pt"/>
              <w:rPr>
                <w:rFonts w:eastAsia="Batang"/>
                <w:sz w:val="20"/>
                <w:szCs w:val="20"/>
              </w:rPr>
            </w:pPr>
            <w:r w:rsidRPr="00505C9D">
              <w:rPr>
                <w:rFonts w:eastAsia="Batang"/>
                <w:sz w:val="20"/>
                <w:szCs w:val="20"/>
              </w:rPr>
              <w:t>Yes</w:t>
            </w:r>
          </w:p>
        </w:tc>
      </w:tr>
      <w:tr w:rsidR="0086707B" w:rsidRPr="00505C9D" w14:paraId="42D34DC1" w14:textId="77777777" w:rsidTr="00B148D5">
        <w:trPr>
          <w:trHeight w:val="300"/>
        </w:trPr>
        <w:tc>
          <w:tcPr>
            <w:tcW w:w="1322" w:type="dxa"/>
            <w:tcBorders>
              <w:top w:val="nil"/>
              <w:left w:val="nil"/>
              <w:bottom w:val="nil"/>
              <w:right w:val="nil"/>
            </w:tcBorders>
            <w:shd w:val="clear" w:color="auto" w:fill="auto"/>
            <w:noWrap/>
            <w:vAlign w:val="bottom"/>
          </w:tcPr>
          <w:p w14:paraId="6FC20869" w14:textId="77777777" w:rsidR="0086707B" w:rsidRPr="00505C9D" w:rsidRDefault="0086707B" w:rsidP="00B148D5">
            <w:pPr>
              <w:pStyle w:val="Tables11pt"/>
              <w:rPr>
                <w:sz w:val="20"/>
                <w:szCs w:val="20"/>
              </w:rPr>
            </w:pPr>
            <w:r w:rsidRPr="00505C9D">
              <w:rPr>
                <w:sz w:val="20"/>
                <w:szCs w:val="20"/>
              </w:rPr>
              <w:t>Intercept</w:t>
            </w:r>
          </w:p>
        </w:tc>
        <w:tc>
          <w:tcPr>
            <w:tcW w:w="1238" w:type="dxa"/>
            <w:tcBorders>
              <w:top w:val="nil"/>
              <w:left w:val="nil"/>
              <w:bottom w:val="nil"/>
              <w:right w:val="nil"/>
            </w:tcBorders>
            <w:shd w:val="clear" w:color="auto" w:fill="auto"/>
            <w:noWrap/>
            <w:vAlign w:val="bottom"/>
          </w:tcPr>
          <w:p w14:paraId="01C9A04E" w14:textId="77777777" w:rsidR="0086707B" w:rsidRPr="00505C9D" w:rsidRDefault="0086707B" w:rsidP="00B148D5">
            <w:pPr>
              <w:pStyle w:val="Tables11pt"/>
              <w:rPr>
                <w:sz w:val="20"/>
                <w:szCs w:val="20"/>
              </w:rPr>
            </w:pPr>
            <w:r w:rsidRPr="00505C9D">
              <w:rPr>
                <w:sz w:val="20"/>
                <w:szCs w:val="20"/>
              </w:rPr>
              <w:t>41.927***</w:t>
            </w:r>
          </w:p>
        </w:tc>
        <w:tc>
          <w:tcPr>
            <w:tcW w:w="1238" w:type="dxa"/>
            <w:tcBorders>
              <w:top w:val="nil"/>
              <w:left w:val="nil"/>
              <w:bottom w:val="nil"/>
              <w:right w:val="nil"/>
            </w:tcBorders>
            <w:shd w:val="clear" w:color="auto" w:fill="auto"/>
            <w:noWrap/>
            <w:vAlign w:val="bottom"/>
          </w:tcPr>
          <w:p w14:paraId="2F178310" w14:textId="77777777" w:rsidR="0086707B" w:rsidRPr="00505C9D" w:rsidRDefault="0086707B" w:rsidP="00B148D5">
            <w:pPr>
              <w:pStyle w:val="Tables11pt"/>
              <w:rPr>
                <w:sz w:val="20"/>
                <w:szCs w:val="20"/>
              </w:rPr>
            </w:pPr>
            <w:r w:rsidRPr="00505C9D">
              <w:rPr>
                <w:sz w:val="20"/>
                <w:szCs w:val="20"/>
              </w:rPr>
              <w:t>42.888***</w:t>
            </w:r>
          </w:p>
        </w:tc>
        <w:tc>
          <w:tcPr>
            <w:tcW w:w="1238" w:type="dxa"/>
            <w:tcBorders>
              <w:top w:val="nil"/>
              <w:left w:val="nil"/>
              <w:bottom w:val="nil"/>
              <w:right w:val="nil"/>
            </w:tcBorders>
            <w:shd w:val="clear" w:color="auto" w:fill="auto"/>
            <w:noWrap/>
            <w:vAlign w:val="bottom"/>
          </w:tcPr>
          <w:p w14:paraId="340BD588" w14:textId="77777777" w:rsidR="0086707B" w:rsidRPr="00505C9D" w:rsidRDefault="0086707B" w:rsidP="00B148D5">
            <w:pPr>
              <w:pStyle w:val="Tables11pt"/>
              <w:rPr>
                <w:sz w:val="20"/>
                <w:szCs w:val="20"/>
              </w:rPr>
            </w:pPr>
            <w:r w:rsidRPr="00505C9D">
              <w:rPr>
                <w:sz w:val="20"/>
                <w:szCs w:val="20"/>
              </w:rPr>
              <w:t>44.310***</w:t>
            </w:r>
          </w:p>
        </w:tc>
        <w:tc>
          <w:tcPr>
            <w:tcW w:w="1366" w:type="dxa"/>
            <w:tcBorders>
              <w:top w:val="nil"/>
              <w:left w:val="nil"/>
              <w:bottom w:val="nil"/>
              <w:right w:val="nil"/>
            </w:tcBorders>
            <w:shd w:val="clear" w:color="auto" w:fill="auto"/>
            <w:noWrap/>
            <w:vAlign w:val="bottom"/>
          </w:tcPr>
          <w:p w14:paraId="450B8F48" w14:textId="77777777" w:rsidR="0086707B" w:rsidRPr="00505C9D" w:rsidRDefault="0086707B" w:rsidP="00B148D5">
            <w:pPr>
              <w:pStyle w:val="Tables11pt"/>
              <w:rPr>
                <w:sz w:val="20"/>
                <w:szCs w:val="20"/>
              </w:rPr>
            </w:pPr>
            <w:r w:rsidRPr="00505C9D">
              <w:rPr>
                <w:sz w:val="20"/>
                <w:szCs w:val="20"/>
              </w:rPr>
              <w:t>2.500***</w:t>
            </w:r>
          </w:p>
        </w:tc>
        <w:tc>
          <w:tcPr>
            <w:tcW w:w="1440" w:type="dxa"/>
            <w:tcBorders>
              <w:top w:val="nil"/>
              <w:left w:val="nil"/>
              <w:bottom w:val="nil"/>
              <w:right w:val="nil"/>
            </w:tcBorders>
            <w:shd w:val="clear" w:color="auto" w:fill="auto"/>
            <w:noWrap/>
            <w:vAlign w:val="bottom"/>
          </w:tcPr>
          <w:p w14:paraId="6784A4EE" w14:textId="77777777" w:rsidR="0086707B" w:rsidRPr="00505C9D" w:rsidRDefault="0086707B" w:rsidP="00B148D5">
            <w:pPr>
              <w:pStyle w:val="Tables11pt"/>
              <w:rPr>
                <w:sz w:val="20"/>
                <w:szCs w:val="20"/>
              </w:rPr>
            </w:pPr>
            <w:r w:rsidRPr="00505C9D">
              <w:rPr>
                <w:sz w:val="20"/>
                <w:szCs w:val="20"/>
              </w:rPr>
              <w:t>2.500***</w:t>
            </w:r>
          </w:p>
        </w:tc>
        <w:tc>
          <w:tcPr>
            <w:tcW w:w="1440" w:type="dxa"/>
            <w:tcBorders>
              <w:top w:val="nil"/>
              <w:left w:val="nil"/>
              <w:bottom w:val="nil"/>
              <w:right w:val="nil"/>
            </w:tcBorders>
            <w:shd w:val="clear" w:color="auto" w:fill="auto"/>
            <w:noWrap/>
            <w:vAlign w:val="bottom"/>
          </w:tcPr>
          <w:p w14:paraId="66B82E40" w14:textId="77777777" w:rsidR="0086707B" w:rsidRPr="00505C9D" w:rsidRDefault="0086707B" w:rsidP="00B148D5">
            <w:pPr>
              <w:pStyle w:val="Tables11pt"/>
              <w:rPr>
                <w:sz w:val="20"/>
                <w:szCs w:val="20"/>
              </w:rPr>
            </w:pPr>
            <w:r w:rsidRPr="00505C9D">
              <w:rPr>
                <w:sz w:val="20"/>
                <w:szCs w:val="20"/>
              </w:rPr>
              <w:t>1.099***</w:t>
            </w:r>
          </w:p>
        </w:tc>
      </w:tr>
      <w:tr w:rsidR="0086707B" w:rsidRPr="00505C9D" w14:paraId="190FF192" w14:textId="77777777" w:rsidTr="00B148D5">
        <w:trPr>
          <w:trHeight w:val="300"/>
        </w:trPr>
        <w:tc>
          <w:tcPr>
            <w:tcW w:w="1322" w:type="dxa"/>
            <w:tcBorders>
              <w:top w:val="nil"/>
              <w:left w:val="nil"/>
              <w:bottom w:val="nil"/>
              <w:right w:val="nil"/>
            </w:tcBorders>
            <w:shd w:val="clear" w:color="auto" w:fill="auto"/>
            <w:noWrap/>
            <w:vAlign w:val="bottom"/>
          </w:tcPr>
          <w:p w14:paraId="3F5AAC4C" w14:textId="77777777" w:rsidR="0086707B" w:rsidRPr="00505C9D" w:rsidRDefault="0086707B" w:rsidP="00B148D5">
            <w:pPr>
              <w:pStyle w:val="Tables11pt"/>
              <w:rPr>
                <w:sz w:val="20"/>
                <w:szCs w:val="20"/>
              </w:rPr>
            </w:pPr>
          </w:p>
        </w:tc>
        <w:tc>
          <w:tcPr>
            <w:tcW w:w="1238" w:type="dxa"/>
            <w:tcBorders>
              <w:top w:val="nil"/>
              <w:left w:val="nil"/>
              <w:bottom w:val="nil"/>
              <w:right w:val="nil"/>
            </w:tcBorders>
            <w:shd w:val="clear" w:color="auto" w:fill="auto"/>
            <w:noWrap/>
            <w:vAlign w:val="bottom"/>
          </w:tcPr>
          <w:p w14:paraId="1490A885" w14:textId="77777777" w:rsidR="0086707B" w:rsidRPr="00505C9D" w:rsidRDefault="0086707B" w:rsidP="00B148D5">
            <w:pPr>
              <w:pStyle w:val="Tables11pt"/>
              <w:rPr>
                <w:sz w:val="20"/>
                <w:szCs w:val="20"/>
              </w:rPr>
            </w:pPr>
            <w:r w:rsidRPr="00505C9D">
              <w:rPr>
                <w:sz w:val="20"/>
                <w:szCs w:val="20"/>
              </w:rPr>
              <w:t>[55.56]</w:t>
            </w:r>
          </w:p>
        </w:tc>
        <w:tc>
          <w:tcPr>
            <w:tcW w:w="1238" w:type="dxa"/>
            <w:tcBorders>
              <w:top w:val="nil"/>
              <w:left w:val="nil"/>
              <w:bottom w:val="nil"/>
              <w:right w:val="nil"/>
            </w:tcBorders>
            <w:shd w:val="clear" w:color="auto" w:fill="auto"/>
            <w:noWrap/>
            <w:vAlign w:val="bottom"/>
          </w:tcPr>
          <w:p w14:paraId="0C9D9FAE" w14:textId="77777777" w:rsidR="0086707B" w:rsidRPr="00505C9D" w:rsidRDefault="0086707B" w:rsidP="00B148D5">
            <w:pPr>
              <w:pStyle w:val="Tables11pt"/>
              <w:rPr>
                <w:sz w:val="20"/>
                <w:szCs w:val="20"/>
              </w:rPr>
            </w:pPr>
            <w:r w:rsidRPr="00505C9D">
              <w:rPr>
                <w:sz w:val="20"/>
                <w:szCs w:val="20"/>
              </w:rPr>
              <w:t>[27.24]</w:t>
            </w:r>
          </w:p>
        </w:tc>
        <w:tc>
          <w:tcPr>
            <w:tcW w:w="1238" w:type="dxa"/>
            <w:tcBorders>
              <w:top w:val="nil"/>
              <w:left w:val="nil"/>
              <w:bottom w:val="nil"/>
              <w:right w:val="nil"/>
            </w:tcBorders>
            <w:shd w:val="clear" w:color="auto" w:fill="auto"/>
            <w:noWrap/>
            <w:vAlign w:val="bottom"/>
          </w:tcPr>
          <w:p w14:paraId="160393E1" w14:textId="77777777" w:rsidR="0086707B" w:rsidRPr="00505C9D" w:rsidRDefault="0086707B" w:rsidP="00B148D5">
            <w:pPr>
              <w:pStyle w:val="Tables11pt"/>
              <w:rPr>
                <w:sz w:val="20"/>
                <w:szCs w:val="20"/>
              </w:rPr>
            </w:pPr>
            <w:r w:rsidRPr="00505C9D">
              <w:rPr>
                <w:sz w:val="20"/>
                <w:szCs w:val="20"/>
              </w:rPr>
              <w:t>[48.10]</w:t>
            </w:r>
          </w:p>
        </w:tc>
        <w:tc>
          <w:tcPr>
            <w:tcW w:w="1366" w:type="dxa"/>
            <w:tcBorders>
              <w:top w:val="nil"/>
              <w:left w:val="nil"/>
              <w:bottom w:val="nil"/>
              <w:right w:val="nil"/>
            </w:tcBorders>
            <w:shd w:val="clear" w:color="auto" w:fill="auto"/>
            <w:noWrap/>
            <w:vAlign w:val="bottom"/>
          </w:tcPr>
          <w:p w14:paraId="224CE506" w14:textId="77777777" w:rsidR="0086707B" w:rsidRPr="00505C9D" w:rsidRDefault="0086707B" w:rsidP="00B148D5">
            <w:pPr>
              <w:pStyle w:val="Tables11pt"/>
              <w:rPr>
                <w:sz w:val="20"/>
                <w:szCs w:val="20"/>
              </w:rPr>
            </w:pPr>
            <w:r w:rsidRPr="00505C9D">
              <w:rPr>
                <w:sz w:val="20"/>
                <w:szCs w:val="20"/>
              </w:rPr>
              <w:t>[48.18]</w:t>
            </w:r>
          </w:p>
        </w:tc>
        <w:tc>
          <w:tcPr>
            <w:tcW w:w="1440" w:type="dxa"/>
            <w:tcBorders>
              <w:top w:val="nil"/>
              <w:left w:val="nil"/>
              <w:bottom w:val="nil"/>
              <w:right w:val="nil"/>
            </w:tcBorders>
            <w:shd w:val="clear" w:color="auto" w:fill="auto"/>
            <w:noWrap/>
            <w:vAlign w:val="bottom"/>
          </w:tcPr>
          <w:p w14:paraId="7AFAD930" w14:textId="77777777" w:rsidR="0086707B" w:rsidRPr="00505C9D" w:rsidRDefault="0086707B" w:rsidP="00B148D5">
            <w:pPr>
              <w:pStyle w:val="Tables11pt"/>
              <w:rPr>
                <w:sz w:val="20"/>
                <w:szCs w:val="20"/>
              </w:rPr>
            </w:pPr>
            <w:r w:rsidRPr="00505C9D">
              <w:rPr>
                <w:sz w:val="20"/>
                <w:szCs w:val="20"/>
              </w:rPr>
              <w:t>[8.93]</w:t>
            </w:r>
          </w:p>
        </w:tc>
        <w:tc>
          <w:tcPr>
            <w:tcW w:w="1440" w:type="dxa"/>
            <w:tcBorders>
              <w:top w:val="nil"/>
              <w:left w:val="nil"/>
              <w:bottom w:val="nil"/>
              <w:right w:val="nil"/>
            </w:tcBorders>
            <w:shd w:val="clear" w:color="auto" w:fill="auto"/>
            <w:noWrap/>
            <w:vAlign w:val="bottom"/>
          </w:tcPr>
          <w:p w14:paraId="046B079E" w14:textId="77777777" w:rsidR="0086707B" w:rsidRPr="00505C9D" w:rsidRDefault="0086707B" w:rsidP="00B148D5">
            <w:pPr>
              <w:pStyle w:val="Tables11pt"/>
              <w:rPr>
                <w:sz w:val="20"/>
                <w:szCs w:val="20"/>
              </w:rPr>
            </w:pPr>
            <w:r w:rsidRPr="00505C9D">
              <w:rPr>
                <w:sz w:val="20"/>
                <w:szCs w:val="20"/>
              </w:rPr>
              <w:t>[2.99x</w:t>
            </w:r>
            <w:r w:rsidRPr="00505C9D">
              <w:rPr>
                <w:noProof/>
                <w:position w:val="-6"/>
                <w:sz w:val="20"/>
                <w:szCs w:val="20"/>
                <w:lang w:val="en-US" w:eastAsia="en-US"/>
              </w:rPr>
              <w:drawing>
                <wp:inline distT="0" distB="0" distL="0" distR="0" wp14:anchorId="13BE700A" wp14:editId="0BDCDF5E">
                  <wp:extent cx="186055" cy="169545"/>
                  <wp:effectExtent l="0" t="0" r="0" b="8255"/>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6055" cy="169545"/>
                          </a:xfrm>
                          <a:prstGeom prst="rect">
                            <a:avLst/>
                          </a:prstGeom>
                          <a:noFill/>
                          <a:ln>
                            <a:noFill/>
                          </a:ln>
                        </pic:spPr>
                      </pic:pic>
                    </a:graphicData>
                  </a:graphic>
                </wp:inline>
              </w:drawing>
            </w:r>
            <w:r w:rsidRPr="00505C9D">
              <w:rPr>
                <w:sz w:val="20"/>
                <w:szCs w:val="20"/>
              </w:rPr>
              <w:t>]</w:t>
            </w:r>
          </w:p>
        </w:tc>
      </w:tr>
      <w:tr w:rsidR="0086707B" w:rsidRPr="00505C9D" w14:paraId="7C8A34CD" w14:textId="77777777" w:rsidTr="00B148D5">
        <w:trPr>
          <w:trHeight w:val="300"/>
        </w:trPr>
        <w:tc>
          <w:tcPr>
            <w:tcW w:w="1322" w:type="dxa"/>
            <w:tcBorders>
              <w:top w:val="nil"/>
              <w:left w:val="nil"/>
              <w:bottom w:val="nil"/>
              <w:right w:val="nil"/>
            </w:tcBorders>
            <w:shd w:val="clear" w:color="auto" w:fill="auto"/>
            <w:noWrap/>
            <w:vAlign w:val="bottom"/>
          </w:tcPr>
          <w:p w14:paraId="13B33839" w14:textId="77777777" w:rsidR="0086707B" w:rsidRPr="00505C9D" w:rsidRDefault="0086707B" w:rsidP="00B148D5">
            <w:pPr>
              <w:pStyle w:val="Tables11pt"/>
              <w:rPr>
                <w:sz w:val="20"/>
                <w:szCs w:val="20"/>
              </w:rPr>
            </w:pPr>
          </w:p>
        </w:tc>
        <w:tc>
          <w:tcPr>
            <w:tcW w:w="1238" w:type="dxa"/>
            <w:tcBorders>
              <w:top w:val="nil"/>
              <w:left w:val="nil"/>
              <w:bottom w:val="nil"/>
              <w:right w:val="nil"/>
            </w:tcBorders>
            <w:shd w:val="clear" w:color="auto" w:fill="auto"/>
            <w:noWrap/>
            <w:vAlign w:val="bottom"/>
          </w:tcPr>
          <w:p w14:paraId="5D808F70" w14:textId="77777777" w:rsidR="0086707B" w:rsidRPr="00505C9D" w:rsidRDefault="0086707B" w:rsidP="00B148D5">
            <w:pPr>
              <w:pStyle w:val="Tables11pt"/>
              <w:rPr>
                <w:sz w:val="20"/>
                <w:szCs w:val="20"/>
              </w:rPr>
            </w:pPr>
          </w:p>
        </w:tc>
        <w:tc>
          <w:tcPr>
            <w:tcW w:w="1238" w:type="dxa"/>
            <w:tcBorders>
              <w:top w:val="nil"/>
              <w:left w:val="nil"/>
              <w:bottom w:val="nil"/>
              <w:right w:val="nil"/>
            </w:tcBorders>
            <w:shd w:val="clear" w:color="auto" w:fill="auto"/>
            <w:noWrap/>
            <w:vAlign w:val="bottom"/>
          </w:tcPr>
          <w:p w14:paraId="280BA663" w14:textId="77777777" w:rsidR="0086707B" w:rsidRPr="00505C9D" w:rsidRDefault="0086707B" w:rsidP="00B148D5">
            <w:pPr>
              <w:pStyle w:val="Tables11pt"/>
              <w:rPr>
                <w:sz w:val="20"/>
                <w:szCs w:val="20"/>
              </w:rPr>
            </w:pPr>
          </w:p>
        </w:tc>
        <w:tc>
          <w:tcPr>
            <w:tcW w:w="1238" w:type="dxa"/>
            <w:tcBorders>
              <w:top w:val="nil"/>
              <w:left w:val="nil"/>
              <w:bottom w:val="nil"/>
              <w:right w:val="nil"/>
            </w:tcBorders>
            <w:shd w:val="clear" w:color="auto" w:fill="auto"/>
            <w:noWrap/>
            <w:vAlign w:val="bottom"/>
          </w:tcPr>
          <w:p w14:paraId="61FAF09D" w14:textId="77777777" w:rsidR="0086707B" w:rsidRPr="00505C9D" w:rsidRDefault="0086707B" w:rsidP="00B148D5">
            <w:pPr>
              <w:pStyle w:val="Tables11pt"/>
              <w:rPr>
                <w:sz w:val="20"/>
                <w:szCs w:val="20"/>
              </w:rPr>
            </w:pPr>
          </w:p>
        </w:tc>
        <w:tc>
          <w:tcPr>
            <w:tcW w:w="1366" w:type="dxa"/>
            <w:tcBorders>
              <w:top w:val="nil"/>
              <w:left w:val="nil"/>
              <w:bottom w:val="nil"/>
              <w:right w:val="nil"/>
            </w:tcBorders>
            <w:shd w:val="clear" w:color="auto" w:fill="auto"/>
            <w:noWrap/>
            <w:vAlign w:val="bottom"/>
          </w:tcPr>
          <w:p w14:paraId="72EDB044" w14:textId="77777777" w:rsidR="0086707B" w:rsidRPr="00505C9D" w:rsidRDefault="0086707B" w:rsidP="00B148D5">
            <w:pPr>
              <w:pStyle w:val="Tables11pt"/>
              <w:rPr>
                <w:sz w:val="20"/>
                <w:szCs w:val="20"/>
              </w:rPr>
            </w:pPr>
          </w:p>
        </w:tc>
        <w:tc>
          <w:tcPr>
            <w:tcW w:w="1440" w:type="dxa"/>
            <w:tcBorders>
              <w:top w:val="nil"/>
              <w:left w:val="nil"/>
              <w:bottom w:val="nil"/>
              <w:right w:val="nil"/>
            </w:tcBorders>
            <w:shd w:val="clear" w:color="auto" w:fill="auto"/>
            <w:noWrap/>
            <w:vAlign w:val="bottom"/>
          </w:tcPr>
          <w:p w14:paraId="23901CDD" w14:textId="77777777" w:rsidR="0086707B" w:rsidRPr="00505C9D" w:rsidRDefault="0086707B" w:rsidP="00B148D5">
            <w:pPr>
              <w:pStyle w:val="Tables11pt"/>
              <w:rPr>
                <w:sz w:val="20"/>
                <w:szCs w:val="20"/>
              </w:rPr>
            </w:pPr>
          </w:p>
        </w:tc>
        <w:tc>
          <w:tcPr>
            <w:tcW w:w="1440" w:type="dxa"/>
            <w:tcBorders>
              <w:top w:val="nil"/>
              <w:left w:val="nil"/>
              <w:bottom w:val="nil"/>
              <w:right w:val="nil"/>
            </w:tcBorders>
            <w:shd w:val="clear" w:color="auto" w:fill="auto"/>
            <w:noWrap/>
            <w:vAlign w:val="bottom"/>
          </w:tcPr>
          <w:p w14:paraId="6AAFFD02" w14:textId="77777777" w:rsidR="0086707B" w:rsidRPr="00505C9D" w:rsidRDefault="0086707B" w:rsidP="00B148D5">
            <w:pPr>
              <w:pStyle w:val="Tables11pt"/>
              <w:rPr>
                <w:sz w:val="20"/>
                <w:szCs w:val="20"/>
              </w:rPr>
            </w:pPr>
          </w:p>
        </w:tc>
      </w:tr>
      <w:tr w:rsidR="0086707B" w:rsidRPr="00505C9D" w14:paraId="7DD8C84A" w14:textId="77777777" w:rsidTr="00B148D5">
        <w:trPr>
          <w:trHeight w:val="300"/>
        </w:trPr>
        <w:tc>
          <w:tcPr>
            <w:tcW w:w="1322" w:type="dxa"/>
            <w:tcBorders>
              <w:top w:val="nil"/>
              <w:left w:val="nil"/>
              <w:bottom w:val="nil"/>
              <w:right w:val="nil"/>
            </w:tcBorders>
            <w:shd w:val="clear" w:color="auto" w:fill="auto"/>
            <w:noWrap/>
            <w:vAlign w:val="bottom"/>
          </w:tcPr>
          <w:p w14:paraId="5D189F12" w14:textId="77777777" w:rsidR="0086707B" w:rsidRPr="00505C9D" w:rsidRDefault="0086707B" w:rsidP="00B148D5">
            <w:pPr>
              <w:pStyle w:val="Tables11pt"/>
              <w:rPr>
                <w:sz w:val="20"/>
                <w:szCs w:val="20"/>
              </w:rPr>
            </w:pPr>
            <w:r w:rsidRPr="00505C9D">
              <w:rPr>
                <w:sz w:val="20"/>
                <w:szCs w:val="20"/>
              </w:rPr>
              <w:t>N</w:t>
            </w:r>
          </w:p>
        </w:tc>
        <w:tc>
          <w:tcPr>
            <w:tcW w:w="1238" w:type="dxa"/>
            <w:tcBorders>
              <w:top w:val="nil"/>
              <w:left w:val="nil"/>
              <w:bottom w:val="nil"/>
              <w:right w:val="nil"/>
            </w:tcBorders>
            <w:shd w:val="clear" w:color="auto" w:fill="auto"/>
            <w:noWrap/>
            <w:vAlign w:val="bottom"/>
          </w:tcPr>
          <w:p w14:paraId="149B6675" w14:textId="77777777" w:rsidR="0086707B" w:rsidRPr="00505C9D" w:rsidRDefault="0086707B" w:rsidP="00B148D5">
            <w:pPr>
              <w:pStyle w:val="Tables11pt"/>
              <w:rPr>
                <w:sz w:val="20"/>
                <w:szCs w:val="20"/>
              </w:rPr>
            </w:pPr>
            <w:r w:rsidRPr="00505C9D">
              <w:rPr>
                <w:sz w:val="20"/>
                <w:szCs w:val="20"/>
              </w:rPr>
              <w:t>115</w:t>
            </w:r>
          </w:p>
        </w:tc>
        <w:tc>
          <w:tcPr>
            <w:tcW w:w="1238" w:type="dxa"/>
            <w:tcBorders>
              <w:top w:val="nil"/>
              <w:left w:val="nil"/>
              <w:bottom w:val="nil"/>
              <w:right w:val="nil"/>
            </w:tcBorders>
            <w:shd w:val="clear" w:color="auto" w:fill="auto"/>
            <w:noWrap/>
            <w:vAlign w:val="bottom"/>
          </w:tcPr>
          <w:p w14:paraId="28B66614" w14:textId="77777777" w:rsidR="0086707B" w:rsidRPr="00505C9D" w:rsidRDefault="0086707B" w:rsidP="00B148D5">
            <w:pPr>
              <w:pStyle w:val="Tables11pt"/>
              <w:rPr>
                <w:sz w:val="20"/>
                <w:szCs w:val="20"/>
              </w:rPr>
            </w:pPr>
            <w:r w:rsidRPr="00505C9D">
              <w:rPr>
                <w:sz w:val="20"/>
                <w:szCs w:val="20"/>
              </w:rPr>
              <w:t>115</w:t>
            </w:r>
          </w:p>
        </w:tc>
        <w:tc>
          <w:tcPr>
            <w:tcW w:w="1238" w:type="dxa"/>
            <w:tcBorders>
              <w:top w:val="nil"/>
              <w:left w:val="nil"/>
              <w:bottom w:val="nil"/>
              <w:right w:val="nil"/>
            </w:tcBorders>
            <w:shd w:val="clear" w:color="auto" w:fill="auto"/>
            <w:noWrap/>
            <w:vAlign w:val="bottom"/>
          </w:tcPr>
          <w:p w14:paraId="7876E35B" w14:textId="77777777" w:rsidR="0086707B" w:rsidRPr="00505C9D" w:rsidRDefault="0086707B" w:rsidP="00B148D5">
            <w:pPr>
              <w:pStyle w:val="Tables11pt"/>
              <w:rPr>
                <w:sz w:val="20"/>
                <w:szCs w:val="20"/>
              </w:rPr>
            </w:pPr>
            <w:r w:rsidRPr="00505C9D">
              <w:rPr>
                <w:sz w:val="20"/>
                <w:szCs w:val="20"/>
              </w:rPr>
              <w:t>110</w:t>
            </w:r>
          </w:p>
        </w:tc>
        <w:tc>
          <w:tcPr>
            <w:tcW w:w="1366" w:type="dxa"/>
            <w:tcBorders>
              <w:top w:val="nil"/>
              <w:left w:val="nil"/>
              <w:bottom w:val="nil"/>
              <w:right w:val="nil"/>
            </w:tcBorders>
            <w:shd w:val="clear" w:color="auto" w:fill="auto"/>
            <w:noWrap/>
            <w:vAlign w:val="bottom"/>
          </w:tcPr>
          <w:p w14:paraId="03FD0EF3" w14:textId="77777777" w:rsidR="0086707B" w:rsidRPr="00505C9D" w:rsidRDefault="0086707B" w:rsidP="00B148D5">
            <w:pPr>
              <w:pStyle w:val="Tables11pt"/>
              <w:rPr>
                <w:sz w:val="20"/>
                <w:szCs w:val="20"/>
              </w:rPr>
            </w:pPr>
            <w:r w:rsidRPr="00505C9D">
              <w:rPr>
                <w:sz w:val="20"/>
                <w:szCs w:val="20"/>
              </w:rPr>
              <w:t>736</w:t>
            </w:r>
          </w:p>
        </w:tc>
        <w:tc>
          <w:tcPr>
            <w:tcW w:w="1440" w:type="dxa"/>
            <w:tcBorders>
              <w:top w:val="nil"/>
              <w:left w:val="nil"/>
              <w:bottom w:val="nil"/>
              <w:right w:val="nil"/>
            </w:tcBorders>
            <w:shd w:val="clear" w:color="auto" w:fill="auto"/>
            <w:noWrap/>
            <w:vAlign w:val="bottom"/>
          </w:tcPr>
          <w:p w14:paraId="1E33418B" w14:textId="77777777" w:rsidR="0086707B" w:rsidRPr="00505C9D" w:rsidRDefault="0086707B" w:rsidP="00B148D5">
            <w:pPr>
              <w:pStyle w:val="Tables11pt"/>
              <w:rPr>
                <w:sz w:val="20"/>
                <w:szCs w:val="20"/>
              </w:rPr>
            </w:pPr>
            <w:r w:rsidRPr="00505C9D">
              <w:rPr>
                <w:sz w:val="20"/>
                <w:szCs w:val="20"/>
              </w:rPr>
              <w:t>736</w:t>
            </w:r>
          </w:p>
        </w:tc>
        <w:tc>
          <w:tcPr>
            <w:tcW w:w="1440" w:type="dxa"/>
            <w:tcBorders>
              <w:top w:val="nil"/>
              <w:left w:val="nil"/>
              <w:bottom w:val="nil"/>
              <w:right w:val="nil"/>
            </w:tcBorders>
            <w:shd w:val="clear" w:color="auto" w:fill="auto"/>
            <w:noWrap/>
            <w:vAlign w:val="bottom"/>
          </w:tcPr>
          <w:p w14:paraId="2F662CFE" w14:textId="77777777" w:rsidR="0086707B" w:rsidRPr="00505C9D" w:rsidRDefault="0086707B" w:rsidP="00B148D5">
            <w:pPr>
              <w:pStyle w:val="Tables11pt"/>
              <w:rPr>
                <w:sz w:val="20"/>
                <w:szCs w:val="20"/>
              </w:rPr>
            </w:pPr>
            <w:r w:rsidRPr="00505C9D">
              <w:rPr>
                <w:sz w:val="20"/>
                <w:szCs w:val="20"/>
              </w:rPr>
              <w:t>736</w:t>
            </w:r>
          </w:p>
        </w:tc>
      </w:tr>
      <w:tr w:rsidR="0086707B" w:rsidRPr="00505C9D" w14:paraId="7A919F52" w14:textId="77777777" w:rsidTr="00B148D5">
        <w:trPr>
          <w:trHeight w:val="300"/>
        </w:trPr>
        <w:tc>
          <w:tcPr>
            <w:tcW w:w="1322" w:type="dxa"/>
            <w:tcBorders>
              <w:top w:val="nil"/>
              <w:left w:val="nil"/>
              <w:right w:val="nil"/>
            </w:tcBorders>
            <w:shd w:val="clear" w:color="auto" w:fill="auto"/>
            <w:noWrap/>
            <w:vAlign w:val="bottom"/>
          </w:tcPr>
          <w:p w14:paraId="0088ABAF" w14:textId="77777777" w:rsidR="0086707B" w:rsidRPr="00505C9D" w:rsidRDefault="0086707B" w:rsidP="00B148D5">
            <w:pPr>
              <w:pStyle w:val="Tables11pt"/>
              <w:rPr>
                <w:sz w:val="20"/>
                <w:szCs w:val="20"/>
              </w:rPr>
            </w:pPr>
            <w:r w:rsidRPr="00505C9D">
              <w:rPr>
                <w:sz w:val="20"/>
                <w:szCs w:val="20"/>
              </w:rPr>
              <w:t>Adjusted R</w:t>
            </w:r>
            <w:r w:rsidRPr="00505C9D">
              <w:rPr>
                <w:sz w:val="20"/>
                <w:szCs w:val="20"/>
                <w:vertAlign w:val="superscript"/>
              </w:rPr>
              <w:t>2</w:t>
            </w:r>
          </w:p>
        </w:tc>
        <w:tc>
          <w:tcPr>
            <w:tcW w:w="1238" w:type="dxa"/>
            <w:tcBorders>
              <w:top w:val="nil"/>
              <w:left w:val="nil"/>
              <w:right w:val="nil"/>
            </w:tcBorders>
            <w:shd w:val="clear" w:color="auto" w:fill="auto"/>
            <w:noWrap/>
            <w:vAlign w:val="bottom"/>
          </w:tcPr>
          <w:p w14:paraId="162F022A" w14:textId="77777777" w:rsidR="0086707B" w:rsidRPr="00505C9D" w:rsidRDefault="0086707B" w:rsidP="00B148D5">
            <w:pPr>
              <w:pStyle w:val="Tables11pt"/>
              <w:rPr>
                <w:sz w:val="20"/>
                <w:szCs w:val="20"/>
              </w:rPr>
            </w:pPr>
            <w:r w:rsidRPr="00505C9D">
              <w:rPr>
                <w:sz w:val="20"/>
                <w:szCs w:val="20"/>
              </w:rPr>
              <w:t>0.251</w:t>
            </w:r>
          </w:p>
        </w:tc>
        <w:tc>
          <w:tcPr>
            <w:tcW w:w="1238" w:type="dxa"/>
            <w:tcBorders>
              <w:top w:val="nil"/>
              <w:left w:val="nil"/>
              <w:right w:val="nil"/>
            </w:tcBorders>
            <w:shd w:val="clear" w:color="auto" w:fill="auto"/>
            <w:noWrap/>
            <w:vAlign w:val="bottom"/>
          </w:tcPr>
          <w:p w14:paraId="2472B178" w14:textId="77777777" w:rsidR="0086707B" w:rsidRPr="00505C9D" w:rsidRDefault="0086707B" w:rsidP="00B148D5">
            <w:pPr>
              <w:pStyle w:val="Tables11pt"/>
              <w:rPr>
                <w:sz w:val="20"/>
                <w:szCs w:val="20"/>
              </w:rPr>
            </w:pPr>
            <w:r w:rsidRPr="00505C9D">
              <w:rPr>
                <w:sz w:val="20"/>
                <w:szCs w:val="20"/>
              </w:rPr>
              <w:t>0.352</w:t>
            </w:r>
          </w:p>
        </w:tc>
        <w:tc>
          <w:tcPr>
            <w:tcW w:w="1238" w:type="dxa"/>
            <w:tcBorders>
              <w:top w:val="nil"/>
              <w:left w:val="nil"/>
              <w:right w:val="nil"/>
            </w:tcBorders>
            <w:shd w:val="clear" w:color="auto" w:fill="auto"/>
            <w:noWrap/>
            <w:vAlign w:val="bottom"/>
          </w:tcPr>
          <w:p w14:paraId="5F0F0E03" w14:textId="77777777" w:rsidR="0086707B" w:rsidRPr="00505C9D" w:rsidRDefault="0086707B" w:rsidP="00B148D5">
            <w:pPr>
              <w:pStyle w:val="Tables11pt"/>
              <w:rPr>
                <w:sz w:val="20"/>
                <w:szCs w:val="20"/>
              </w:rPr>
            </w:pPr>
            <w:r w:rsidRPr="00505C9D">
              <w:rPr>
                <w:sz w:val="20"/>
                <w:szCs w:val="20"/>
              </w:rPr>
              <w:t>0.884</w:t>
            </w:r>
          </w:p>
        </w:tc>
        <w:tc>
          <w:tcPr>
            <w:tcW w:w="1366" w:type="dxa"/>
            <w:tcBorders>
              <w:top w:val="nil"/>
              <w:left w:val="nil"/>
              <w:right w:val="nil"/>
            </w:tcBorders>
            <w:shd w:val="clear" w:color="auto" w:fill="auto"/>
            <w:noWrap/>
            <w:vAlign w:val="bottom"/>
          </w:tcPr>
          <w:p w14:paraId="5F99813C" w14:textId="77777777" w:rsidR="0086707B" w:rsidRPr="00505C9D" w:rsidRDefault="0086707B" w:rsidP="00B148D5">
            <w:pPr>
              <w:pStyle w:val="Tables11pt"/>
              <w:rPr>
                <w:sz w:val="20"/>
                <w:szCs w:val="20"/>
              </w:rPr>
            </w:pPr>
            <w:r w:rsidRPr="00505C9D">
              <w:rPr>
                <w:sz w:val="20"/>
                <w:szCs w:val="20"/>
              </w:rPr>
              <w:t>0.153</w:t>
            </w:r>
          </w:p>
        </w:tc>
        <w:tc>
          <w:tcPr>
            <w:tcW w:w="1440" w:type="dxa"/>
            <w:tcBorders>
              <w:top w:val="nil"/>
              <w:left w:val="nil"/>
              <w:right w:val="nil"/>
            </w:tcBorders>
            <w:shd w:val="clear" w:color="auto" w:fill="auto"/>
            <w:noWrap/>
            <w:vAlign w:val="bottom"/>
          </w:tcPr>
          <w:p w14:paraId="1EFFD1C9" w14:textId="77777777" w:rsidR="0086707B" w:rsidRPr="00505C9D" w:rsidRDefault="0086707B" w:rsidP="00B148D5">
            <w:pPr>
              <w:pStyle w:val="Tables11pt"/>
              <w:rPr>
                <w:sz w:val="20"/>
                <w:szCs w:val="20"/>
              </w:rPr>
            </w:pPr>
            <w:r w:rsidRPr="00505C9D">
              <w:rPr>
                <w:sz w:val="20"/>
                <w:szCs w:val="20"/>
              </w:rPr>
              <w:t>0.116</w:t>
            </w:r>
          </w:p>
        </w:tc>
        <w:tc>
          <w:tcPr>
            <w:tcW w:w="1440" w:type="dxa"/>
            <w:tcBorders>
              <w:top w:val="nil"/>
              <w:left w:val="nil"/>
              <w:right w:val="nil"/>
            </w:tcBorders>
            <w:shd w:val="clear" w:color="auto" w:fill="auto"/>
            <w:noWrap/>
            <w:vAlign w:val="bottom"/>
          </w:tcPr>
          <w:p w14:paraId="571FD094"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r>
      <w:tr w:rsidR="0086707B" w:rsidRPr="00505C9D" w14:paraId="1DDE1A3D" w14:textId="77777777" w:rsidTr="00B148D5">
        <w:trPr>
          <w:trHeight w:val="300"/>
        </w:trPr>
        <w:tc>
          <w:tcPr>
            <w:tcW w:w="1322" w:type="dxa"/>
            <w:tcBorders>
              <w:top w:val="nil"/>
              <w:left w:val="nil"/>
              <w:bottom w:val="single" w:sz="4" w:space="0" w:color="auto"/>
              <w:right w:val="nil"/>
            </w:tcBorders>
            <w:shd w:val="clear" w:color="auto" w:fill="auto"/>
            <w:noWrap/>
            <w:vAlign w:val="bottom"/>
          </w:tcPr>
          <w:p w14:paraId="3F99F9A9" w14:textId="77777777" w:rsidR="0086707B" w:rsidRPr="00505C9D" w:rsidRDefault="0086707B" w:rsidP="00B148D5">
            <w:pPr>
              <w:pStyle w:val="Tables11pt"/>
              <w:rPr>
                <w:rFonts w:eastAsia="Batang"/>
                <w:sz w:val="20"/>
                <w:szCs w:val="20"/>
              </w:rPr>
            </w:pPr>
            <w:r w:rsidRPr="00505C9D">
              <w:rPr>
                <w:rFonts w:eastAsia="Batang"/>
                <w:sz w:val="20"/>
                <w:szCs w:val="20"/>
              </w:rPr>
              <w:t>Pseudo_R</w:t>
            </w:r>
            <w:r w:rsidRPr="00505C9D">
              <w:rPr>
                <w:rFonts w:eastAsia="Batang"/>
                <w:sz w:val="20"/>
                <w:szCs w:val="20"/>
                <w:vertAlign w:val="superscript"/>
              </w:rPr>
              <w:t>2</w:t>
            </w:r>
          </w:p>
        </w:tc>
        <w:tc>
          <w:tcPr>
            <w:tcW w:w="1238" w:type="dxa"/>
            <w:tcBorders>
              <w:top w:val="nil"/>
              <w:left w:val="nil"/>
              <w:bottom w:val="single" w:sz="4" w:space="0" w:color="auto"/>
              <w:right w:val="nil"/>
            </w:tcBorders>
            <w:shd w:val="clear" w:color="auto" w:fill="auto"/>
            <w:noWrap/>
            <w:vAlign w:val="bottom"/>
          </w:tcPr>
          <w:p w14:paraId="110B9F64"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c>
          <w:tcPr>
            <w:tcW w:w="1238" w:type="dxa"/>
            <w:tcBorders>
              <w:top w:val="nil"/>
              <w:left w:val="nil"/>
              <w:bottom w:val="single" w:sz="4" w:space="0" w:color="auto"/>
              <w:right w:val="nil"/>
            </w:tcBorders>
            <w:shd w:val="clear" w:color="auto" w:fill="auto"/>
            <w:noWrap/>
            <w:vAlign w:val="bottom"/>
          </w:tcPr>
          <w:p w14:paraId="05EE6E63"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c>
          <w:tcPr>
            <w:tcW w:w="1238" w:type="dxa"/>
            <w:tcBorders>
              <w:top w:val="nil"/>
              <w:left w:val="nil"/>
              <w:bottom w:val="single" w:sz="4" w:space="0" w:color="auto"/>
              <w:right w:val="nil"/>
            </w:tcBorders>
            <w:shd w:val="clear" w:color="auto" w:fill="auto"/>
            <w:noWrap/>
            <w:vAlign w:val="bottom"/>
          </w:tcPr>
          <w:p w14:paraId="270D8224"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c>
          <w:tcPr>
            <w:tcW w:w="1366" w:type="dxa"/>
            <w:tcBorders>
              <w:top w:val="nil"/>
              <w:left w:val="nil"/>
              <w:bottom w:val="single" w:sz="4" w:space="0" w:color="auto"/>
              <w:right w:val="nil"/>
            </w:tcBorders>
            <w:shd w:val="clear" w:color="auto" w:fill="auto"/>
            <w:noWrap/>
            <w:vAlign w:val="bottom"/>
          </w:tcPr>
          <w:p w14:paraId="4C465F11"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c>
          <w:tcPr>
            <w:tcW w:w="1440" w:type="dxa"/>
            <w:tcBorders>
              <w:top w:val="nil"/>
              <w:left w:val="nil"/>
              <w:bottom w:val="single" w:sz="4" w:space="0" w:color="auto"/>
              <w:right w:val="nil"/>
            </w:tcBorders>
            <w:shd w:val="clear" w:color="auto" w:fill="auto"/>
            <w:noWrap/>
            <w:vAlign w:val="bottom"/>
          </w:tcPr>
          <w:p w14:paraId="42B9EDA9" w14:textId="77777777" w:rsidR="0086707B" w:rsidRPr="00505C9D" w:rsidRDefault="0086707B" w:rsidP="00B148D5">
            <w:pPr>
              <w:pStyle w:val="Tables11pt"/>
              <w:rPr>
                <w:rFonts w:eastAsia="Batang"/>
                <w:sz w:val="20"/>
                <w:szCs w:val="20"/>
              </w:rPr>
            </w:pPr>
            <w:r w:rsidRPr="00505C9D">
              <w:rPr>
                <w:rFonts w:eastAsia="Batang" w:hint="eastAsia"/>
                <w:sz w:val="20"/>
                <w:szCs w:val="20"/>
              </w:rPr>
              <w:t>n.a.</w:t>
            </w:r>
          </w:p>
        </w:tc>
        <w:tc>
          <w:tcPr>
            <w:tcW w:w="1440" w:type="dxa"/>
            <w:tcBorders>
              <w:top w:val="nil"/>
              <w:left w:val="nil"/>
              <w:bottom w:val="single" w:sz="4" w:space="0" w:color="auto"/>
              <w:right w:val="nil"/>
            </w:tcBorders>
            <w:shd w:val="clear" w:color="auto" w:fill="auto"/>
            <w:noWrap/>
            <w:vAlign w:val="bottom"/>
          </w:tcPr>
          <w:p w14:paraId="71DF481B" w14:textId="77777777" w:rsidR="0086707B" w:rsidRPr="00505C9D" w:rsidRDefault="0086707B" w:rsidP="00B148D5">
            <w:pPr>
              <w:pStyle w:val="Tables11pt"/>
              <w:rPr>
                <w:rFonts w:eastAsia="Batang"/>
                <w:sz w:val="20"/>
                <w:szCs w:val="20"/>
              </w:rPr>
            </w:pPr>
            <w:r w:rsidRPr="00505C9D">
              <w:rPr>
                <w:rFonts w:eastAsia="Batang"/>
                <w:sz w:val="20"/>
                <w:szCs w:val="20"/>
              </w:rPr>
              <w:t>0.262</w:t>
            </w:r>
          </w:p>
        </w:tc>
      </w:tr>
    </w:tbl>
    <w:p w14:paraId="6CA15553" w14:textId="77777777" w:rsidR="0086707B" w:rsidRPr="009D3C21" w:rsidRDefault="0086707B" w:rsidP="0086707B">
      <w:pPr>
        <w:ind w:firstLine="0"/>
        <w:jc w:val="both"/>
        <w:rPr>
          <w:sz w:val="20"/>
          <w:szCs w:val="20"/>
        </w:rPr>
      </w:pPr>
      <w:r w:rsidRPr="00A25889">
        <w:rPr>
          <w:sz w:val="20"/>
          <w:szCs w:val="20"/>
        </w:rPr>
        <w:t>*, **, *** refers to 10, 5 and 1 percent significance level</w:t>
      </w:r>
      <w:r w:rsidRPr="009D3C21">
        <w:rPr>
          <w:sz w:val="20"/>
          <w:szCs w:val="20"/>
        </w:rPr>
        <w:t xml:space="preserve"> respectively.  Figures in parentheses are het</w:t>
      </w:r>
      <w:r>
        <w:rPr>
          <w:sz w:val="20"/>
          <w:szCs w:val="20"/>
        </w:rPr>
        <w:t>e</w:t>
      </w:r>
      <w:r w:rsidRPr="009D3C21">
        <w:rPr>
          <w:sz w:val="20"/>
          <w:szCs w:val="20"/>
        </w:rPr>
        <w:t>rosceda</w:t>
      </w:r>
      <w:r>
        <w:rPr>
          <w:sz w:val="20"/>
          <w:szCs w:val="20"/>
        </w:rPr>
        <w:t>sti</w:t>
      </w:r>
      <w:r w:rsidRPr="009D3C21">
        <w:rPr>
          <w:sz w:val="20"/>
          <w:szCs w:val="20"/>
        </w:rPr>
        <w:t xml:space="preserve">city-robust t-values. </w:t>
      </w:r>
    </w:p>
    <w:p w14:paraId="04532FB7" w14:textId="77777777" w:rsidR="0086707B" w:rsidRDefault="0086707B" w:rsidP="0086707B">
      <w:pPr>
        <w:ind w:firstLine="0"/>
        <w:rPr>
          <w:rFonts w:eastAsia="Batang"/>
          <w:sz w:val="20"/>
          <w:szCs w:val="20"/>
          <w:lang w:eastAsia="ko-KR"/>
        </w:rPr>
      </w:pPr>
      <w:r>
        <w:rPr>
          <w:rFonts w:eastAsia="Batang"/>
          <w:sz w:val="20"/>
          <w:szCs w:val="20"/>
          <w:lang w:eastAsia="ko-KR"/>
        </w:rPr>
        <w:t>G-Index 41</w:t>
      </w:r>
      <w:r w:rsidRPr="00141E07">
        <w:rPr>
          <w:rFonts w:eastAsia="Batang" w:hint="eastAsia"/>
          <w:sz w:val="20"/>
          <w:szCs w:val="20"/>
          <w:lang w:eastAsia="ko-KR"/>
        </w:rPr>
        <w:t xml:space="preserve"> is </w:t>
      </w:r>
      <w:r>
        <w:rPr>
          <w:rFonts w:eastAsia="Batang"/>
          <w:sz w:val="20"/>
          <w:szCs w:val="20"/>
          <w:lang w:eastAsia="ko-KR"/>
        </w:rPr>
        <w:t>a</w:t>
      </w:r>
      <w:r w:rsidRPr="00141E07">
        <w:rPr>
          <w:rFonts w:eastAsia="Batang" w:hint="eastAsia"/>
          <w:sz w:val="20"/>
          <w:szCs w:val="20"/>
          <w:lang w:eastAsia="ko-KR"/>
        </w:rPr>
        <w:t xml:space="preserve"> firm-level corporate governance</w:t>
      </w:r>
      <w:r>
        <w:rPr>
          <w:rFonts w:eastAsia="Batang"/>
          <w:sz w:val="20"/>
          <w:szCs w:val="20"/>
          <w:lang w:eastAsia="ko-KR"/>
        </w:rPr>
        <w:t xml:space="preserve"> index aggregated to country level, while</w:t>
      </w:r>
      <w:r>
        <w:rPr>
          <w:rFonts w:eastAsia="Batang" w:hint="eastAsia"/>
          <w:sz w:val="20"/>
          <w:szCs w:val="20"/>
          <w:lang w:eastAsia="ko-KR"/>
        </w:rPr>
        <w:t xml:space="preserve"> S</w:t>
      </w:r>
      <w:r w:rsidRPr="00141E07">
        <w:rPr>
          <w:rFonts w:eastAsia="Batang" w:hint="eastAsia"/>
          <w:sz w:val="20"/>
          <w:szCs w:val="20"/>
          <w:lang w:eastAsia="ko-KR"/>
        </w:rPr>
        <w:t>hareholder</w:t>
      </w:r>
      <w:r>
        <w:rPr>
          <w:rFonts w:eastAsia="Batang" w:hint="eastAsia"/>
          <w:sz w:val="20"/>
          <w:szCs w:val="20"/>
          <w:lang w:eastAsia="ko-KR"/>
        </w:rPr>
        <w:t xml:space="preserve"> R</w:t>
      </w:r>
      <w:r w:rsidRPr="00141E07">
        <w:rPr>
          <w:rFonts w:eastAsia="Batang" w:hint="eastAsia"/>
          <w:sz w:val="20"/>
          <w:szCs w:val="20"/>
          <w:lang w:eastAsia="ko-KR"/>
        </w:rPr>
        <w:t>ight</w:t>
      </w:r>
      <w:r>
        <w:rPr>
          <w:rFonts w:eastAsia="Batang"/>
          <w:sz w:val="20"/>
          <w:szCs w:val="20"/>
          <w:lang w:eastAsia="ko-KR"/>
        </w:rPr>
        <w:t>s</w:t>
      </w:r>
      <w:r w:rsidRPr="00141E07">
        <w:rPr>
          <w:rFonts w:eastAsia="Batang" w:hint="eastAsia"/>
          <w:sz w:val="20"/>
          <w:szCs w:val="20"/>
          <w:lang w:eastAsia="ko-KR"/>
        </w:rPr>
        <w:t xml:space="preserve"> is an index </w:t>
      </w:r>
      <w:r w:rsidRPr="00141E07">
        <w:rPr>
          <w:rFonts w:eastAsia="Batang"/>
          <w:sz w:val="20"/>
          <w:szCs w:val="20"/>
          <w:lang w:eastAsia="ko-KR"/>
        </w:rPr>
        <w:t>variable</w:t>
      </w:r>
      <w:r w:rsidRPr="00141E07">
        <w:rPr>
          <w:rFonts w:eastAsia="Batang" w:hint="eastAsia"/>
          <w:sz w:val="20"/>
          <w:szCs w:val="20"/>
          <w:lang w:eastAsia="ko-KR"/>
        </w:rPr>
        <w:t xml:space="preserve"> indicating the level of shareholder p</w:t>
      </w:r>
      <w:r>
        <w:rPr>
          <w:rFonts w:eastAsia="Batang" w:hint="eastAsia"/>
          <w:sz w:val="20"/>
          <w:szCs w:val="20"/>
          <w:lang w:eastAsia="ko-KR"/>
        </w:rPr>
        <w:t>rotection, ranging from 0 to 5.</w:t>
      </w:r>
    </w:p>
    <w:p w14:paraId="065A3BF4" w14:textId="77777777" w:rsidR="0086707B" w:rsidRDefault="0086707B" w:rsidP="0086707B">
      <w:pPr>
        <w:spacing w:line="480" w:lineRule="auto"/>
        <w:jc w:val="both"/>
      </w:pPr>
    </w:p>
    <w:p w14:paraId="4EBAA328" w14:textId="77777777" w:rsidR="0086707B" w:rsidRDefault="0086707B" w:rsidP="0086707B">
      <w:pPr>
        <w:widowControl/>
        <w:ind w:firstLine="0"/>
        <w:rPr>
          <w:b/>
        </w:rPr>
      </w:pPr>
      <w:r>
        <w:rPr>
          <w:b/>
        </w:rPr>
        <w:br w:type="page"/>
      </w:r>
    </w:p>
    <w:p w14:paraId="6912131D" w14:textId="77777777" w:rsidR="0086707B" w:rsidRDefault="0086707B" w:rsidP="0086707B">
      <w:pPr>
        <w:ind w:firstLine="0"/>
        <w:jc w:val="both"/>
        <w:rPr>
          <w:b/>
        </w:rPr>
      </w:pPr>
      <w:r>
        <w:rPr>
          <w:b/>
        </w:rPr>
        <w:lastRenderedPageBreak/>
        <w:t>Table 3: Estimation of the Effect of Legal Origin on CO</w:t>
      </w:r>
      <w:r w:rsidRPr="00DB023F">
        <w:rPr>
          <w:b/>
          <w:vertAlign w:val="subscript"/>
        </w:rPr>
        <w:t>2</w:t>
      </w:r>
      <w:r>
        <w:rPr>
          <w:b/>
        </w:rPr>
        <w:t xml:space="preserve"> Emissions</w:t>
      </w:r>
    </w:p>
    <w:p w14:paraId="75743AB7" w14:textId="77777777" w:rsidR="0086707B" w:rsidRDefault="0086707B" w:rsidP="0086707B">
      <w:pPr>
        <w:ind w:firstLine="0"/>
        <w:jc w:val="both"/>
        <w:rPr>
          <w:sz w:val="20"/>
          <w:szCs w:val="20"/>
        </w:rPr>
      </w:pPr>
    </w:p>
    <w:p w14:paraId="06FD7000" w14:textId="77777777" w:rsidR="0086707B" w:rsidRDefault="0086707B" w:rsidP="0086707B">
      <w:pPr>
        <w:ind w:firstLine="0"/>
        <w:jc w:val="both"/>
        <w:rPr>
          <w:sz w:val="20"/>
          <w:szCs w:val="20"/>
        </w:rPr>
      </w:pPr>
    </w:p>
    <w:tbl>
      <w:tblPr>
        <w:tblW w:w="7837" w:type="dxa"/>
        <w:tblInd w:w="98" w:type="dxa"/>
        <w:tblLook w:val="04A0" w:firstRow="1" w:lastRow="0" w:firstColumn="1" w:lastColumn="0" w:noHBand="0" w:noVBand="1"/>
      </w:tblPr>
      <w:tblGrid>
        <w:gridCol w:w="1551"/>
        <w:gridCol w:w="1047"/>
        <w:gridCol w:w="1047"/>
        <w:gridCol w:w="1047"/>
        <w:gridCol w:w="1047"/>
        <w:gridCol w:w="1049"/>
        <w:gridCol w:w="1049"/>
      </w:tblGrid>
      <w:tr w:rsidR="0086707B" w:rsidRPr="00386A41" w14:paraId="1CC2AC67" w14:textId="77777777" w:rsidTr="00B148D5">
        <w:trPr>
          <w:trHeight w:val="300"/>
        </w:trPr>
        <w:tc>
          <w:tcPr>
            <w:tcW w:w="1551" w:type="dxa"/>
            <w:tcBorders>
              <w:top w:val="single" w:sz="4" w:space="0" w:color="auto"/>
              <w:left w:val="nil"/>
              <w:bottom w:val="nil"/>
              <w:right w:val="nil"/>
            </w:tcBorders>
            <w:shd w:val="clear" w:color="auto" w:fill="auto"/>
            <w:noWrap/>
            <w:vAlign w:val="bottom"/>
          </w:tcPr>
          <w:p w14:paraId="43BE6AAB"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single" w:sz="4" w:space="0" w:color="auto"/>
              <w:left w:val="nil"/>
              <w:bottom w:val="nil"/>
              <w:right w:val="nil"/>
            </w:tcBorders>
            <w:shd w:val="clear" w:color="auto" w:fill="auto"/>
            <w:noWrap/>
            <w:vAlign w:val="bottom"/>
          </w:tcPr>
          <w:p w14:paraId="7B0F0493"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1</w:t>
            </w:r>
            <w:r>
              <w:rPr>
                <w:rFonts w:ascii="Calibri" w:hAnsi="Calibri"/>
                <w:color w:val="000000"/>
                <w:sz w:val="22"/>
                <w:szCs w:val="22"/>
                <w:lang w:eastAsia="ko-KR"/>
              </w:rPr>
              <w:t>)</w:t>
            </w:r>
          </w:p>
        </w:tc>
        <w:tc>
          <w:tcPr>
            <w:tcW w:w="1047" w:type="dxa"/>
            <w:tcBorders>
              <w:top w:val="single" w:sz="4" w:space="0" w:color="auto"/>
              <w:left w:val="nil"/>
              <w:bottom w:val="nil"/>
              <w:right w:val="nil"/>
            </w:tcBorders>
            <w:shd w:val="clear" w:color="auto" w:fill="auto"/>
            <w:noWrap/>
            <w:vAlign w:val="bottom"/>
          </w:tcPr>
          <w:p w14:paraId="0A2F6F2C"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2</w:t>
            </w:r>
            <w:r>
              <w:rPr>
                <w:rFonts w:ascii="Calibri" w:hAnsi="Calibri"/>
                <w:color w:val="000000"/>
                <w:sz w:val="22"/>
                <w:szCs w:val="22"/>
                <w:lang w:eastAsia="ko-KR"/>
              </w:rPr>
              <w:t>)</w:t>
            </w:r>
          </w:p>
        </w:tc>
        <w:tc>
          <w:tcPr>
            <w:tcW w:w="1047" w:type="dxa"/>
            <w:tcBorders>
              <w:top w:val="single" w:sz="4" w:space="0" w:color="auto"/>
              <w:left w:val="nil"/>
              <w:bottom w:val="nil"/>
              <w:right w:val="nil"/>
            </w:tcBorders>
            <w:shd w:val="clear" w:color="auto" w:fill="auto"/>
            <w:noWrap/>
            <w:vAlign w:val="bottom"/>
          </w:tcPr>
          <w:p w14:paraId="58C89086"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3</w:t>
            </w:r>
            <w:r>
              <w:rPr>
                <w:rFonts w:ascii="Calibri" w:hAnsi="Calibri"/>
                <w:color w:val="000000"/>
                <w:sz w:val="22"/>
                <w:szCs w:val="22"/>
                <w:lang w:eastAsia="ko-KR"/>
              </w:rPr>
              <w:t>)</w:t>
            </w:r>
          </w:p>
        </w:tc>
        <w:tc>
          <w:tcPr>
            <w:tcW w:w="1047" w:type="dxa"/>
            <w:tcBorders>
              <w:top w:val="single" w:sz="4" w:space="0" w:color="auto"/>
              <w:left w:val="nil"/>
              <w:bottom w:val="nil"/>
              <w:right w:val="nil"/>
            </w:tcBorders>
            <w:shd w:val="clear" w:color="auto" w:fill="auto"/>
            <w:noWrap/>
            <w:vAlign w:val="bottom"/>
          </w:tcPr>
          <w:p w14:paraId="215D3E99"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4</w:t>
            </w:r>
            <w:r>
              <w:rPr>
                <w:rFonts w:ascii="Calibri" w:hAnsi="Calibri"/>
                <w:color w:val="000000"/>
                <w:sz w:val="22"/>
                <w:szCs w:val="22"/>
                <w:lang w:eastAsia="ko-KR"/>
              </w:rPr>
              <w:t>)</w:t>
            </w:r>
          </w:p>
        </w:tc>
        <w:tc>
          <w:tcPr>
            <w:tcW w:w="1049" w:type="dxa"/>
            <w:tcBorders>
              <w:top w:val="single" w:sz="4" w:space="0" w:color="auto"/>
              <w:left w:val="nil"/>
              <w:bottom w:val="nil"/>
              <w:right w:val="nil"/>
            </w:tcBorders>
            <w:shd w:val="clear" w:color="auto" w:fill="auto"/>
            <w:noWrap/>
            <w:vAlign w:val="bottom"/>
          </w:tcPr>
          <w:p w14:paraId="113725DD"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5</w:t>
            </w:r>
            <w:r>
              <w:rPr>
                <w:rFonts w:ascii="Calibri" w:hAnsi="Calibri"/>
                <w:color w:val="000000"/>
                <w:sz w:val="22"/>
                <w:szCs w:val="22"/>
                <w:lang w:eastAsia="ko-KR"/>
              </w:rPr>
              <w:t>)</w:t>
            </w:r>
          </w:p>
        </w:tc>
        <w:tc>
          <w:tcPr>
            <w:tcW w:w="1049" w:type="dxa"/>
            <w:tcBorders>
              <w:top w:val="single" w:sz="4" w:space="0" w:color="auto"/>
              <w:left w:val="nil"/>
              <w:bottom w:val="nil"/>
              <w:right w:val="nil"/>
            </w:tcBorders>
            <w:shd w:val="clear" w:color="auto" w:fill="auto"/>
            <w:noWrap/>
            <w:vAlign w:val="bottom"/>
          </w:tcPr>
          <w:p w14:paraId="0BB43E32" w14:textId="77777777" w:rsidR="0086707B" w:rsidRPr="00386A41" w:rsidRDefault="0086707B" w:rsidP="00B148D5">
            <w:pPr>
              <w:widowControl/>
              <w:ind w:firstLine="0"/>
              <w:rPr>
                <w:rFonts w:ascii="Calibri" w:hAnsi="Calibri"/>
                <w:color w:val="000000"/>
                <w:sz w:val="22"/>
                <w:szCs w:val="22"/>
                <w:lang w:eastAsia="ko-KR"/>
              </w:rPr>
            </w:pPr>
            <w:r>
              <w:rPr>
                <w:rFonts w:ascii="Calibri" w:hAnsi="Calibri"/>
                <w:color w:val="000000"/>
                <w:sz w:val="22"/>
                <w:szCs w:val="22"/>
                <w:lang w:eastAsia="ko-KR"/>
              </w:rPr>
              <w:t>(</w:t>
            </w:r>
            <w:r w:rsidRPr="00386A41">
              <w:rPr>
                <w:rFonts w:ascii="Calibri" w:hAnsi="Calibri"/>
                <w:color w:val="000000"/>
                <w:sz w:val="22"/>
                <w:szCs w:val="22"/>
                <w:lang w:eastAsia="ko-KR"/>
              </w:rPr>
              <w:t>6</w:t>
            </w:r>
            <w:r>
              <w:rPr>
                <w:rFonts w:ascii="Calibri" w:hAnsi="Calibri"/>
                <w:color w:val="000000"/>
                <w:sz w:val="22"/>
                <w:szCs w:val="22"/>
                <w:lang w:eastAsia="ko-KR"/>
              </w:rPr>
              <w:t>)</w:t>
            </w:r>
          </w:p>
        </w:tc>
      </w:tr>
      <w:tr w:rsidR="0086707B" w:rsidRPr="00386A41" w14:paraId="056E3FCD" w14:textId="77777777" w:rsidTr="00B148D5">
        <w:trPr>
          <w:trHeight w:val="300"/>
        </w:trPr>
        <w:tc>
          <w:tcPr>
            <w:tcW w:w="1551" w:type="dxa"/>
            <w:tcBorders>
              <w:top w:val="nil"/>
              <w:left w:val="nil"/>
              <w:bottom w:val="single" w:sz="4" w:space="0" w:color="auto"/>
              <w:right w:val="nil"/>
            </w:tcBorders>
            <w:shd w:val="clear" w:color="auto" w:fill="auto"/>
            <w:noWrap/>
            <w:vAlign w:val="bottom"/>
          </w:tcPr>
          <w:p w14:paraId="735CB3A5"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nil"/>
              <w:left w:val="nil"/>
              <w:bottom w:val="single" w:sz="4" w:space="0" w:color="auto"/>
              <w:right w:val="nil"/>
            </w:tcBorders>
            <w:shd w:val="clear" w:color="auto" w:fill="auto"/>
            <w:noWrap/>
            <w:vAlign w:val="bottom"/>
          </w:tcPr>
          <w:p w14:paraId="4664C50A"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p>
        </w:tc>
        <w:tc>
          <w:tcPr>
            <w:tcW w:w="1047" w:type="dxa"/>
            <w:tcBorders>
              <w:top w:val="nil"/>
              <w:left w:val="nil"/>
              <w:bottom w:val="single" w:sz="4" w:space="0" w:color="auto"/>
              <w:right w:val="nil"/>
            </w:tcBorders>
            <w:shd w:val="clear" w:color="auto" w:fill="auto"/>
            <w:noWrap/>
            <w:vAlign w:val="bottom"/>
          </w:tcPr>
          <w:p w14:paraId="22E7F377"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p>
        </w:tc>
        <w:tc>
          <w:tcPr>
            <w:tcW w:w="1047" w:type="dxa"/>
            <w:tcBorders>
              <w:top w:val="nil"/>
              <w:left w:val="nil"/>
              <w:bottom w:val="single" w:sz="4" w:space="0" w:color="auto"/>
              <w:right w:val="nil"/>
            </w:tcBorders>
            <w:shd w:val="clear" w:color="auto" w:fill="auto"/>
            <w:noWrap/>
            <w:vAlign w:val="bottom"/>
          </w:tcPr>
          <w:p w14:paraId="3773E61C"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p>
        </w:tc>
        <w:tc>
          <w:tcPr>
            <w:tcW w:w="1047" w:type="dxa"/>
            <w:tcBorders>
              <w:top w:val="nil"/>
              <w:left w:val="nil"/>
              <w:bottom w:val="single" w:sz="4" w:space="0" w:color="auto"/>
              <w:right w:val="nil"/>
            </w:tcBorders>
            <w:shd w:val="clear" w:color="auto" w:fill="auto"/>
            <w:noWrap/>
            <w:vAlign w:val="bottom"/>
          </w:tcPr>
          <w:p w14:paraId="744F9DC1"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p>
        </w:tc>
        <w:tc>
          <w:tcPr>
            <w:tcW w:w="1049" w:type="dxa"/>
            <w:tcBorders>
              <w:top w:val="nil"/>
              <w:left w:val="nil"/>
              <w:bottom w:val="single" w:sz="4" w:space="0" w:color="auto"/>
              <w:right w:val="nil"/>
            </w:tcBorders>
            <w:shd w:val="clear" w:color="auto" w:fill="auto"/>
            <w:noWrap/>
            <w:vAlign w:val="bottom"/>
          </w:tcPr>
          <w:p w14:paraId="2D63F04C"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p>
        </w:tc>
        <w:tc>
          <w:tcPr>
            <w:tcW w:w="1049" w:type="dxa"/>
            <w:tcBorders>
              <w:top w:val="nil"/>
              <w:left w:val="nil"/>
              <w:bottom w:val="single" w:sz="4" w:space="0" w:color="auto"/>
              <w:right w:val="nil"/>
            </w:tcBorders>
            <w:shd w:val="clear" w:color="auto" w:fill="auto"/>
            <w:noWrap/>
            <w:vAlign w:val="bottom"/>
          </w:tcPr>
          <w:p w14:paraId="6E065EC3" w14:textId="77777777" w:rsidR="0086707B" w:rsidRPr="00386A41" w:rsidRDefault="0086707B" w:rsidP="00B148D5">
            <w:pPr>
              <w:widowControl/>
              <w:ind w:firstLine="0"/>
              <w:rPr>
                <w:rFonts w:ascii="Calibri" w:hAnsi="Calibri"/>
                <w:color w:val="000000"/>
                <w:sz w:val="22"/>
                <w:szCs w:val="22"/>
                <w:lang w:eastAsia="ko-KR"/>
              </w:rPr>
            </w:pPr>
            <w:r w:rsidRPr="00505C9D">
              <w:rPr>
                <w:sz w:val="20"/>
                <w:szCs w:val="20"/>
              </w:rPr>
              <w:t>CO</w:t>
            </w:r>
            <w:r w:rsidRPr="00505C9D">
              <w:rPr>
                <w:sz w:val="20"/>
                <w:szCs w:val="20"/>
                <w:vertAlign w:val="subscript"/>
              </w:rPr>
              <w:t>2</w:t>
            </w:r>
            <w:r w:rsidRPr="00386A41">
              <w:rPr>
                <w:rFonts w:ascii="Calibri" w:hAnsi="Calibri"/>
                <w:color w:val="000000"/>
                <w:sz w:val="22"/>
                <w:szCs w:val="22"/>
                <w:lang w:eastAsia="ko-KR"/>
              </w:rPr>
              <w:t xml:space="preserve">  </w:t>
            </w:r>
          </w:p>
        </w:tc>
      </w:tr>
      <w:tr w:rsidR="0086707B" w:rsidRPr="00386A41" w14:paraId="0E835CBE" w14:textId="77777777" w:rsidTr="00B148D5">
        <w:trPr>
          <w:trHeight w:val="300"/>
        </w:trPr>
        <w:tc>
          <w:tcPr>
            <w:tcW w:w="1551" w:type="dxa"/>
            <w:tcBorders>
              <w:top w:val="single" w:sz="4" w:space="0" w:color="auto"/>
              <w:left w:val="nil"/>
              <w:bottom w:val="nil"/>
              <w:right w:val="nil"/>
            </w:tcBorders>
            <w:shd w:val="clear" w:color="auto" w:fill="auto"/>
            <w:noWrap/>
            <w:vAlign w:val="bottom"/>
          </w:tcPr>
          <w:p w14:paraId="719250BE"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single" w:sz="4" w:space="0" w:color="auto"/>
              <w:left w:val="nil"/>
              <w:bottom w:val="nil"/>
              <w:right w:val="nil"/>
            </w:tcBorders>
            <w:shd w:val="clear" w:color="auto" w:fill="auto"/>
            <w:noWrap/>
            <w:vAlign w:val="bottom"/>
          </w:tcPr>
          <w:p w14:paraId="15308ED9"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single" w:sz="4" w:space="0" w:color="auto"/>
              <w:left w:val="nil"/>
              <w:bottom w:val="nil"/>
              <w:right w:val="nil"/>
            </w:tcBorders>
            <w:shd w:val="clear" w:color="auto" w:fill="auto"/>
            <w:noWrap/>
            <w:vAlign w:val="bottom"/>
          </w:tcPr>
          <w:p w14:paraId="02E4DE32"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single" w:sz="4" w:space="0" w:color="auto"/>
              <w:left w:val="nil"/>
              <w:bottom w:val="nil"/>
              <w:right w:val="nil"/>
            </w:tcBorders>
            <w:shd w:val="clear" w:color="auto" w:fill="auto"/>
            <w:noWrap/>
            <w:vAlign w:val="bottom"/>
          </w:tcPr>
          <w:p w14:paraId="212CE2F5" w14:textId="77777777" w:rsidR="0086707B" w:rsidRPr="00386A41" w:rsidRDefault="0086707B" w:rsidP="00B148D5">
            <w:pPr>
              <w:widowControl/>
              <w:ind w:firstLine="0"/>
              <w:rPr>
                <w:rFonts w:ascii="Calibri" w:hAnsi="Calibri"/>
                <w:color w:val="000000"/>
                <w:sz w:val="22"/>
                <w:szCs w:val="22"/>
                <w:lang w:eastAsia="ko-KR"/>
              </w:rPr>
            </w:pPr>
          </w:p>
        </w:tc>
        <w:tc>
          <w:tcPr>
            <w:tcW w:w="1047" w:type="dxa"/>
            <w:tcBorders>
              <w:top w:val="single" w:sz="4" w:space="0" w:color="auto"/>
              <w:left w:val="nil"/>
              <w:bottom w:val="nil"/>
              <w:right w:val="nil"/>
            </w:tcBorders>
            <w:shd w:val="clear" w:color="auto" w:fill="auto"/>
            <w:noWrap/>
            <w:vAlign w:val="bottom"/>
          </w:tcPr>
          <w:p w14:paraId="520B8CB9" w14:textId="77777777" w:rsidR="0086707B" w:rsidRPr="00386A41" w:rsidRDefault="0086707B" w:rsidP="00B148D5">
            <w:pPr>
              <w:widowControl/>
              <w:ind w:firstLine="0"/>
              <w:rPr>
                <w:rFonts w:ascii="Calibri" w:hAnsi="Calibri"/>
                <w:color w:val="000000"/>
                <w:sz w:val="22"/>
                <w:szCs w:val="22"/>
                <w:lang w:eastAsia="ko-KR"/>
              </w:rPr>
            </w:pPr>
          </w:p>
        </w:tc>
        <w:tc>
          <w:tcPr>
            <w:tcW w:w="1049" w:type="dxa"/>
            <w:tcBorders>
              <w:top w:val="single" w:sz="4" w:space="0" w:color="auto"/>
              <w:left w:val="nil"/>
              <w:bottom w:val="nil"/>
              <w:right w:val="nil"/>
            </w:tcBorders>
            <w:shd w:val="clear" w:color="auto" w:fill="auto"/>
            <w:noWrap/>
            <w:vAlign w:val="bottom"/>
          </w:tcPr>
          <w:p w14:paraId="20227D23" w14:textId="77777777" w:rsidR="0086707B" w:rsidRPr="00386A41" w:rsidRDefault="0086707B" w:rsidP="00B148D5">
            <w:pPr>
              <w:widowControl/>
              <w:ind w:firstLine="0"/>
              <w:rPr>
                <w:rFonts w:ascii="Calibri" w:hAnsi="Calibri"/>
                <w:color w:val="000000"/>
                <w:sz w:val="22"/>
                <w:szCs w:val="22"/>
                <w:lang w:eastAsia="ko-KR"/>
              </w:rPr>
            </w:pPr>
          </w:p>
        </w:tc>
        <w:tc>
          <w:tcPr>
            <w:tcW w:w="1049" w:type="dxa"/>
            <w:tcBorders>
              <w:top w:val="single" w:sz="4" w:space="0" w:color="auto"/>
              <w:left w:val="nil"/>
              <w:bottom w:val="nil"/>
              <w:right w:val="nil"/>
            </w:tcBorders>
            <w:shd w:val="clear" w:color="auto" w:fill="auto"/>
            <w:noWrap/>
            <w:vAlign w:val="bottom"/>
          </w:tcPr>
          <w:p w14:paraId="662758B7" w14:textId="77777777" w:rsidR="0086707B" w:rsidRPr="00386A41" w:rsidRDefault="0086707B" w:rsidP="00B148D5">
            <w:pPr>
              <w:widowControl/>
              <w:ind w:firstLine="0"/>
              <w:rPr>
                <w:rFonts w:ascii="Calibri" w:hAnsi="Calibri"/>
                <w:color w:val="000000"/>
                <w:sz w:val="22"/>
                <w:szCs w:val="22"/>
                <w:lang w:eastAsia="ko-KR"/>
              </w:rPr>
            </w:pPr>
          </w:p>
        </w:tc>
      </w:tr>
      <w:tr w:rsidR="0086707B" w:rsidRPr="00A2642E" w14:paraId="070097EB" w14:textId="77777777" w:rsidTr="00B148D5">
        <w:trPr>
          <w:trHeight w:val="300"/>
        </w:trPr>
        <w:tc>
          <w:tcPr>
            <w:tcW w:w="1551" w:type="dxa"/>
            <w:tcBorders>
              <w:top w:val="nil"/>
              <w:left w:val="nil"/>
              <w:bottom w:val="nil"/>
              <w:right w:val="nil"/>
            </w:tcBorders>
            <w:shd w:val="clear" w:color="auto" w:fill="auto"/>
            <w:noWrap/>
            <w:vAlign w:val="bottom"/>
          </w:tcPr>
          <w:p w14:paraId="6089ACF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Legal origin</w:t>
            </w:r>
          </w:p>
        </w:tc>
        <w:tc>
          <w:tcPr>
            <w:tcW w:w="1047" w:type="dxa"/>
            <w:tcBorders>
              <w:top w:val="nil"/>
              <w:left w:val="nil"/>
              <w:bottom w:val="nil"/>
              <w:right w:val="nil"/>
            </w:tcBorders>
            <w:shd w:val="clear" w:color="auto" w:fill="auto"/>
            <w:noWrap/>
            <w:vAlign w:val="bottom"/>
          </w:tcPr>
          <w:p w14:paraId="1CBCF4DE"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0.365**</w:t>
            </w:r>
          </w:p>
        </w:tc>
        <w:tc>
          <w:tcPr>
            <w:tcW w:w="1047" w:type="dxa"/>
            <w:tcBorders>
              <w:top w:val="nil"/>
              <w:left w:val="nil"/>
              <w:bottom w:val="nil"/>
              <w:right w:val="nil"/>
            </w:tcBorders>
            <w:shd w:val="clear" w:color="auto" w:fill="auto"/>
            <w:noWrap/>
            <w:vAlign w:val="bottom"/>
          </w:tcPr>
          <w:p w14:paraId="180AB58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0.405**</w:t>
            </w:r>
          </w:p>
        </w:tc>
        <w:tc>
          <w:tcPr>
            <w:tcW w:w="1047" w:type="dxa"/>
            <w:tcBorders>
              <w:top w:val="nil"/>
              <w:left w:val="nil"/>
              <w:bottom w:val="nil"/>
              <w:right w:val="nil"/>
            </w:tcBorders>
            <w:shd w:val="clear" w:color="auto" w:fill="auto"/>
            <w:noWrap/>
            <w:vAlign w:val="bottom"/>
          </w:tcPr>
          <w:p w14:paraId="6DE2BD7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0.231*</w:t>
            </w:r>
          </w:p>
        </w:tc>
        <w:tc>
          <w:tcPr>
            <w:tcW w:w="1047" w:type="dxa"/>
            <w:tcBorders>
              <w:top w:val="nil"/>
              <w:left w:val="nil"/>
              <w:bottom w:val="nil"/>
              <w:right w:val="nil"/>
            </w:tcBorders>
            <w:shd w:val="clear" w:color="auto" w:fill="auto"/>
            <w:noWrap/>
            <w:vAlign w:val="bottom"/>
          </w:tcPr>
          <w:p w14:paraId="2E8AFAE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0.137</w:t>
            </w:r>
          </w:p>
        </w:tc>
        <w:tc>
          <w:tcPr>
            <w:tcW w:w="1049" w:type="dxa"/>
            <w:tcBorders>
              <w:top w:val="nil"/>
              <w:left w:val="nil"/>
              <w:bottom w:val="nil"/>
              <w:right w:val="nil"/>
            </w:tcBorders>
            <w:shd w:val="clear" w:color="auto" w:fill="auto"/>
            <w:noWrap/>
            <w:vAlign w:val="bottom"/>
          </w:tcPr>
          <w:p w14:paraId="24C97CF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-0.203</w:t>
            </w:r>
          </w:p>
        </w:tc>
        <w:tc>
          <w:tcPr>
            <w:tcW w:w="1049" w:type="dxa"/>
            <w:tcBorders>
              <w:top w:val="nil"/>
              <w:left w:val="nil"/>
              <w:bottom w:val="nil"/>
              <w:right w:val="nil"/>
            </w:tcBorders>
            <w:shd w:val="clear" w:color="auto" w:fill="auto"/>
            <w:noWrap/>
            <w:vAlign w:val="bottom"/>
          </w:tcPr>
          <w:p w14:paraId="60CBD6E9"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-0.259*</w:t>
            </w:r>
          </w:p>
        </w:tc>
      </w:tr>
      <w:tr w:rsidR="0086707B" w:rsidRPr="00A2642E" w14:paraId="5C5A2E96" w14:textId="77777777" w:rsidTr="00B148D5">
        <w:trPr>
          <w:trHeight w:val="300"/>
        </w:trPr>
        <w:tc>
          <w:tcPr>
            <w:tcW w:w="1551" w:type="dxa"/>
            <w:tcBorders>
              <w:top w:val="nil"/>
              <w:left w:val="nil"/>
              <w:bottom w:val="nil"/>
              <w:right w:val="nil"/>
            </w:tcBorders>
            <w:shd w:val="clear" w:color="auto" w:fill="auto"/>
            <w:noWrap/>
            <w:vAlign w:val="bottom"/>
          </w:tcPr>
          <w:p w14:paraId="3CD0BBBB"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2EBED8F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[2.00]</w:t>
            </w:r>
          </w:p>
        </w:tc>
        <w:tc>
          <w:tcPr>
            <w:tcW w:w="1047" w:type="dxa"/>
            <w:tcBorders>
              <w:top w:val="nil"/>
              <w:left w:val="nil"/>
              <w:bottom w:val="nil"/>
              <w:right w:val="nil"/>
            </w:tcBorders>
            <w:shd w:val="clear" w:color="auto" w:fill="auto"/>
            <w:noWrap/>
            <w:vAlign w:val="bottom"/>
          </w:tcPr>
          <w:p w14:paraId="6A96420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[2.12]</w:t>
            </w:r>
          </w:p>
        </w:tc>
        <w:tc>
          <w:tcPr>
            <w:tcW w:w="1047" w:type="dxa"/>
            <w:tcBorders>
              <w:top w:val="nil"/>
              <w:left w:val="nil"/>
              <w:bottom w:val="nil"/>
              <w:right w:val="nil"/>
            </w:tcBorders>
            <w:shd w:val="clear" w:color="auto" w:fill="auto"/>
            <w:noWrap/>
            <w:vAlign w:val="bottom"/>
          </w:tcPr>
          <w:p w14:paraId="216F557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[1.69]</w:t>
            </w:r>
          </w:p>
        </w:tc>
        <w:tc>
          <w:tcPr>
            <w:tcW w:w="1047" w:type="dxa"/>
            <w:tcBorders>
              <w:top w:val="nil"/>
              <w:left w:val="nil"/>
              <w:bottom w:val="nil"/>
              <w:right w:val="nil"/>
            </w:tcBorders>
            <w:shd w:val="clear" w:color="auto" w:fill="auto"/>
            <w:noWrap/>
            <w:vAlign w:val="bottom"/>
          </w:tcPr>
          <w:p w14:paraId="472E910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[0.94]</w:t>
            </w:r>
          </w:p>
        </w:tc>
        <w:tc>
          <w:tcPr>
            <w:tcW w:w="1049" w:type="dxa"/>
            <w:tcBorders>
              <w:top w:val="nil"/>
              <w:left w:val="nil"/>
              <w:bottom w:val="nil"/>
              <w:right w:val="nil"/>
            </w:tcBorders>
            <w:shd w:val="clear" w:color="auto" w:fill="auto"/>
            <w:noWrap/>
            <w:vAlign w:val="bottom"/>
          </w:tcPr>
          <w:p w14:paraId="607F328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[1.32]</w:t>
            </w:r>
          </w:p>
        </w:tc>
        <w:tc>
          <w:tcPr>
            <w:tcW w:w="1049" w:type="dxa"/>
            <w:tcBorders>
              <w:top w:val="nil"/>
              <w:left w:val="nil"/>
              <w:bottom w:val="nil"/>
              <w:right w:val="nil"/>
            </w:tcBorders>
            <w:shd w:val="clear" w:color="auto" w:fill="auto"/>
            <w:noWrap/>
            <w:vAlign w:val="bottom"/>
          </w:tcPr>
          <w:p w14:paraId="0AC2559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[1.71]   </w:t>
            </w:r>
          </w:p>
        </w:tc>
      </w:tr>
      <w:tr w:rsidR="0086707B" w:rsidRPr="00A2642E" w14:paraId="64AD1CF2" w14:textId="77777777" w:rsidTr="00B148D5">
        <w:trPr>
          <w:trHeight w:val="300"/>
        </w:trPr>
        <w:tc>
          <w:tcPr>
            <w:tcW w:w="1551" w:type="dxa"/>
            <w:tcBorders>
              <w:top w:val="nil"/>
              <w:left w:val="nil"/>
              <w:bottom w:val="nil"/>
              <w:right w:val="nil"/>
            </w:tcBorders>
            <w:shd w:val="clear" w:color="auto" w:fill="auto"/>
            <w:noWrap/>
            <w:vAlign w:val="bottom"/>
          </w:tcPr>
          <w:p w14:paraId="0ABA1B3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Legal X POP</w:t>
            </w:r>
          </w:p>
        </w:tc>
        <w:tc>
          <w:tcPr>
            <w:tcW w:w="1047" w:type="dxa"/>
            <w:tcBorders>
              <w:top w:val="nil"/>
              <w:left w:val="nil"/>
              <w:bottom w:val="nil"/>
              <w:right w:val="nil"/>
            </w:tcBorders>
            <w:shd w:val="clear" w:color="auto" w:fill="auto"/>
            <w:noWrap/>
            <w:vAlign w:val="bottom"/>
          </w:tcPr>
          <w:p w14:paraId="20B1F374"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5D57C0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A0354E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7CDC3B1D"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0.672***</w:t>
            </w:r>
          </w:p>
        </w:tc>
        <w:tc>
          <w:tcPr>
            <w:tcW w:w="1049" w:type="dxa"/>
            <w:tcBorders>
              <w:top w:val="nil"/>
              <w:left w:val="nil"/>
              <w:bottom w:val="nil"/>
              <w:right w:val="nil"/>
            </w:tcBorders>
            <w:shd w:val="clear" w:color="auto" w:fill="auto"/>
            <w:noWrap/>
            <w:vAlign w:val="bottom"/>
          </w:tcPr>
          <w:p w14:paraId="27D4BFA6"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0.569***</w:t>
            </w:r>
          </w:p>
        </w:tc>
        <w:tc>
          <w:tcPr>
            <w:tcW w:w="1049" w:type="dxa"/>
            <w:tcBorders>
              <w:top w:val="nil"/>
              <w:left w:val="nil"/>
              <w:bottom w:val="nil"/>
              <w:right w:val="nil"/>
            </w:tcBorders>
            <w:shd w:val="clear" w:color="auto" w:fill="auto"/>
            <w:noWrap/>
            <w:vAlign w:val="bottom"/>
          </w:tcPr>
          <w:p w14:paraId="27C8FD6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0.519**</w:t>
            </w:r>
          </w:p>
        </w:tc>
      </w:tr>
      <w:tr w:rsidR="0086707B" w:rsidRPr="00A2642E" w14:paraId="79EBDE2A" w14:textId="77777777" w:rsidTr="00B148D5">
        <w:trPr>
          <w:trHeight w:val="300"/>
        </w:trPr>
        <w:tc>
          <w:tcPr>
            <w:tcW w:w="1551" w:type="dxa"/>
            <w:tcBorders>
              <w:top w:val="nil"/>
              <w:left w:val="nil"/>
              <w:bottom w:val="nil"/>
              <w:right w:val="nil"/>
            </w:tcBorders>
            <w:shd w:val="clear" w:color="auto" w:fill="auto"/>
            <w:noWrap/>
            <w:vAlign w:val="bottom"/>
          </w:tcPr>
          <w:p w14:paraId="603C5E48"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6F9DF5B"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3AFA4874"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2EBA4BEE"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3BFFAF5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[3.31]</w:t>
            </w:r>
          </w:p>
        </w:tc>
        <w:tc>
          <w:tcPr>
            <w:tcW w:w="1049" w:type="dxa"/>
            <w:tcBorders>
              <w:top w:val="nil"/>
              <w:left w:val="nil"/>
              <w:bottom w:val="nil"/>
              <w:right w:val="nil"/>
            </w:tcBorders>
            <w:shd w:val="clear" w:color="auto" w:fill="auto"/>
            <w:noWrap/>
            <w:vAlign w:val="bottom"/>
          </w:tcPr>
          <w:p w14:paraId="5AF7950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[2.66]</w:t>
            </w:r>
          </w:p>
        </w:tc>
        <w:tc>
          <w:tcPr>
            <w:tcW w:w="1049" w:type="dxa"/>
            <w:tcBorders>
              <w:top w:val="nil"/>
              <w:left w:val="nil"/>
              <w:bottom w:val="nil"/>
              <w:right w:val="nil"/>
            </w:tcBorders>
            <w:shd w:val="clear" w:color="auto" w:fill="auto"/>
            <w:noWrap/>
            <w:vAlign w:val="bottom"/>
          </w:tcPr>
          <w:p w14:paraId="671DB66A"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[2.50]   </w:t>
            </w:r>
          </w:p>
        </w:tc>
      </w:tr>
      <w:tr w:rsidR="0086707B" w:rsidRPr="00A2642E" w14:paraId="2121B63E" w14:textId="77777777" w:rsidTr="00B148D5">
        <w:trPr>
          <w:trHeight w:val="300"/>
        </w:trPr>
        <w:tc>
          <w:tcPr>
            <w:tcW w:w="1551" w:type="dxa"/>
            <w:tcBorders>
              <w:top w:val="nil"/>
              <w:left w:val="nil"/>
              <w:bottom w:val="nil"/>
              <w:right w:val="nil"/>
            </w:tcBorders>
            <w:shd w:val="clear" w:color="auto" w:fill="auto"/>
            <w:noWrap/>
            <w:vAlign w:val="bottom"/>
          </w:tcPr>
          <w:p w14:paraId="68B6F36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Legal X GDPPC</w:t>
            </w:r>
          </w:p>
        </w:tc>
        <w:tc>
          <w:tcPr>
            <w:tcW w:w="1047" w:type="dxa"/>
            <w:tcBorders>
              <w:top w:val="nil"/>
              <w:left w:val="nil"/>
              <w:bottom w:val="nil"/>
              <w:right w:val="nil"/>
            </w:tcBorders>
            <w:shd w:val="clear" w:color="auto" w:fill="auto"/>
            <w:noWrap/>
            <w:vAlign w:val="bottom"/>
          </w:tcPr>
          <w:p w14:paraId="4DA4CA40"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5EFE18D"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1EACB21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23819D4"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1D43CA3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0.052*</w:t>
            </w:r>
          </w:p>
        </w:tc>
        <w:tc>
          <w:tcPr>
            <w:tcW w:w="1049" w:type="dxa"/>
            <w:tcBorders>
              <w:top w:val="nil"/>
              <w:left w:val="nil"/>
              <w:bottom w:val="nil"/>
              <w:right w:val="nil"/>
            </w:tcBorders>
            <w:shd w:val="clear" w:color="auto" w:fill="auto"/>
            <w:noWrap/>
            <w:vAlign w:val="bottom"/>
          </w:tcPr>
          <w:p w14:paraId="4CB043B1"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0.057*  </w:t>
            </w:r>
          </w:p>
        </w:tc>
      </w:tr>
      <w:tr w:rsidR="0086707B" w:rsidRPr="00A2642E" w14:paraId="19EE8C7E" w14:textId="77777777" w:rsidTr="00B148D5">
        <w:trPr>
          <w:trHeight w:val="300"/>
        </w:trPr>
        <w:tc>
          <w:tcPr>
            <w:tcW w:w="1551" w:type="dxa"/>
            <w:tcBorders>
              <w:top w:val="nil"/>
              <w:left w:val="nil"/>
              <w:bottom w:val="nil"/>
              <w:right w:val="nil"/>
            </w:tcBorders>
            <w:shd w:val="clear" w:color="auto" w:fill="auto"/>
            <w:noWrap/>
            <w:vAlign w:val="bottom"/>
          </w:tcPr>
          <w:p w14:paraId="2559334E"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A11F573"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E022CDF"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48036A9"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5BDCE76"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5DA628E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[1.69]</w:t>
            </w:r>
          </w:p>
        </w:tc>
        <w:tc>
          <w:tcPr>
            <w:tcW w:w="1049" w:type="dxa"/>
            <w:tcBorders>
              <w:top w:val="nil"/>
              <w:left w:val="nil"/>
              <w:bottom w:val="nil"/>
              <w:right w:val="nil"/>
            </w:tcBorders>
            <w:shd w:val="clear" w:color="auto" w:fill="auto"/>
            <w:noWrap/>
            <w:vAlign w:val="bottom"/>
          </w:tcPr>
          <w:p w14:paraId="4A7C344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[1.87]   </w:t>
            </w:r>
          </w:p>
        </w:tc>
      </w:tr>
      <w:tr w:rsidR="0086707B" w:rsidRPr="00A2642E" w14:paraId="65118F01" w14:textId="77777777" w:rsidTr="00B148D5">
        <w:trPr>
          <w:trHeight w:val="300"/>
        </w:trPr>
        <w:tc>
          <w:tcPr>
            <w:tcW w:w="1551" w:type="dxa"/>
            <w:tcBorders>
              <w:top w:val="nil"/>
              <w:left w:val="nil"/>
              <w:bottom w:val="nil"/>
              <w:right w:val="nil"/>
            </w:tcBorders>
            <w:shd w:val="clear" w:color="auto" w:fill="auto"/>
            <w:noWrap/>
            <w:vAlign w:val="bottom"/>
          </w:tcPr>
          <w:p w14:paraId="6F908B8C"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Population</w:t>
            </w:r>
          </w:p>
        </w:tc>
        <w:tc>
          <w:tcPr>
            <w:tcW w:w="1047" w:type="dxa"/>
            <w:tcBorders>
              <w:top w:val="nil"/>
              <w:left w:val="nil"/>
              <w:bottom w:val="nil"/>
              <w:right w:val="nil"/>
            </w:tcBorders>
            <w:shd w:val="clear" w:color="auto" w:fill="auto"/>
            <w:noWrap/>
            <w:vAlign w:val="bottom"/>
          </w:tcPr>
          <w:p w14:paraId="17466888"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324E7D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0.043***</w:t>
            </w:r>
          </w:p>
        </w:tc>
        <w:tc>
          <w:tcPr>
            <w:tcW w:w="1047" w:type="dxa"/>
            <w:tcBorders>
              <w:top w:val="nil"/>
              <w:left w:val="nil"/>
              <w:bottom w:val="nil"/>
              <w:right w:val="nil"/>
            </w:tcBorders>
            <w:shd w:val="clear" w:color="auto" w:fill="auto"/>
            <w:noWrap/>
            <w:vAlign w:val="bottom"/>
          </w:tcPr>
          <w:p w14:paraId="39DE48E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0.040***</w:t>
            </w:r>
          </w:p>
        </w:tc>
        <w:tc>
          <w:tcPr>
            <w:tcW w:w="1047" w:type="dxa"/>
            <w:tcBorders>
              <w:top w:val="nil"/>
              <w:left w:val="nil"/>
              <w:bottom w:val="nil"/>
              <w:right w:val="nil"/>
            </w:tcBorders>
            <w:shd w:val="clear" w:color="auto" w:fill="auto"/>
            <w:noWrap/>
            <w:vAlign w:val="bottom"/>
          </w:tcPr>
          <w:p w14:paraId="1F9F385C"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0.036***</w:t>
            </w:r>
          </w:p>
        </w:tc>
        <w:tc>
          <w:tcPr>
            <w:tcW w:w="1049" w:type="dxa"/>
            <w:tcBorders>
              <w:top w:val="nil"/>
              <w:left w:val="nil"/>
              <w:bottom w:val="nil"/>
              <w:right w:val="nil"/>
            </w:tcBorders>
            <w:shd w:val="clear" w:color="auto" w:fill="auto"/>
            <w:noWrap/>
            <w:vAlign w:val="bottom"/>
          </w:tcPr>
          <w:p w14:paraId="3A41F09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0.037***</w:t>
            </w:r>
          </w:p>
        </w:tc>
        <w:tc>
          <w:tcPr>
            <w:tcW w:w="1049" w:type="dxa"/>
            <w:tcBorders>
              <w:top w:val="nil"/>
              <w:left w:val="nil"/>
              <w:bottom w:val="nil"/>
              <w:right w:val="nil"/>
            </w:tcBorders>
            <w:shd w:val="clear" w:color="auto" w:fill="auto"/>
            <w:noWrap/>
            <w:vAlign w:val="bottom"/>
          </w:tcPr>
          <w:p w14:paraId="0EB8DD61"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0.030***</w:t>
            </w:r>
          </w:p>
        </w:tc>
      </w:tr>
      <w:tr w:rsidR="0086707B" w:rsidRPr="00A2642E" w14:paraId="01E6D65B" w14:textId="77777777" w:rsidTr="00B148D5">
        <w:trPr>
          <w:trHeight w:val="300"/>
        </w:trPr>
        <w:tc>
          <w:tcPr>
            <w:tcW w:w="1551" w:type="dxa"/>
            <w:tcBorders>
              <w:top w:val="nil"/>
              <w:left w:val="nil"/>
              <w:bottom w:val="nil"/>
              <w:right w:val="nil"/>
            </w:tcBorders>
            <w:shd w:val="clear" w:color="auto" w:fill="auto"/>
            <w:noWrap/>
            <w:vAlign w:val="bottom"/>
          </w:tcPr>
          <w:p w14:paraId="6DA7FF1D"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0F2EEFF"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2C7A96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[2.78]</w:t>
            </w:r>
          </w:p>
        </w:tc>
        <w:tc>
          <w:tcPr>
            <w:tcW w:w="1047" w:type="dxa"/>
            <w:tcBorders>
              <w:top w:val="nil"/>
              <w:left w:val="nil"/>
              <w:bottom w:val="nil"/>
              <w:right w:val="nil"/>
            </w:tcBorders>
            <w:shd w:val="clear" w:color="auto" w:fill="auto"/>
            <w:noWrap/>
            <w:vAlign w:val="bottom"/>
          </w:tcPr>
          <w:p w14:paraId="20BA4BB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[5.58]</w:t>
            </w:r>
          </w:p>
        </w:tc>
        <w:tc>
          <w:tcPr>
            <w:tcW w:w="1047" w:type="dxa"/>
            <w:tcBorders>
              <w:top w:val="nil"/>
              <w:left w:val="nil"/>
              <w:bottom w:val="nil"/>
              <w:right w:val="nil"/>
            </w:tcBorders>
            <w:shd w:val="clear" w:color="auto" w:fill="auto"/>
            <w:noWrap/>
            <w:vAlign w:val="bottom"/>
          </w:tcPr>
          <w:p w14:paraId="25F7F5B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[5.20]</w:t>
            </w:r>
          </w:p>
        </w:tc>
        <w:tc>
          <w:tcPr>
            <w:tcW w:w="1049" w:type="dxa"/>
            <w:tcBorders>
              <w:top w:val="nil"/>
              <w:left w:val="nil"/>
              <w:bottom w:val="nil"/>
              <w:right w:val="nil"/>
            </w:tcBorders>
            <w:shd w:val="clear" w:color="auto" w:fill="auto"/>
            <w:noWrap/>
            <w:vAlign w:val="bottom"/>
          </w:tcPr>
          <w:p w14:paraId="349A2A79"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[5.17]</w:t>
            </w:r>
          </w:p>
        </w:tc>
        <w:tc>
          <w:tcPr>
            <w:tcW w:w="1049" w:type="dxa"/>
            <w:tcBorders>
              <w:top w:val="nil"/>
              <w:left w:val="nil"/>
              <w:bottom w:val="nil"/>
              <w:right w:val="nil"/>
            </w:tcBorders>
            <w:shd w:val="clear" w:color="auto" w:fill="auto"/>
            <w:noWrap/>
            <w:vAlign w:val="bottom"/>
          </w:tcPr>
          <w:p w14:paraId="195C3841"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[3.78]   </w:t>
            </w:r>
          </w:p>
        </w:tc>
      </w:tr>
      <w:tr w:rsidR="0086707B" w:rsidRPr="00A2642E" w14:paraId="1346760A" w14:textId="77777777" w:rsidTr="00B148D5">
        <w:trPr>
          <w:trHeight w:val="300"/>
        </w:trPr>
        <w:tc>
          <w:tcPr>
            <w:tcW w:w="1551" w:type="dxa"/>
            <w:tcBorders>
              <w:top w:val="nil"/>
              <w:left w:val="nil"/>
              <w:bottom w:val="nil"/>
              <w:right w:val="nil"/>
            </w:tcBorders>
            <w:shd w:val="clear" w:color="auto" w:fill="auto"/>
            <w:noWrap/>
            <w:vAlign w:val="bottom"/>
          </w:tcPr>
          <w:p w14:paraId="0FBA122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GDPPC</w:t>
            </w:r>
          </w:p>
        </w:tc>
        <w:tc>
          <w:tcPr>
            <w:tcW w:w="1047" w:type="dxa"/>
            <w:tcBorders>
              <w:top w:val="nil"/>
              <w:left w:val="nil"/>
              <w:bottom w:val="nil"/>
              <w:right w:val="nil"/>
            </w:tcBorders>
            <w:shd w:val="clear" w:color="auto" w:fill="auto"/>
            <w:noWrap/>
            <w:vAlign w:val="bottom"/>
          </w:tcPr>
          <w:p w14:paraId="7056A194"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681ABF1"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77AE1C15"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0.427***</w:t>
            </w:r>
          </w:p>
        </w:tc>
        <w:tc>
          <w:tcPr>
            <w:tcW w:w="1047" w:type="dxa"/>
            <w:tcBorders>
              <w:top w:val="nil"/>
              <w:left w:val="nil"/>
              <w:bottom w:val="nil"/>
              <w:right w:val="nil"/>
            </w:tcBorders>
            <w:shd w:val="clear" w:color="auto" w:fill="auto"/>
            <w:noWrap/>
            <w:vAlign w:val="bottom"/>
          </w:tcPr>
          <w:p w14:paraId="6D78422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0.426***</w:t>
            </w:r>
          </w:p>
        </w:tc>
        <w:tc>
          <w:tcPr>
            <w:tcW w:w="1049" w:type="dxa"/>
            <w:tcBorders>
              <w:top w:val="nil"/>
              <w:left w:val="nil"/>
              <w:bottom w:val="nil"/>
              <w:right w:val="nil"/>
            </w:tcBorders>
            <w:shd w:val="clear" w:color="auto" w:fill="auto"/>
            <w:noWrap/>
            <w:vAlign w:val="bottom"/>
          </w:tcPr>
          <w:p w14:paraId="398F653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0.406***</w:t>
            </w:r>
          </w:p>
        </w:tc>
        <w:tc>
          <w:tcPr>
            <w:tcW w:w="1049" w:type="dxa"/>
            <w:tcBorders>
              <w:top w:val="nil"/>
              <w:left w:val="nil"/>
              <w:bottom w:val="nil"/>
              <w:right w:val="nil"/>
            </w:tcBorders>
            <w:shd w:val="clear" w:color="auto" w:fill="auto"/>
            <w:noWrap/>
            <w:vAlign w:val="bottom"/>
          </w:tcPr>
          <w:p w14:paraId="4D2B5AC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0.408***</w:t>
            </w:r>
          </w:p>
        </w:tc>
      </w:tr>
      <w:tr w:rsidR="0086707B" w:rsidRPr="00A2642E" w14:paraId="152C0B9D" w14:textId="77777777" w:rsidTr="00B148D5">
        <w:trPr>
          <w:trHeight w:val="300"/>
        </w:trPr>
        <w:tc>
          <w:tcPr>
            <w:tcW w:w="1551" w:type="dxa"/>
            <w:tcBorders>
              <w:top w:val="nil"/>
              <w:left w:val="nil"/>
              <w:bottom w:val="nil"/>
              <w:right w:val="nil"/>
            </w:tcBorders>
            <w:shd w:val="clear" w:color="auto" w:fill="auto"/>
            <w:noWrap/>
            <w:vAlign w:val="bottom"/>
          </w:tcPr>
          <w:p w14:paraId="112B06C6"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3AAF82B1"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7A3592F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7453352A"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[32.63]</w:t>
            </w:r>
          </w:p>
        </w:tc>
        <w:tc>
          <w:tcPr>
            <w:tcW w:w="1047" w:type="dxa"/>
            <w:tcBorders>
              <w:top w:val="nil"/>
              <w:left w:val="nil"/>
              <w:bottom w:val="nil"/>
              <w:right w:val="nil"/>
            </w:tcBorders>
            <w:shd w:val="clear" w:color="auto" w:fill="auto"/>
            <w:noWrap/>
            <w:vAlign w:val="bottom"/>
          </w:tcPr>
          <w:p w14:paraId="372B71C9"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[32.33]</w:t>
            </w:r>
          </w:p>
        </w:tc>
        <w:tc>
          <w:tcPr>
            <w:tcW w:w="1049" w:type="dxa"/>
            <w:tcBorders>
              <w:top w:val="nil"/>
              <w:left w:val="nil"/>
              <w:bottom w:val="nil"/>
              <w:right w:val="nil"/>
            </w:tcBorders>
            <w:shd w:val="clear" w:color="auto" w:fill="auto"/>
            <w:noWrap/>
            <w:vAlign w:val="bottom"/>
          </w:tcPr>
          <w:p w14:paraId="18B90AA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[28.20]</w:t>
            </w:r>
          </w:p>
        </w:tc>
        <w:tc>
          <w:tcPr>
            <w:tcW w:w="1049" w:type="dxa"/>
            <w:tcBorders>
              <w:top w:val="nil"/>
              <w:left w:val="nil"/>
              <w:bottom w:val="nil"/>
              <w:right w:val="nil"/>
            </w:tcBorders>
            <w:shd w:val="clear" w:color="auto" w:fill="auto"/>
            <w:noWrap/>
            <w:vAlign w:val="bottom"/>
          </w:tcPr>
          <w:p w14:paraId="0DDA925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[28.02]   </w:t>
            </w:r>
          </w:p>
        </w:tc>
      </w:tr>
      <w:tr w:rsidR="0086707B" w:rsidRPr="00A2642E" w14:paraId="2C8CC677" w14:textId="77777777" w:rsidTr="00B148D5">
        <w:trPr>
          <w:trHeight w:val="300"/>
        </w:trPr>
        <w:tc>
          <w:tcPr>
            <w:tcW w:w="1551" w:type="dxa"/>
            <w:tcBorders>
              <w:top w:val="nil"/>
              <w:left w:val="nil"/>
              <w:bottom w:val="nil"/>
              <w:right w:val="nil"/>
            </w:tcBorders>
            <w:shd w:val="clear" w:color="auto" w:fill="auto"/>
            <w:noWrap/>
            <w:vAlign w:val="bottom"/>
          </w:tcPr>
          <w:p w14:paraId="55C645E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year</w:t>
            </w:r>
          </w:p>
        </w:tc>
        <w:tc>
          <w:tcPr>
            <w:tcW w:w="1047" w:type="dxa"/>
            <w:tcBorders>
              <w:top w:val="nil"/>
              <w:left w:val="nil"/>
              <w:bottom w:val="nil"/>
              <w:right w:val="nil"/>
            </w:tcBorders>
            <w:shd w:val="clear" w:color="auto" w:fill="auto"/>
            <w:noWrap/>
            <w:vAlign w:val="bottom"/>
          </w:tcPr>
          <w:p w14:paraId="327372ED"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120CABB1"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B23649E"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67D7C787"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5C0E86D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-0.026</w:t>
            </w:r>
          </w:p>
        </w:tc>
        <w:tc>
          <w:tcPr>
            <w:tcW w:w="1049" w:type="dxa"/>
            <w:tcBorders>
              <w:top w:val="nil"/>
              <w:left w:val="nil"/>
              <w:bottom w:val="nil"/>
              <w:right w:val="nil"/>
            </w:tcBorders>
            <w:shd w:val="clear" w:color="auto" w:fill="auto"/>
            <w:noWrap/>
            <w:vAlign w:val="bottom"/>
          </w:tcPr>
          <w:p w14:paraId="3457EF86"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-0.045**  </w:t>
            </w:r>
          </w:p>
        </w:tc>
      </w:tr>
      <w:tr w:rsidR="0086707B" w:rsidRPr="00A2642E" w14:paraId="600BCF98" w14:textId="77777777" w:rsidTr="00B148D5">
        <w:trPr>
          <w:trHeight w:val="300"/>
        </w:trPr>
        <w:tc>
          <w:tcPr>
            <w:tcW w:w="1551" w:type="dxa"/>
            <w:tcBorders>
              <w:top w:val="nil"/>
              <w:left w:val="nil"/>
              <w:bottom w:val="nil"/>
              <w:right w:val="nil"/>
            </w:tcBorders>
            <w:shd w:val="clear" w:color="auto" w:fill="auto"/>
            <w:noWrap/>
            <w:vAlign w:val="bottom"/>
          </w:tcPr>
          <w:p w14:paraId="2FA69474"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2499FC16"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2689895"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1B255A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718C08F5"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2440886E"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[1.39]</w:t>
            </w:r>
          </w:p>
        </w:tc>
        <w:tc>
          <w:tcPr>
            <w:tcW w:w="1049" w:type="dxa"/>
            <w:tcBorders>
              <w:top w:val="nil"/>
              <w:left w:val="nil"/>
              <w:bottom w:val="nil"/>
              <w:right w:val="nil"/>
            </w:tcBorders>
            <w:shd w:val="clear" w:color="auto" w:fill="auto"/>
            <w:noWrap/>
            <w:vAlign w:val="bottom"/>
          </w:tcPr>
          <w:p w14:paraId="5ABEAD5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[2.32]   </w:t>
            </w:r>
          </w:p>
        </w:tc>
      </w:tr>
      <w:tr w:rsidR="0086707B" w:rsidRPr="00A2642E" w14:paraId="139E0130" w14:textId="77777777" w:rsidTr="00B148D5">
        <w:trPr>
          <w:trHeight w:val="300"/>
        </w:trPr>
        <w:tc>
          <w:tcPr>
            <w:tcW w:w="1551" w:type="dxa"/>
            <w:tcBorders>
              <w:top w:val="nil"/>
              <w:left w:val="nil"/>
              <w:bottom w:val="nil"/>
              <w:right w:val="nil"/>
            </w:tcBorders>
            <w:shd w:val="clear" w:color="auto" w:fill="auto"/>
            <w:noWrap/>
            <w:vAlign w:val="bottom"/>
          </w:tcPr>
          <w:p w14:paraId="4027EBE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Country X year</w:t>
            </w:r>
          </w:p>
        </w:tc>
        <w:tc>
          <w:tcPr>
            <w:tcW w:w="1047" w:type="dxa"/>
            <w:tcBorders>
              <w:top w:val="nil"/>
              <w:left w:val="nil"/>
              <w:bottom w:val="nil"/>
              <w:right w:val="nil"/>
            </w:tcBorders>
            <w:shd w:val="clear" w:color="auto" w:fill="auto"/>
            <w:noWrap/>
            <w:vAlign w:val="bottom"/>
          </w:tcPr>
          <w:p w14:paraId="56912BFF"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1A51A8E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9C8B85F"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3455FF49"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622F6723"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4F949ED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0.000*** </w:t>
            </w:r>
          </w:p>
        </w:tc>
      </w:tr>
      <w:tr w:rsidR="0086707B" w:rsidRPr="00A2642E" w14:paraId="23DF9E23" w14:textId="77777777" w:rsidTr="00B148D5">
        <w:trPr>
          <w:trHeight w:val="300"/>
        </w:trPr>
        <w:tc>
          <w:tcPr>
            <w:tcW w:w="1551" w:type="dxa"/>
            <w:tcBorders>
              <w:top w:val="nil"/>
              <w:left w:val="nil"/>
              <w:bottom w:val="nil"/>
              <w:right w:val="nil"/>
            </w:tcBorders>
            <w:shd w:val="clear" w:color="auto" w:fill="auto"/>
            <w:noWrap/>
            <w:vAlign w:val="bottom"/>
          </w:tcPr>
          <w:p w14:paraId="2FA03D92"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3166C72F"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EF411F1"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461296A"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1E7E7956"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7501AA10"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5BE60F2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[2.89]   </w:t>
            </w:r>
          </w:p>
        </w:tc>
      </w:tr>
      <w:tr w:rsidR="0086707B" w:rsidRPr="00A2642E" w14:paraId="6BBDF697" w14:textId="77777777" w:rsidTr="00B148D5">
        <w:trPr>
          <w:trHeight w:val="300"/>
        </w:trPr>
        <w:tc>
          <w:tcPr>
            <w:tcW w:w="1551" w:type="dxa"/>
            <w:tcBorders>
              <w:top w:val="nil"/>
              <w:left w:val="nil"/>
              <w:bottom w:val="nil"/>
              <w:right w:val="nil"/>
            </w:tcBorders>
            <w:shd w:val="clear" w:color="auto" w:fill="auto"/>
            <w:noWrap/>
            <w:vAlign w:val="bottom"/>
          </w:tcPr>
          <w:p w14:paraId="54C2782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Year-effect</w:t>
            </w:r>
          </w:p>
        </w:tc>
        <w:tc>
          <w:tcPr>
            <w:tcW w:w="1047" w:type="dxa"/>
            <w:tcBorders>
              <w:top w:val="nil"/>
              <w:left w:val="nil"/>
              <w:bottom w:val="nil"/>
              <w:right w:val="nil"/>
            </w:tcBorders>
            <w:shd w:val="clear" w:color="auto" w:fill="auto"/>
            <w:noWrap/>
            <w:vAlign w:val="bottom"/>
          </w:tcPr>
          <w:p w14:paraId="43898A4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c>
          <w:tcPr>
            <w:tcW w:w="1047" w:type="dxa"/>
            <w:tcBorders>
              <w:top w:val="nil"/>
              <w:left w:val="nil"/>
              <w:bottom w:val="nil"/>
              <w:right w:val="nil"/>
            </w:tcBorders>
            <w:shd w:val="clear" w:color="auto" w:fill="auto"/>
            <w:noWrap/>
            <w:vAlign w:val="bottom"/>
          </w:tcPr>
          <w:p w14:paraId="0E8997AA"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c>
          <w:tcPr>
            <w:tcW w:w="1047" w:type="dxa"/>
            <w:tcBorders>
              <w:top w:val="nil"/>
              <w:left w:val="nil"/>
              <w:bottom w:val="nil"/>
              <w:right w:val="nil"/>
            </w:tcBorders>
            <w:shd w:val="clear" w:color="auto" w:fill="auto"/>
            <w:noWrap/>
            <w:vAlign w:val="bottom"/>
          </w:tcPr>
          <w:p w14:paraId="4F8C032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c>
          <w:tcPr>
            <w:tcW w:w="1047" w:type="dxa"/>
            <w:tcBorders>
              <w:top w:val="nil"/>
              <w:left w:val="nil"/>
              <w:bottom w:val="nil"/>
              <w:right w:val="nil"/>
            </w:tcBorders>
            <w:shd w:val="clear" w:color="auto" w:fill="auto"/>
            <w:noWrap/>
            <w:vAlign w:val="bottom"/>
          </w:tcPr>
          <w:p w14:paraId="4961404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c>
          <w:tcPr>
            <w:tcW w:w="1049" w:type="dxa"/>
            <w:tcBorders>
              <w:top w:val="nil"/>
              <w:left w:val="nil"/>
              <w:bottom w:val="nil"/>
              <w:right w:val="nil"/>
            </w:tcBorders>
            <w:shd w:val="clear" w:color="auto" w:fill="auto"/>
            <w:noWrap/>
            <w:vAlign w:val="bottom"/>
          </w:tcPr>
          <w:p w14:paraId="32EB2F6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c>
          <w:tcPr>
            <w:tcW w:w="1049" w:type="dxa"/>
            <w:tcBorders>
              <w:top w:val="nil"/>
              <w:left w:val="nil"/>
              <w:bottom w:val="nil"/>
              <w:right w:val="nil"/>
            </w:tcBorders>
            <w:shd w:val="clear" w:color="auto" w:fill="auto"/>
            <w:noWrap/>
            <w:vAlign w:val="bottom"/>
          </w:tcPr>
          <w:p w14:paraId="0386F6FD"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Yes</w:t>
            </w:r>
          </w:p>
        </w:tc>
      </w:tr>
      <w:tr w:rsidR="0086707B" w:rsidRPr="00A2642E" w14:paraId="0662B5D8" w14:textId="77777777" w:rsidTr="00B148D5">
        <w:trPr>
          <w:trHeight w:val="300"/>
        </w:trPr>
        <w:tc>
          <w:tcPr>
            <w:tcW w:w="1551" w:type="dxa"/>
            <w:tcBorders>
              <w:top w:val="nil"/>
              <w:left w:val="nil"/>
              <w:bottom w:val="nil"/>
              <w:right w:val="nil"/>
            </w:tcBorders>
            <w:shd w:val="clear" w:color="auto" w:fill="auto"/>
            <w:noWrap/>
            <w:vAlign w:val="bottom"/>
          </w:tcPr>
          <w:p w14:paraId="71A9DEE9"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_cons</w:t>
            </w:r>
          </w:p>
        </w:tc>
        <w:tc>
          <w:tcPr>
            <w:tcW w:w="1047" w:type="dxa"/>
            <w:tcBorders>
              <w:top w:val="nil"/>
              <w:left w:val="nil"/>
              <w:bottom w:val="nil"/>
              <w:right w:val="nil"/>
            </w:tcBorders>
            <w:shd w:val="clear" w:color="auto" w:fill="auto"/>
            <w:noWrap/>
            <w:vAlign w:val="bottom"/>
          </w:tcPr>
          <w:p w14:paraId="1CD98BC1"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4.484***</w:t>
            </w:r>
          </w:p>
        </w:tc>
        <w:tc>
          <w:tcPr>
            <w:tcW w:w="1047" w:type="dxa"/>
            <w:tcBorders>
              <w:top w:val="nil"/>
              <w:left w:val="nil"/>
              <w:bottom w:val="nil"/>
              <w:right w:val="nil"/>
            </w:tcBorders>
            <w:shd w:val="clear" w:color="auto" w:fill="auto"/>
            <w:noWrap/>
            <w:vAlign w:val="bottom"/>
          </w:tcPr>
          <w:p w14:paraId="60D32F5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4.438***</w:t>
            </w:r>
          </w:p>
        </w:tc>
        <w:tc>
          <w:tcPr>
            <w:tcW w:w="1047" w:type="dxa"/>
            <w:tcBorders>
              <w:top w:val="nil"/>
              <w:left w:val="nil"/>
              <w:bottom w:val="nil"/>
              <w:right w:val="nil"/>
            </w:tcBorders>
            <w:shd w:val="clear" w:color="auto" w:fill="auto"/>
            <w:noWrap/>
            <w:vAlign w:val="bottom"/>
          </w:tcPr>
          <w:p w14:paraId="20CD3B8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2.137***</w:t>
            </w:r>
          </w:p>
        </w:tc>
        <w:tc>
          <w:tcPr>
            <w:tcW w:w="1047" w:type="dxa"/>
            <w:tcBorders>
              <w:top w:val="nil"/>
              <w:left w:val="nil"/>
              <w:bottom w:val="nil"/>
              <w:right w:val="nil"/>
            </w:tcBorders>
            <w:shd w:val="clear" w:color="auto" w:fill="auto"/>
            <w:noWrap/>
            <w:vAlign w:val="bottom"/>
          </w:tcPr>
          <w:p w14:paraId="7C72B3F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2.155***</w:t>
            </w:r>
          </w:p>
        </w:tc>
        <w:tc>
          <w:tcPr>
            <w:tcW w:w="1049" w:type="dxa"/>
            <w:tcBorders>
              <w:top w:val="nil"/>
              <w:left w:val="nil"/>
              <w:bottom w:val="nil"/>
              <w:right w:val="nil"/>
            </w:tcBorders>
            <w:shd w:val="clear" w:color="auto" w:fill="auto"/>
            <w:noWrap/>
            <w:vAlign w:val="bottom"/>
          </w:tcPr>
          <w:p w14:paraId="576DF9F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52.865</w:t>
            </w:r>
          </w:p>
        </w:tc>
        <w:tc>
          <w:tcPr>
            <w:tcW w:w="1049" w:type="dxa"/>
            <w:tcBorders>
              <w:top w:val="nil"/>
              <w:left w:val="nil"/>
              <w:bottom w:val="nil"/>
              <w:right w:val="nil"/>
            </w:tcBorders>
            <w:shd w:val="clear" w:color="auto" w:fill="auto"/>
            <w:noWrap/>
            <w:vAlign w:val="bottom"/>
          </w:tcPr>
          <w:p w14:paraId="311B7BA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91.312**  </w:t>
            </w:r>
          </w:p>
        </w:tc>
      </w:tr>
      <w:tr w:rsidR="0086707B" w:rsidRPr="00A2642E" w14:paraId="1FC40A7E" w14:textId="77777777" w:rsidTr="00B148D5">
        <w:trPr>
          <w:trHeight w:val="300"/>
        </w:trPr>
        <w:tc>
          <w:tcPr>
            <w:tcW w:w="1551" w:type="dxa"/>
            <w:tcBorders>
              <w:top w:val="nil"/>
              <w:left w:val="nil"/>
              <w:bottom w:val="nil"/>
              <w:right w:val="nil"/>
            </w:tcBorders>
            <w:shd w:val="clear" w:color="auto" w:fill="auto"/>
            <w:noWrap/>
            <w:vAlign w:val="bottom"/>
          </w:tcPr>
          <w:p w14:paraId="13E6D798"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19E9979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[48.96]</w:t>
            </w:r>
          </w:p>
        </w:tc>
        <w:tc>
          <w:tcPr>
            <w:tcW w:w="1047" w:type="dxa"/>
            <w:tcBorders>
              <w:top w:val="nil"/>
              <w:left w:val="nil"/>
              <w:bottom w:val="nil"/>
              <w:right w:val="nil"/>
            </w:tcBorders>
            <w:shd w:val="clear" w:color="auto" w:fill="auto"/>
            <w:noWrap/>
            <w:vAlign w:val="bottom"/>
          </w:tcPr>
          <w:p w14:paraId="31687C1B"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[45.14]</w:t>
            </w:r>
          </w:p>
        </w:tc>
        <w:tc>
          <w:tcPr>
            <w:tcW w:w="1047" w:type="dxa"/>
            <w:tcBorders>
              <w:top w:val="nil"/>
              <w:left w:val="nil"/>
              <w:bottom w:val="nil"/>
              <w:right w:val="nil"/>
            </w:tcBorders>
            <w:shd w:val="clear" w:color="auto" w:fill="auto"/>
            <w:noWrap/>
            <w:vAlign w:val="bottom"/>
          </w:tcPr>
          <w:p w14:paraId="106DD6E7"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[5.73]</w:t>
            </w:r>
          </w:p>
        </w:tc>
        <w:tc>
          <w:tcPr>
            <w:tcW w:w="1047" w:type="dxa"/>
            <w:tcBorders>
              <w:top w:val="nil"/>
              <w:left w:val="nil"/>
              <w:bottom w:val="nil"/>
              <w:right w:val="nil"/>
            </w:tcBorders>
            <w:shd w:val="clear" w:color="auto" w:fill="auto"/>
            <w:noWrap/>
            <w:vAlign w:val="bottom"/>
          </w:tcPr>
          <w:p w14:paraId="60DA0D25"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[5.77]</w:t>
            </w:r>
          </w:p>
        </w:tc>
        <w:tc>
          <w:tcPr>
            <w:tcW w:w="1049" w:type="dxa"/>
            <w:tcBorders>
              <w:top w:val="nil"/>
              <w:left w:val="nil"/>
              <w:bottom w:val="nil"/>
              <w:right w:val="nil"/>
            </w:tcBorders>
            <w:shd w:val="clear" w:color="auto" w:fill="auto"/>
            <w:noWrap/>
            <w:vAlign w:val="bottom"/>
          </w:tcPr>
          <w:p w14:paraId="28372B3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[1.44]</w:t>
            </w:r>
          </w:p>
        </w:tc>
        <w:tc>
          <w:tcPr>
            <w:tcW w:w="1049" w:type="dxa"/>
            <w:tcBorders>
              <w:top w:val="nil"/>
              <w:left w:val="nil"/>
              <w:bottom w:val="nil"/>
              <w:right w:val="nil"/>
            </w:tcBorders>
            <w:shd w:val="clear" w:color="auto" w:fill="auto"/>
            <w:noWrap/>
            <w:vAlign w:val="bottom"/>
          </w:tcPr>
          <w:p w14:paraId="6782CB7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 xml:space="preserve">[2.37]   </w:t>
            </w:r>
          </w:p>
        </w:tc>
      </w:tr>
      <w:tr w:rsidR="0086707B" w:rsidRPr="00A2642E" w14:paraId="1D703482" w14:textId="77777777" w:rsidTr="00B148D5">
        <w:trPr>
          <w:trHeight w:val="300"/>
        </w:trPr>
        <w:tc>
          <w:tcPr>
            <w:tcW w:w="1551" w:type="dxa"/>
            <w:tcBorders>
              <w:top w:val="nil"/>
              <w:left w:val="nil"/>
              <w:bottom w:val="nil"/>
              <w:right w:val="nil"/>
            </w:tcBorders>
            <w:shd w:val="clear" w:color="auto" w:fill="auto"/>
            <w:noWrap/>
            <w:vAlign w:val="bottom"/>
          </w:tcPr>
          <w:p w14:paraId="3ED34616"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4A348A51"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5CAB1479"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2A3D5800"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7" w:type="dxa"/>
            <w:tcBorders>
              <w:top w:val="nil"/>
              <w:left w:val="nil"/>
              <w:bottom w:val="nil"/>
              <w:right w:val="nil"/>
            </w:tcBorders>
            <w:shd w:val="clear" w:color="auto" w:fill="auto"/>
            <w:noWrap/>
            <w:vAlign w:val="bottom"/>
          </w:tcPr>
          <w:p w14:paraId="0E65BD03"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7010DABA" w14:textId="77777777" w:rsidR="0086707B" w:rsidRPr="00A2642E" w:rsidRDefault="0086707B" w:rsidP="00B148D5">
            <w:pPr>
              <w:widowControl/>
              <w:ind w:firstLine="0"/>
              <w:rPr>
                <w:rFonts w:asciiTheme="majorHAnsi" w:hAnsiTheme="majorHAnsi"/>
                <w:color w:val="000000"/>
                <w:sz w:val="20"/>
                <w:szCs w:val="20"/>
                <w:lang w:eastAsia="ko-KR"/>
              </w:rPr>
            </w:pPr>
          </w:p>
        </w:tc>
        <w:tc>
          <w:tcPr>
            <w:tcW w:w="1049" w:type="dxa"/>
            <w:tcBorders>
              <w:top w:val="nil"/>
              <w:left w:val="nil"/>
              <w:bottom w:val="nil"/>
              <w:right w:val="nil"/>
            </w:tcBorders>
            <w:shd w:val="clear" w:color="auto" w:fill="auto"/>
            <w:noWrap/>
            <w:vAlign w:val="bottom"/>
          </w:tcPr>
          <w:p w14:paraId="51A40C14" w14:textId="77777777" w:rsidR="0086707B" w:rsidRPr="00A2642E" w:rsidRDefault="0086707B" w:rsidP="00B148D5">
            <w:pPr>
              <w:widowControl/>
              <w:ind w:firstLine="0"/>
              <w:rPr>
                <w:rFonts w:asciiTheme="majorHAnsi" w:hAnsiTheme="majorHAnsi"/>
                <w:color w:val="000000"/>
                <w:sz w:val="20"/>
                <w:szCs w:val="20"/>
                <w:lang w:eastAsia="ko-KR"/>
              </w:rPr>
            </w:pPr>
          </w:p>
        </w:tc>
      </w:tr>
      <w:tr w:rsidR="0086707B" w:rsidRPr="00A2642E" w14:paraId="245EDACF" w14:textId="77777777" w:rsidTr="00B148D5">
        <w:trPr>
          <w:trHeight w:val="300"/>
        </w:trPr>
        <w:tc>
          <w:tcPr>
            <w:tcW w:w="1551" w:type="dxa"/>
            <w:tcBorders>
              <w:top w:val="nil"/>
              <w:left w:val="nil"/>
              <w:right w:val="nil"/>
            </w:tcBorders>
            <w:shd w:val="clear" w:color="auto" w:fill="auto"/>
            <w:noWrap/>
            <w:vAlign w:val="bottom"/>
          </w:tcPr>
          <w:p w14:paraId="749B1F83"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N</w:t>
            </w:r>
          </w:p>
        </w:tc>
        <w:tc>
          <w:tcPr>
            <w:tcW w:w="1047" w:type="dxa"/>
            <w:tcBorders>
              <w:top w:val="nil"/>
              <w:left w:val="nil"/>
              <w:right w:val="nil"/>
            </w:tcBorders>
            <w:shd w:val="clear" w:color="auto" w:fill="auto"/>
            <w:noWrap/>
            <w:vAlign w:val="bottom"/>
          </w:tcPr>
          <w:p w14:paraId="7E14DEF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6134</w:t>
            </w:r>
          </w:p>
        </w:tc>
        <w:tc>
          <w:tcPr>
            <w:tcW w:w="1047" w:type="dxa"/>
            <w:tcBorders>
              <w:top w:val="nil"/>
              <w:left w:val="nil"/>
              <w:right w:val="nil"/>
            </w:tcBorders>
            <w:shd w:val="clear" w:color="auto" w:fill="auto"/>
            <w:noWrap/>
            <w:vAlign w:val="bottom"/>
          </w:tcPr>
          <w:p w14:paraId="01B9DB96"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6134</w:t>
            </w:r>
          </w:p>
        </w:tc>
        <w:tc>
          <w:tcPr>
            <w:tcW w:w="1047" w:type="dxa"/>
            <w:tcBorders>
              <w:top w:val="nil"/>
              <w:left w:val="nil"/>
              <w:right w:val="nil"/>
            </w:tcBorders>
            <w:shd w:val="clear" w:color="auto" w:fill="auto"/>
            <w:noWrap/>
            <w:vAlign w:val="bottom"/>
          </w:tcPr>
          <w:p w14:paraId="5229ABBC"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5671</w:t>
            </w:r>
          </w:p>
        </w:tc>
        <w:tc>
          <w:tcPr>
            <w:tcW w:w="1047" w:type="dxa"/>
            <w:tcBorders>
              <w:top w:val="nil"/>
              <w:left w:val="nil"/>
              <w:right w:val="nil"/>
            </w:tcBorders>
            <w:shd w:val="clear" w:color="auto" w:fill="auto"/>
            <w:noWrap/>
            <w:vAlign w:val="bottom"/>
          </w:tcPr>
          <w:p w14:paraId="23AE2584"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5671</w:t>
            </w:r>
          </w:p>
        </w:tc>
        <w:tc>
          <w:tcPr>
            <w:tcW w:w="1049" w:type="dxa"/>
            <w:tcBorders>
              <w:top w:val="nil"/>
              <w:left w:val="nil"/>
              <w:right w:val="nil"/>
            </w:tcBorders>
            <w:shd w:val="clear" w:color="auto" w:fill="auto"/>
            <w:noWrap/>
            <w:vAlign w:val="bottom"/>
          </w:tcPr>
          <w:p w14:paraId="6AE1F7BE"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5671</w:t>
            </w:r>
          </w:p>
        </w:tc>
        <w:tc>
          <w:tcPr>
            <w:tcW w:w="1049" w:type="dxa"/>
            <w:tcBorders>
              <w:top w:val="nil"/>
              <w:left w:val="nil"/>
              <w:right w:val="nil"/>
            </w:tcBorders>
            <w:shd w:val="clear" w:color="auto" w:fill="auto"/>
            <w:noWrap/>
            <w:vAlign w:val="bottom"/>
          </w:tcPr>
          <w:p w14:paraId="79EA161A"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5671</w:t>
            </w:r>
          </w:p>
        </w:tc>
      </w:tr>
      <w:tr w:rsidR="0086707B" w:rsidRPr="00A2642E" w14:paraId="14D509E0" w14:textId="77777777" w:rsidTr="00B148D5">
        <w:trPr>
          <w:trHeight w:val="300"/>
        </w:trPr>
        <w:tc>
          <w:tcPr>
            <w:tcW w:w="1551" w:type="dxa"/>
            <w:tcBorders>
              <w:top w:val="nil"/>
              <w:left w:val="nil"/>
              <w:bottom w:val="single" w:sz="4" w:space="0" w:color="auto"/>
              <w:right w:val="nil"/>
            </w:tcBorders>
            <w:shd w:val="clear" w:color="auto" w:fill="auto"/>
            <w:noWrap/>
            <w:vAlign w:val="bottom"/>
          </w:tcPr>
          <w:p w14:paraId="65FCF84F"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noProof/>
                <w:color w:val="000000"/>
                <w:position w:val="-4"/>
                <w:sz w:val="20"/>
                <w:szCs w:val="20"/>
              </w:rPr>
              <w:t>Adjusted R</w:t>
            </w:r>
            <w:r w:rsidRPr="00A2642E">
              <w:rPr>
                <w:rFonts w:asciiTheme="majorHAnsi" w:hAnsiTheme="majorHAnsi"/>
                <w:noProof/>
                <w:color w:val="000000"/>
                <w:position w:val="-4"/>
                <w:sz w:val="20"/>
                <w:szCs w:val="20"/>
                <w:vertAlign w:val="superscript"/>
              </w:rPr>
              <w:t>2</w:t>
            </w:r>
          </w:p>
        </w:tc>
        <w:tc>
          <w:tcPr>
            <w:tcW w:w="1047" w:type="dxa"/>
            <w:tcBorders>
              <w:top w:val="nil"/>
              <w:left w:val="nil"/>
              <w:bottom w:val="single" w:sz="4" w:space="0" w:color="auto"/>
              <w:right w:val="nil"/>
            </w:tcBorders>
            <w:shd w:val="clear" w:color="auto" w:fill="auto"/>
            <w:noWrap/>
            <w:vAlign w:val="bottom"/>
          </w:tcPr>
          <w:p w14:paraId="34CEE8FC"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0.001</w:t>
            </w:r>
          </w:p>
        </w:tc>
        <w:tc>
          <w:tcPr>
            <w:tcW w:w="1047" w:type="dxa"/>
            <w:tcBorders>
              <w:top w:val="nil"/>
              <w:left w:val="nil"/>
              <w:bottom w:val="single" w:sz="4" w:space="0" w:color="auto"/>
              <w:right w:val="nil"/>
            </w:tcBorders>
            <w:shd w:val="clear" w:color="auto" w:fill="auto"/>
            <w:noWrap/>
            <w:vAlign w:val="bottom"/>
          </w:tcPr>
          <w:p w14:paraId="00CCCFD0"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0.001</w:t>
            </w:r>
          </w:p>
        </w:tc>
        <w:tc>
          <w:tcPr>
            <w:tcW w:w="1047" w:type="dxa"/>
            <w:tcBorders>
              <w:top w:val="nil"/>
              <w:left w:val="nil"/>
              <w:bottom w:val="single" w:sz="4" w:space="0" w:color="auto"/>
              <w:right w:val="nil"/>
            </w:tcBorders>
            <w:shd w:val="clear" w:color="auto" w:fill="auto"/>
            <w:noWrap/>
            <w:vAlign w:val="bottom"/>
          </w:tcPr>
          <w:p w14:paraId="4C4CFDE2"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0.478</w:t>
            </w:r>
          </w:p>
        </w:tc>
        <w:tc>
          <w:tcPr>
            <w:tcW w:w="1047" w:type="dxa"/>
            <w:tcBorders>
              <w:top w:val="nil"/>
              <w:left w:val="nil"/>
              <w:bottom w:val="single" w:sz="4" w:space="0" w:color="auto"/>
              <w:right w:val="nil"/>
            </w:tcBorders>
            <w:shd w:val="clear" w:color="auto" w:fill="auto"/>
            <w:noWrap/>
            <w:vAlign w:val="bottom"/>
          </w:tcPr>
          <w:p w14:paraId="40B49E18"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0.479</w:t>
            </w:r>
          </w:p>
        </w:tc>
        <w:tc>
          <w:tcPr>
            <w:tcW w:w="1049" w:type="dxa"/>
            <w:tcBorders>
              <w:top w:val="nil"/>
              <w:left w:val="nil"/>
              <w:bottom w:val="single" w:sz="4" w:space="0" w:color="auto"/>
              <w:right w:val="nil"/>
            </w:tcBorders>
            <w:shd w:val="clear" w:color="auto" w:fill="auto"/>
            <w:noWrap/>
            <w:vAlign w:val="bottom"/>
          </w:tcPr>
          <w:p w14:paraId="6C21DF99"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0.481</w:t>
            </w:r>
          </w:p>
        </w:tc>
        <w:tc>
          <w:tcPr>
            <w:tcW w:w="1049" w:type="dxa"/>
            <w:tcBorders>
              <w:top w:val="nil"/>
              <w:left w:val="nil"/>
              <w:bottom w:val="single" w:sz="4" w:space="0" w:color="auto"/>
              <w:right w:val="nil"/>
            </w:tcBorders>
            <w:shd w:val="clear" w:color="auto" w:fill="auto"/>
            <w:noWrap/>
            <w:vAlign w:val="bottom"/>
          </w:tcPr>
          <w:p w14:paraId="6A8BEB76" w14:textId="77777777" w:rsidR="0086707B" w:rsidRPr="00A2642E" w:rsidRDefault="0086707B" w:rsidP="00B148D5">
            <w:pPr>
              <w:widowControl/>
              <w:ind w:firstLine="0"/>
              <w:rPr>
                <w:rFonts w:asciiTheme="majorHAnsi" w:hAnsiTheme="majorHAnsi"/>
                <w:color w:val="000000"/>
                <w:sz w:val="20"/>
                <w:szCs w:val="20"/>
                <w:lang w:eastAsia="ko-KR"/>
              </w:rPr>
            </w:pPr>
            <w:r w:rsidRPr="00A2642E">
              <w:rPr>
                <w:rFonts w:asciiTheme="majorHAnsi" w:hAnsiTheme="majorHAnsi"/>
                <w:color w:val="000000"/>
                <w:sz w:val="20"/>
                <w:szCs w:val="20"/>
                <w:lang w:eastAsia="ko-KR"/>
              </w:rPr>
              <w:t>0.482</w:t>
            </w:r>
          </w:p>
        </w:tc>
      </w:tr>
    </w:tbl>
    <w:p w14:paraId="4BE8A174" w14:textId="77777777" w:rsidR="0086707B" w:rsidRDefault="0086707B" w:rsidP="0086707B">
      <w:pPr>
        <w:ind w:firstLine="0"/>
        <w:jc w:val="both"/>
        <w:rPr>
          <w:sz w:val="20"/>
          <w:szCs w:val="20"/>
        </w:rPr>
      </w:pPr>
      <w:r w:rsidRPr="00597E8B">
        <w:rPr>
          <w:sz w:val="20"/>
          <w:szCs w:val="20"/>
        </w:rPr>
        <w:t>Note: Pop</w:t>
      </w:r>
      <w:r>
        <w:rPr>
          <w:sz w:val="20"/>
          <w:szCs w:val="20"/>
        </w:rPr>
        <w:t>ulation and GDPPC respectively refer</w:t>
      </w:r>
      <w:r w:rsidRPr="00597E8B">
        <w:rPr>
          <w:sz w:val="20"/>
          <w:szCs w:val="20"/>
        </w:rPr>
        <w:t xml:space="preserve"> to urban population in million and GDP per capita in 1000 USD.</w:t>
      </w:r>
      <w:r w:rsidRPr="005D034C">
        <w:rPr>
          <w:sz w:val="20"/>
          <w:szCs w:val="20"/>
        </w:rPr>
        <w:t xml:space="preserve"> </w:t>
      </w:r>
      <w:r w:rsidRPr="00A25889">
        <w:rPr>
          <w:sz w:val="20"/>
          <w:szCs w:val="20"/>
        </w:rPr>
        <w:t>*, **, *** refers to 10, 5 and 1 per</w:t>
      </w:r>
      <w:r>
        <w:rPr>
          <w:sz w:val="20"/>
          <w:szCs w:val="20"/>
        </w:rPr>
        <w:t xml:space="preserve"> </w:t>
      </w:r>
      <w:r w:rsidRPr="00A25889">
        <w:rPr>
          <w:sz w:val="20"/>
          <w:szCs w:val="20"/>
        </w:rPr>
        <w:t>cent significance level</w:t>
      </w:r>
      <w:r w:rsidRPr="009D3C21">
        <w:rPr>
          <w:sz w:val="20"/>
          <w:szCs w:val="20"/>
        </w:rPr>
        <w:t xml:space="preserve"> respectively.  Figures in parentheses are het</w:t>
      </w:r>
      <w:r>
        <w:rPr>
          <w:sz w:val="20"/>
          <w:szCs w:val="20"/>
        </w:rPr>
        <w:t>e</w:t>
      </w:r>
      <w:r w:rsidRPr="009D3C21">
        <w:rPr>
          <w:sz w:val="20"/>
          <w:szCs w:val="20"/>
        </w:rPr>
        <w:t>rosceda</w:t>
      </w:r>
      <w:r>
        <w:rPr>
          <w:sz w:val="20"/>
          <w:szCs w:val="20"/>
        </w:rPr>
        <w:t>sti</w:t>
      </w:r>
      <w:r w:rsidRPr="009D3C21">
        <w:rPr>
          <w:sz w:val="20"/>
          <w:szCs w:val="20"/>
        </w:rPr>
        <w:t xml:space="preserve">city-robust t-values. </w:t>
      </w:r>
    </w:p>
    <w:p w14:paraId="3686B921" w14:textId="77777777" w:rsidR="0086707B" w:rsidRPr="00597E8B" w:rsidRDefault="0086707B" w:rsidP="0086707B">
      <w:pPr>
        <w:ind w:firstLine="0"/>
        <w:jc w:val="both"/>
        <w:rPr>
          <w:sz w:val="20"/>
          <w:szCs w:val="20"/>
        </w:rPr>
      </w:pPr>
    </w:p>
    <w:p w14:paraId="69790698" w14:textId="77777777" w:rsidR="0086707B" w:rsidRDefault="0086707B" w:rsidP="0086707B">
      <w:pPr>
        <w:spacing w:line="480" w:lineRule="auto"/>
        <w:ind w:firstLine="0"/>
        <w:jc w:val="both"/>
      </w:pPr>
    </w:p>
    <w:p w14:paraId="62FEECBA" w14:textId="77777777" w:rsidR="0086707B" w:rsidRDefault="0086707B" w:rsidP="0086707B">
      <w:pPr>
        <w:widowControl/>
        <w:ind w:firstLine="0"/>
        <w:rPr>
          <w:b/>
        </w:rPr>
      </w:pPr>
      <w:r>
        <w:rPr>
          <w:b/>
        </w:rPr>
        <w:br w:type="page"/>
      </w:r>
    </w:p>
    <w:p w14:paraId="68CC90E8" w14:textId="77777777" w:rsidR="0086707B" w:rsidRDefault="0086707B" w:rsidP="0086707B">
      <w:pPr>
        <w:ind w:firstLine="0"/>
        <w:jc w:val="both"/>
        <w:rPr>
          <w:b/>
        </w:rPr>
      </w:pPr>
      <w:r>
        <w:rPr>
          <w:b/>
        </w:rPr>
        <w:lastRenderedPageBreak/>
        <w:t>Table 4: Effects of Time-Varying Country-Level Corporate Governance on CO</w:t>
      </w:r>
      <w:r w:rsidRPr="00804657">
        <w:rPr>
          <w:b/>
          <w:vertAlign w:val="subscript"/>
        </w:rPr>
        <w:t>2</w:t>
      </w:r>
    </w:p>
    <w:p w14:paraId="0ADFFF5B" w14:textId="77777777" w:rsidR="0086707B" w:rsidRDefault="0086707B" w:rsidP="0086707B">
      <w:pPr>
        <w:ind w:firstLine="0"/>
        <w:jc w:val="both"/>
        <w:rPr>
          <w:sz w:val="20"/>
          <w:szCs w:val="20"/>
        </w:rPr>
      </w:pPr>
    </w:p>
    <w:tbl>
      <w:tblPr>
        <w:tblW w:w="8160" w:type="dxa"/>
        <w:tblInd w:w="98" w:type="dxa"/>
        <w:tblLook w:val="04A0" w:firstRow="1" w:lastRow="0" w:firstColumn="1" w:lastColumn="0" w:noHBand="0" w:noVBand="1"/>
      </w:tblPr>
      <w:tblGrid>
        <w:gridCol w:w="1440"/>
        <w:gridCol w:w="960"/>
        <w:gridCol w:w="960"/>
        <w:gridCol w:w="960"/>
        <w:gridCol w:w="960"/>
        <w:gridCol w:w="960"/>
        <w:gridCol w:w="960"/>
        <w:gridCol w:w="960"/>
      </w:tblGrid>
      <w:tr w:rsidR="0086707B" w:rsidRPr="00A2642E" w14:paraId="257C4830" w14:textId="77777777" w:rsidTr="00B148D5">
        <w:trPr>
          <w:trHeight w:val="300"/>
        </w:trPr>
        <w:tc>
          <w:tcPr>
            <w:tcW w:w="1440" w:type="dxa"/>
            <w:tcBorders>
              <w:top w:val="single" w:sz="4" w:space="0" w:color="auto"/>
              <w:left w:val="nil"/>
              <w:right w:val="nil"/>
            </w:tcBorders>
            <w:shd w:val="clear" w:color="auto" w:fill="auto"/>
            <w:noWrap/>
            <w:vAlign w:val="bottom"/>
          </w:tcPr>
          <w:p w14:paraId="4E540F30" w14:textId="77777777" w:rsidR="0086707B" w:rsidRPr="00A2642E" w:rsidRDefault="0086707B" w:rsidP="00B148D5">
            <w:pPr>
              <w:widowControl/>
              <w:ind w:firstLine="0"/>
              <w:rPr>
                <w:rFonts w:asciiTheme="majorHAnsi" w:hAnsiTheme="majorHAnsi"/>
                <w:color w:val="000000"/>
                <w:sz w:val="16"/>
                <w:szCs w:val="16"/>
                <w:lang w:eastAsia="ko-KR"/>
              </w:rPr>
            </w:pPr>
          </w:p>
        </w:tc>
        <w:tc>
          <w:tcPr>
            <w:tcW w:w="3840" w:type="dxa"/>
            <w:gridSpan w:val="4"/>
            <w:tcBorders>
              <w:top w:val="single" w:sz="4" w:space="0" w:color="auto"/>
              <w:left w:val="nil"/>
              <w:bottom w:val="single" w:sz="4" w:space="0" w:color="auto"/>
              <w:right w:val="nil"/>
            </w:tcBorders>
            <w:shd w:val="clear" w:color="auto" w:fill="auto"/>
            <w:noWrap/>
            <w:vAlign w:val="bottom"/>
          </w:tcPr>
          <w:p w14:paraId="09D78912" w14:textId="77777777" w:rsidR="0086707B" w:rsidRPr="00A2642E" w:rsidRDefault="0086707B" w:rsidP="00B148D5">
            <w:pPr>
              <w:widowControl/>
              <w:ind w:firstLine="0"/>
              <w:jc w:val="center"/>
              <w:rPr>
                <w:rFonts w:asciiTheme="majorHAnsi" w:hAnsiTheme="majorHAnsi"/>
                <w:color w:val="000000"/>
                <w:sz w:val="16"/>
                <w:szCs w:val="16"/>
                <w:lang w:eastAsia="ko-KR"/>
              </w:rPr>
            </w:pPr>
            <w:r w:rsidRPr="00A2642E">
              <w:rPr>
                <w:rFonts w:asciiTheme="majorHAnsi" w:hAnsiTheme="majorHAnsi"/>
                <w:color w:val="000000"/>
                <w:sz w:val="16"/>
                <w:szCs w:val="16"/>
                <w:lang w:eastAsia="ko-KR"/>
              </w:rPr>
              <w:t>All Countries</w:t>
            </w:r>
          </w:p>
        </w:tc>
        <w:tc>
          <w:tcPr>
            <w:tcW w:w="960" w:type="dxa"/>
            <w:tcBorders>
              <w:top w:val="single" w:sz="4" w:space="0" w:color="auto"/>
              <w:left w:val="nil"/>
              <w:bottom w:val="single" w:sz="4" w:space="0" w:color="auto"/>
              <w:right w:val="nil"/>
            </w:tcBorders>
            <w:shd w:val="clear" w:color="auto" w:fill="auto"/>
            <w:noWrap/>
            <w:vAlign w:val="bottom"/>
          </w:tcPr>
          <w:p w14:paraId="2CB228D8" w14:textId="77777777" w:rsidR="0086707B" w:rsidRPr="00A2642E" w:rsidRDefault="0086707B" w:rsidP="00B148D5">
            <w:pPr>
              <w:widowControl/>
              <w:ind w:firstLine="0"/>
              <w:rPr>
                <w:rFonts w:asciiTheme="majorHAnsi" w:hAnsiTheme="majorHAnsi"/>
                <w:color w:val="000000"/>
                <w:sz w:val="16"/>
                <w:szCs w:val="16"/>
                <w:lang w:eastAsia="ko-KR"/>
              </w:rPr>
            </w:pPr>
          </w:p>
        </w:tc>
        <w:tc>
          <w:tcPr>
            <w:tcW w:w="1920" w:type="dxa"/>
            <w:gridSpan w:val="2"/>
            <w:tcBorders>
              <w:top w:val="single" w:sz="4" w:space="0" w:color="auto"/>
              <w:left w:val="nil"/>
              <w:right w:val="nil"/>
            </w:tcBorders>
            <w:shd w:val="clear" w:color="auto" w:fill="auto"/>
            <w:noWrap/>
            <w:vAlign w:val="bottom"/>
          </w:tcPr>
          <w:p w14:paraId="49D5ADE0" w14:textId="77777777" w:rsidR="0086707B" w:rsidRPr="00A2642E" w:rsidRDefault="0086707B" w:rsidP="00B148D5">
            <w:pPr>
              <w:widowControl/>
              <w:ind w:firstLine="0"/>
              <w:rPr>
                <w:rFonts w:asciiTheme="majorHAnsi" w:hAnsiTheme="majorHAnsi"/>
                <w:color w:val="000000"/>
                <w:sz w:val="16"/>
                <w:szCs w:val="16"/>
                <w:u w:val="single"/>
                <w:lang w:eastAsia="ko-KR"/>
              </w:rPr>
            </w:pPr>
            <w:r w:rsidRPr="00A2642E">
              <w:rPr>
                <w:rFonts w:asciiTheme="majorHAnsi" w:hAnsiTheme="majorHAnsi"/>
                <w:color w:val="000000"/>
                <w:sz w:val="16"/>
                <w:szCs w:val="16"/>
                <w:u w:val="single"/>
                <w:lang w:eastAsia="ko-KR"/>
              </w:rPr>
              <w:t>Common Law Country</w:t>
            </w:r>
          </w:p>
        </w:tc>
      </w:tr>
      <w:tr w:rsidR="0086707B" w:rsidRPr="00A2642E" w14:paraId="076AA0BB" w14:textId="77777777" w:rsidTr="00B148D5">
        <w:trPr>
          <w:trHeight w:val="300"/>
        </w:trPr>
        <w:tc>
          <w:tcPr>
            <w:tcW w:w="1440" w:type="dxa"/>
            <w:tcBorders>
              <w:left w:val="nil"/>
              <w:bottom w:val="nil"/>
              <w:right w:val="nil"/>
            </w:tcBorders>
            <w:shd w:val="clear" w:color="auto" w:fill="auto"/>
            <w:noWrap/>
            <w:vAlign w:val="bottom"/>
          </w:tcPr>
          <w:p w14:paraId="2BEA1CCD"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4F5FA343"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2307236C"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63E6B72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250D59F7"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0C4129CE"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left w:val="nil"/>
              <w:bottom w:val="nil"/>
              <w:right w:val="nil"/>
            </w:tcBorders>
            <w:shd w:val="clear" w:color="auto" w:fill="auto"/>
            <w:noWrap/>
            <w:vAlign w:val="bottom"/>
          </w:tcPr>
          <w:p w14:paraId="3AED8BD8"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left w:val="nil"/>
              <w:bottom w:val="nil"/>
              <w:right w:val="nil"/>
            </w:tcBorders>
            <w:shd w:val="clear" w:color="auto" w:fill="auto"/>
            <w:noWrap/>
            <w:vAlign w:val="bottom"/>
          </w:tcPr>
          <w:p w14:paraId="461AA64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No</w:t>
            </w:r>
          </w:p>
        </w:tc>
      </w:tr>
      <w:tr w:rsidR="0086707B" w:rsidRPr="00A2642E" w14:paraId="06F88AD9" w14:textId="77777777" w:rsidTr="00B148D5">
        <w:trPr>
          <w:trHeight w:val="300"/>
        </w:trPr>
        <w:tc>
          <w:tcPr>
            <w:tcW w:w="1440" w:type="dxa"/>
            <w:tcBorders>
              <w:left w:val="nil"/>
              <w:bottom w:val="nil"/>
              <w:right w:val="nil"/>
            </w:tcBorders>
            <w:shd w:val="clear" w:color="auto" w:fill="auto"/>
            <w:noWrap/>
            <w:vAlign w:val="bottom"/>
          </w:tcPr>
          <w:p w14:paraId="20A4E7B9"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left w:val="nil"/>
              <w:bottom w:val="nil"/>
              <w:right w:val="nil"/>
            </w:tcBorders>
            <w:shd w:val="clear" w:color="auto" w:fill="auto"/>
            <w:noWrap/>
            <w:vAlign w:val="bottom"/>
          </w:tcPr>
          <w:p w14:paraId="715A6A1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w:t>
            </w:r>
          </w:p>
        </w:tc>
        <w:tc>
          <w:tcPr>
            <w:tcW w:w="960" w:type="dxa"/>
            <w:tcBorders>
              <w:left w:val="nil"/>
              <w:bottom w:val="nil"/>
              <w:right w:val="nil"/>
            </w:tcBorders>
            <w:shd w:val="clear" w:color="auto" w:fill="auto"/>
            <w:noWrap/>
            <w:vAlign w:val="bottom"/>
          </w:tcPr>
          <w:p w14:paraId="34A5C66F"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w:t>
            </w:r>
          </w:p>
        </w:tc>
        <w:tc>
          <w:tcPr>
            <w:tcW w:w="960" w:type="dxa"/>
            <w:tcBorders>
              <w:left w:val="nil"/>
              <w:bottom w:val="nil"/>
              <w:right w:val="nil"/>
            </w:tcBorders>
            <w:shd w:val="clear" w:color="auto" w:fill="auto"/>
            <w:noWrap/>
            <w:vAlign w:val="bottom"/>
          </w:tcPr>
          <w:p w14:paraId="56BA596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w:t>
            </w:r>
          </w:p>
        </w:tc>
        <w:tc>
          <w:tcPr>
            <w:tcW w:w="960" w:type="dxa"/>
            <w:tcBorders>
              <w:left w:val="nil"/>
              <w:bottom w:val="nil"/>
              <w:right w:val="nil"/>
            </w:tcBorders>
            <w:shd w:val="clear" w:color="auto" w:fill="auto"/>
            <w:noWrap/>
            <w:vAlign w:val="bottom"/>
          </w:tcPr>
          <w:p w14:paraId="4603BBE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(4)</w:t>
            </w:r>
          </w:p>
        </w:tc>
        <w:tc>
          <w:tcPr>
            <w:tcW w:w="960" w:type="dxa"/>
            <w:tcBorders>
              <w:left w:val="nil"/>
              <w:bottom w:val="nil"/>
              <w:right w:val="nil"/>
            </w:tcBorders>
            <w:shd w:val="clear" w:color="auto" w:fill="auto"/>
            <w:noWrap/>
            <w:vAlign w:val="bottom"/>
          </w:tcPr>
          <w:p w14:paraId="184C4258"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(5)</w:t>
            </w:r>
          </w:p>
        </w:tc>
        <w:tc>
          <w:tcPr>
            <w:tcW w:w="960" w:type="dxa"/>
            <w:tcBorders>
              <w:left w:val="nil"/>
              <w:bottom w:val="nil"/>
              <w:right w:val="nil"/>
            </w:tcBorders>
            <w:shd w:val="clear" w:color="auto" w:fill="auto"/>
            <w:noWrap/>
            <w:vAlign w:val="bottom"/>
          </w:tcPr>
          <w:p w14:paraId="4099F100"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(6)</w:t>
            </w:r>
          </w:p>
        </w:tc>
        <w:tc>
          <w:tcPr>
            <w:tcW w:w="960" w:type="dxa"/>
            <w:tcBorders>
              <w:left w:val="nil"/>
              <w:bottom w:val="nil"/>
              <w:right w:val="nil"/>
            </w:tcBorders>
            <w:shd w:val="clear" w:color="auto" w:fill="auto"/>
            <w:noWrap/>
            <w:vAlign w:val="bottom"/>
          </w:tcPr>
          <w:p w14:paraId="6CBF6E5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(7)</w:t>
            </w:r>
          </w:p>
        </w:tc>
      </w:tr>
      <w:tr w:rsidR="0086707B" w:rsidRPr="00A2642E" w14:paraId="67331E3A" w14:textId="77777777" w:rsidTr="00B148D5">
        <w:trPr>
          <w:trHeight w:val="300"/>
        </w:trPr>
        <w:tc>
          <w:tcPr>
            <w:tcW w:w="1440" w:type="dxa"/>
            <w:tcBorders>
              <w:top w:val="single" w:sz="4" w:space="0" w:color="auto"/>
              <w:left w:val="nil"/>
              <w:bottom w:val="nil"/>
              <w:right w:val="nil"/>
            </w:tcBorders>
            <w:shd w:val="clear" w:color="auto" w:fill="auto"/>
            <w:noWrap/>
            <w:vAlign w:val="bottom"/>
          </w:tcPr>
          <w:p w14:paraId="07F363E7"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1F4C49D2"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4CB8B9E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65C0D11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3122816D"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13CC082B"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15621DBC"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single" w:sz="4" w:space="0" w:color="auto"/>
              <w:left w:val="nil"/>
              <w:bottom w:val="nil"/>
              <w:right w:val="nil"/>
            </w:tcBorders>
            <w:shd w:val="clear" w:color="auto" w:fill="auto"/>
            <w:noWrap/>
            <w:vAlign w:val="bottom"/>
          </w:tcPr>
          <w:p w14:paraId="701B6D0A" w14:textId="77777777" w:rsidR="0086707B" w:rsidRPr="00A2642E" w:rsidRDefault="0086707B" w:rsidP="00B148D5">
            <w:pPr>
              <w:widowControl/>
              <w:ind w:firstLine="0"/>
              <w:rPr>
                <w:rFonts w:asciiTheme="majorHAnsi" w:hAnsiTheme="majorHAnsi"/>
                <w:color w:val="000000"/>
                <w:sz w:val="16"/>
                <w:szCs w:val="16"/>
                <w:lang w:eastAsia="ko-KR"/>
              </w:rPr>
            </w:pPr>
          </w:p>
        </w:tc>
      </w:tr>
      <w:tr w:rsidR="0086707B" w:rsidRPr="00A2642E" w14:paraId="6EB0ED31" w14:textId="77777777" w:rsidTr="00B148D5">
        <w:trPr>
          <w:trHeight w:val="300"/>
        </w:trPr>
        <w:tc>
          <w:tcPr>
            <w:tcW w:w="1440" w:type="dxa"/>
            <w:tcBorders>
              <w:top w:val="nil"/>
              <w:left w:val="nil"/>
              <w:bottom w:val="nil"/>
              <w:right w:val="nil"/>
            </w:tcBorders>
            <w:shd w:val="clear" w:color="auto" w:fill="auto"/>
            <w:noWrap/>
            <w:vAlign w:val="bottom"/>
          </w:tcPr>
          <w:p w14:paraId="2F1B922E"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G-Index41</w:t>
            </w:r>
          </w:p>
        </w:tc>
        <w:tc>
          <w:tcPr>
            <w:tcW w:w="960" w:type="dxa"/>
            <w:tcBorders>
              <w:top w:val="nil"/>
              <w:left w:val="nil"/>
              <w:bottom w:val="nil"/>
              <w:right w:val="nil"/>
            </w:tcBorders>
            <w:shd w:val="clear" w:color="auto" w:fill="auto"/>
            <w:noWrap/>
            <w:vAlign w:val="bottom"/>
          </w:tcPr>
          <w:p w14:paraId="4FC3B2E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0.242***</w:t>
            </w:r>
          </w:p>
        </w:tc>
        <w:tc>
          <w:tcPr>
            <w:tcW w:w="960" w:type="dxa"/>
            <w:tcBorders>
              <w:top w:val="nil"/>
              <w:left w:val="nil"/>
              <w:bottom w:val="nil"/>
              <w:right w:val="nil"/>
            </w:tcBorders>
            <w:shd w:val="clear" w:color="auto" w:fill="auto"/>
            <w:noWrap/>
            <w:vAlign w:val="bottom"/>
          </w:tcPr>
          <w:p w14:paraId="21B2E04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0.135***</w:t>
            </w:r>
          </w:p>
        </w:tc>
        <w:tc>
          <w:tcPr>
            <w:tcW w:w="960" w:type="dxa"/>
            <w:tcBorders>
              <w:top w:val="nil"/>
              <w:left w:val="nil"/>
              <w:bottom w:val="nil"/>
              <w:right w:val="nil"/>
            </w:tcBorders>
            <w:shd w:val="clear" w:color="auto" w:fill="auto"/>
            <w:noWrap/>
            <w:vAlign w:val="bottom"/>
          </w:tcPr>
          <w:p w14:paraId="6652922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0.110**</w:t>
            </w:r>
          </w:p>
        </w:tc>
        <w:tc>
          <w:tcPr>
            <w:tcW w:w="960" w:type="dxa"/>
            <w:tcBorders>
              <w:top w:val="nil"/>
              <w:left w:val="nil"/>
              <w:bottom w:val="nil"/>
              <w:right w:val="nil"/>
            </w:tcBorders>
            <w:shd w:val="clear" w:color="auto" w:fill="auto"/>
            <w:noWrap/>
            <w:vAlign w:val="bottom"/>
          </w:tcPr>
          <w:p w14:paraId="08BEC3C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0.130***</w:t>
            </w:r>
          </w:p>
        </w:tc>
        <w:tc>
          <w:tcPr>
            <w:tcW w:w="960" w:type="dxa"/>
            <w:tcBorders>
              <w:top w:val="nil"/>
              <w:left w:val="nil"/>
              <w:bottom w:val="nil"/>
              <w:right w:val="nil"/>
            </w:tcBorders>
            <w:shd w:val="clear" w:color="auto" w:fill="auto"/>
            <w:noWrap/>
            <w:vAlign w:val="bottom"/>
          </w:tcPr>
          <w:p w14:paraId="1968A32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0.107**</w:t>
            </w:r>
          </w:p>
        </w:tc>
        <w:tc>
          <w:tcPr>
            <w:tcW w:w="960" w:type="dxa"/>
            <w:tcBorders>
              <w:top w:val="nil"/>
              <w:left w:val="nil"/>
              <w:bottom w:val="nil"/>
              <w:right w:val="nil"/>
            </w:tcBorders>
            <w:shd w:val="clear" w:color="auto" w:fill="auto"/>
            <w:noWrap/>
            <w:vAlign w:val="bottom"/>
          </w:tcPr>
          <w:p w14:paraId="5E48A39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0.271***</w:t>
            </w:r>
          </w:p>
        </w:tc>
        <w:tc>
          <w:tcPr>
            <w:tcW w:w="960" w:type="dxa"/>
            <w:tcBorders>
              <w:top w:val="nil"/>
              <w:left w:val="nil"/>
              <w:bottom w:val="nil"/>
              <w:right w:val="nil"/>
            </w:tcBorders>
            <w:shd w:val="clear" w:color="auto" w:fill="auto"/>
            <w:noWrap/>
            <w:vAlign w:val="bottom"/>
          </w:tcPr>
          <w:p w14:paraId="23B8416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-0.004</w:t>
            </w:r>
          </w:p>
        </w:tc>
      </w:tr>
      <w:tr w:rsidR="0086707B" w:rsidRPr="00A2642E" w14:paraId="20355090" w14:textId="77777777" w:rsidTr="00B148D5">
        <w:trPr>
          <w:trHeight w:val="300"/>
        </w:trPr>
        <w:tc>
          <w:tcPr>
            <w:tcW w:w="1440" w:type="dxa"/>
            <w:tcBorders>
              <w:top w:val="nil"/>
              <w:left w:val="nil"/>
              <w:bottom w:val="nil"/>
              <w:right w:val="nil"/>
            </w:tcBorders>
            <w:shd w:val="clear" w:color="auto" w:fill="auto"/>
            <w:noWrap/>
            <w:vAlign w:val="bottom"/>
          </w:tcPr>
          <w:p w14:paraId="1488718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5178244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[7.31]</w:t>
            </w:r>
          </w:p>
        </w:tc>
        <w:tc>
          <w:tcPr>
            <w:tcW w:w="960" w:type="dxa"/>
            <w:tcBorders>
              <w:top w:val="nil"/>
              <w:left w:val="nil"/>
              <w:bottom w:val="nil"/>
              <w:right w:val="nil"/>
            </w:tcBorders>
            <w:shd w:val="clear" w:color="auto" w:fill="auto"/>
            <w:noWrap/>
            <w:vAlign w:val="bottom"/>
          </w:tcPr>
          <w:p w14:paraId="0914A8A3"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[3.27]</w:t>
            </w:r>
          </w:p>
        </w:tc>
        <w:tc>
          <w:tcPr>
            <w:tcW w:w="960" w:type="dxa"/>
            <w:tcBorders>
              <w:top w:val="nil"/>
              <w:left w:val="nil"/>
              <w:bottom w:val="nil"/>
              <w:right w:val="nil"/>
            </w:tcBorders>
            <w:shd w:val="clear" w:color="auto" w:fill="auto"/>
            <w:noWrap/>
            <w:vAlign w:val="bottom"/>
          </w:tcPr>
          <w:p w14:paraId="78963DD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[2.11]</w:t>
            </w:r>
          </w:p>
        </w:tc>
        <w:tc>
          <w:tcPr>
            <w:tcW w:w="960" w:type="dxa"/>
            <w:tcBorders>
              <w:top w:val="nil"/>
              <w:left w:val="nil"/>
              <w:bottom w:val="nil"/>
              <w:right w:val="nil"/>
            </w:tcBorders>
            <w:shd w:val="clear" w:color="auto" w:fill="auto"/>
            <w:noWrap/>
            <w:vAlign w:val="bottom"/>
          </w:tcPr>
          <w:p w14:paraId="36CE7B8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[3.10]</w:t>
            </w:r>
          </w:p>
        </w:tc>
        <w:tc>
          <w:tcPr>
            <w:tcW w:w="960" w:type="dxa"/>
            <w:tcBorders>
              <w:top w:val="nil"/>
              <w:left w:val="nil"/>
              <w:bottom w:val="nil"/>
              <w:right w:val="nil"/>
            </w:tcBorders>
            <w:shd w:val="clear" w:color="auto" w:fill="auto"/>
            <w:noWrap/>
            <w:vAlign w:val="bottom"/>
          </w:tcPr>
          <w:p w14:paraId="2A64D20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[2.05]</w:t>
            </w:r>
          </w:p>
        </w:tc>
        <w:tc>
          <w:tcPr>
            <w:tcW w:w="960" w:type="dxa"/>
            <w:tcBorders>
              <w:top w:val="nil"/>
              <w:left w:val="nil"/>
              <w:bottom w:val="nil"/>
              <w:right w:val="nil"/>
            </w:tcBorders>
            <w:shd w:val="clear" w:color="auto" w:fill="auto"/>
            <w:noWrap/>
            <w:vAlign w:val="bottom"/>
          </w:tcPr>
          <w:p w14:paraId="78D9A83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[5.05]</w:t>
            </w:r>
          </w:p>
        </w:tc>
        <w:tc>
          <w:tcPr>
            <w:tcW w:w="960" w:type="dxa"/>
            <w:tcBorders>
              <w:top w:val="nil"/>
              <w:left w:val="nil"/>
              <w:bottom w:val="nil"/>
              <w:right w:val="nil"/>
            </w:tcBorders>
            <w:shd w:val="clear" w:color="auto" w:fill="auto"/>
            <w:noWrap/>
            <w:vAlign w:val="bottom"/>
          </w:tcPr>
          <w:p w14:paraId="5117FC4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[0.08]   </w:t>
            </w:r>
          </w:p>
        </w:tc>
      </w:tr>
      <w:tr w:rsidR="0086707B" w:rsidRPr="00A2642E" w14:paraId="3C6AD2D0" w14:textId="77777777" w:rsidTr="00B148D5">
        <w:trPr>
          <w:trHeight w:val="300"/>
        </w:trPr>
        <w:tc>
          <w:tcPr>
            <w:tcW w:w="1440" w:type="dxa"/>
            <w:tcBorders>
              <w:top w:val="nil"/>
              <w:left w:val="nil"/>
              <w:bottom w:val="nil"/>
              <w:right w:val="nil"/>
            </w:tcBorders>
            <w:shd w:val="clear" w:color="auto" w:fill="auto"/>
            <w:noWrap/>
            <w:vAlign w:val="bottom"/>
          </w:tcPr>
          <w:p w14:paraId="38605CF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Legal origin</w:t>
            </w:r>
          </w:p>
        </w:tc>
        <w:tc>
          <w:tcPr>
            <w:tcW w:w="960" w:type="dxa"/>
            <w:tcBorders>
              <w:top w:val="nil"/>
              <w:left w:val="nil"/>
              <w:bottom w:val="nil"/>
              <w:right w:val="nil"/>
            </w:tcBorders>
            <w:shd w:val="clear" w:color="auto" w:fill="auto"/>
            <w:noWrap/>
            <w:vAlign w:val="bottom"/>
          </w:tcPr>
          <w:p w14:paraId="63DB0921"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64FA26EE"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3.016***</w:t>
            </w:r>
          </w:p>
        </w:tc>
        <w:tc>
          <w:tcPr>
            <w:tcW w:w="960" w:type="dxa"/>
            <w:tcBorders>
              <w:top w:val="nil"/>
              <w:left w:val="nil"/>
              <w:bottom w:val="nil"/>
              <w:right w:val="nil"/>
            </w:tcBorders>
            <w:shd w:val="clear" w:color="auto" w:fill="auto"/>
            <w:noWrap/>
            <w:vAlign w:val="bottom"/>
          </w:tcPr>
          <w:p w14:paraId="6BB4608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2.760***</w:t>
            </w:r>
          </w:p>
        </w:tc>
        <w:tc>
          <w:tcPr>
            <w:tcW w:w="960" w:type="dxa"/>
            <w:tcBorders>
              <w:top w:val="nil"/>
              <w:left w:val="nil"/>
              <w:bottom w:val="nil"/>
              <w:right w:val="nil"/>
            </w:tcBorders>
            <w:shd w:val="clear" w:color="auto" w:fill="auto"/>
            <w:noWrap/>
            <w:vAlign w:val="bottom"/>
          </w:tcPr>
          <w:p w14:paraId="01E84D1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3.133***</w:t>
            </w:r>
          </w:p>
        </w:tc>
        <w:tc>
          <w:tcPr>
            <w:tcW w:w="960" w:type="dxa"/>
            <w:tcBorders>
              <w:top w:val="nil"/>
              <w:left w:val="nil"/>
              <w:bottom w:val="nil"/>
              <w:right w:val="nil"/>
            </w:tcBorders>
            <w:shd w:val="clear" w:color="auto" w:fill="auto"/>
            <w:noWrap/>
            <w:vAlign w:val="bottom"/>
          </w:tcPr>
          <w:p w14:paraId="47E19B8F"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2.885***</w:t>
            </w:r>
          </w:p>
        </w:tc>
        <w:tc>
          <w:tcPr>
            <w:tcW w:w="960" w:type="dxa"/>
            <w:tcBorders>
              <w:top w:val="nil"/>
              <w:left w:val="nil"/>
              <w:bottom w:val="nil"/>
              <w:right w:val="nil"/>
            </w:tcBorders>
            <w:shd w:val="clear" w:color="auto" w:fill="auto"/>
            <w:noWrap/>
            <w:vAlign w:val="bottom"/>
          </w:tcPr>
          <w:p w14:paraId="351985A2"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F2869A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3DC6BBDA" w14:textId="77777777" w:rsidTr="00B148D5">
        <w:trPr>
          <w:trHeight w:val="300"/>
        </w:trPr>
        <w:tc>
          <w:tcPr>
            <w:tcW w:w="1440" w:type="dxa"/>
            <w:tcBorders>
              <w:top w:val="nil"/>
              <w:left w:val="nil"/>
              <w:bottom w:val="nil"/>
              <w:right w:val="nil"/>
            </w:tcBorders>
            <w:shd w:val="clear" w:color="auto" w:fill="auto"/>
            <w:noWrap/>
            <w:vAlign w:val="bottom"/>
          </w:tcPr>
          <w:p w14:paraId="69263B8B"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7AC7365C"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77D52B8"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[3.30]</w:t>
            </w:r>
          </w:p>
        </w:tc>
        <w:tc>
          <w:tcPr>
            <w:tcW w:w="960" w:type="dxa"/>
            <w:tcBorders>
              <w:top w:val="nil"/>
              <w:left w:val="nil"/>
              <w:bottom w:val="nil"/>
              <w:right w:val="nil"/>
            </w:tcBorders>
            <w:shd w:val="clear" w:color="auto" w:fill="auto"/>
            <w:noWrap/>
            <w:vAlign w:val="bottom"/>
          </w:tcPr>
          <w:p w14:paraId="2DDB3AE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[2.73]</w:t>
            </w:r>
          </w:p>
        </w:tc>
        <w:tc>
          <w:tcPr>
            <w:tcW w:w="960" w:type="dxa"/>
            <w:tcBorders>
              <w:top w:val="nil"/>
              <w:left w:val="nil"/>
              <w:bottom w:val="nil"/>
              <w:right w:val="nil"/>
            </w:tcBorders>
            <w:shd w:val="clear" w:color="auto" w:fill="auto"/>
            <w:noWrap/>
            <w:vAlign w:val="bottom"/>
          </w:tcPr>
          <w:p w14:paraId="4E6EA20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[3.30]</w:t>
            </w:r>
          </w:p>
        </w:tc>
        <w:tc>
          <w:tcPr>
            <w:tcW w:w="960" w:type="dxa"/>
            <w:tcBorders>
              <w:top w:val="nil"/>
              <w:left w:val="nil"/>
              <w:bottom w:val="nil"/>
              <w:right w:val="nil"/>
            </w:tcBorders>
            <w:shd w:val="clear" w:color="auto" w:fill="auto"/>
            <w:noWrap/>
            <w:vAlign w:val="bottom"/>
          </w:tcPr>
          <w:p w14:paraId="0549D928"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[2.72]</w:t>
            </w:r>
          </w:p>
        </w:tc>
        <w:tc>
          <w:tcPr>
            <w:tcW w:w="960" w:type="dxa"/>
            <w:tcBorders>
              <w:top w:val="nil"/>
              <w:left w:val="nil"/>
              <w:bottom w:val="nil"/>
              <w:right w:val="nil"/>
            </w:tcBorders>
            <w:shd w:val="clear" w:color="auto" w:fill="auto"/>
            <w:noWrap/>
            <w:vAlign w:val="bottom"/>
          </w:tcPr>
          <w:p w14:paraId="7D1C905F"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BDB793B"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71A9C000" w14:textId="77777777" w:rsidTr="00B148D5">
        <w:trPr>
          <w:trHeight w:val="300"/>
        </w:trPr>
        <w:tc>
          <w:tcPr>
            <w:tcW w:w="2400" w:type="dxa"/>
            <w:gridSpan w:val="2"/>
            <w:tcBorders>
              <w:top w:val="nil"/>
              <w:left w:val="nil"/>
              <w:bottom w:val="nil"/>
              <w:right w:val="nil"/>
            </w:tcBorders>
            <w:shd w:val="clear" w:color="auto" w:fill="auto"/>
            <w:noWrap/>
            <w:vAlign w:val="bottom"/>
          </w:tcPr>
          <w:p w14:paraId="0C2177D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20"/>
                <w:szCs w:val="20"/>
                <w:lang w:eastAsia="ko-KR"/>
              </w:rPr>
              <w:t>G-Index</w:t>
            </w:r>
            <w:r w:rsidRPr="00A2642E">
              <w:rPr>
                <w:rFonts w:asciiTheme="majorHAnsi" w:hAnsiTheme="majorHAnsi"/>
                <w:color w:val="000000"/>
                <w:sz w:val="20"/>
                <w:szCs w:val="20"/>
                <w:vertAlign w:val="subscript"/>
                <w:lang w:eastAsia="ko-KR"/>
              </w:rPr>
              <w:t>75th</w:t>
            </w:r>
            <w:r w:rsidRPr="00A2642E">
              <w:rPr>
                <w:rFonts w:asciiTheme="majorHAnsi" w:hAnsiTheme="majorHAnsi"/>
                <w:color w:val="000000"/>
                <w:sz w:val="16"/>
                <w:szCs w:val="16"/>
                <w:lang w:eastAsia="ko-KR"/>
              </w:rPr>
              <w:t xml:space="preserve"> X legal origin</w:t>
            </w:r>
          </w:p>
        </w:tc>
        <w:tc>
          <w:tcPr>
            <w:tcW w:w="960" w:type="dxa"/>
            <w:tcBorders>
              <w:top w:val="nil"/>
              <w:left w:val="nil"/>
              <w:bottom w:val="nil"/>
              <w:right w:val="nil"/>
            </w:tcBorders>
            <w:shd w:val="clear" w:color="auto" w:fill="auto"/>
            <w:noWrap/>
            <w:vAlign w:val="bottom"/>
          </w:tcPr>
          <w:p w14:paraId="7AFFE85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681655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1.128</w:t>
            </w:r>
          </w:p>
        </w:tc>
        <w:tc>
          <w:tcPr>
            <w:tcW w:w="960" w:type="dxa"/>
            <w:tcBorders>
              <w:top w:val="nil"/>
              <w:left w:val="nil"/>
              <w:bottom w:val="nil"/>
              <w:right w:val="nil"/>
            </w:tcBorders>
            <w:shd w:val="clear" w:color="auto" w:fill="auto"/>
            <w:noWrap/>
            <w:vAlign w:val="bottom"/>
          </w:tcPr>
          <w:p w14:paraId="6D1A821D"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CFE90DE"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1.044</w:t>
            </w:r>
          </w:p>
        </w:tc>
        <w:tc>
          <w:tcPr>
            <w:tcW w:w="960" w:type="dxa"/>
            <w:tcBorders>
              <w:top w:val="nil"/>
              <w:left w:val="nil"/>
              <w:bottom w:val="nil"/>
              <w:right w:val="nil"/>
            </w:tcBorders>
            <w:shd w:val="clear" w:color="auto" w:fill="auto"/>
            <w:noWrap/>
            <w:vAlign w:val="bottom"/>
          </w:tcPr>
          <w:p w14:paraId="3D0851B7"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0333B4BF"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0E6A54E8" w14:textId="77777777" w:rsidTr="00B148D5">
        <w:trPr>
          <w:trHeight w:val="300"/>
        </w:trPr>
        <w:tc>
          <w:tcPr>
            <w:tcW w:w="1440" w:type="dxa"/>
            <w:tcBorders>
              <w:top w:val="nil"/>
              <w:left w:val="nil"/>
              <w:bottom w:val="nil"/>
              <w:right w:val="nil"/>
            </w:tcBorders>
            <w:shd w:val="clear" w:color="auto" w:fill="auto"/>
            <w:noWrap/>
            <w:vAlign w:val="bottom"/>
          </w:tcPr>
          <w:p w14:paraId="1837BE2F"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D87D722"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F5506D2"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0BF38D78"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[0.66]</w:t>
            </w:r>
          </w:p>
        </w:tc>
        <w:tc>
          <w:tcPr>
            <w:tcW w:w="960" w:type="dxa"/>
            <w:tcBorders>
              <w:top w:val="nil"/>
              <w:left w:val="nil"/>
              <w:bottom w:val="nil"/>
              <w:right w:val="nil"/>
            </w:tcBorders>
            <w:shd w:val="clear" w:color="auto" w:fill="auto"/>
            <w:noWrap/>
            <w:vAlign w:val="bottom"/>
          </w:tcPr>
          <w:p w14:paraId="1986ECA5"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6831245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[0.61]</w:t>
            </w:r>
          </w:p>
        </w:tc>
        <w:tc>
          <w:tcPr>
            <w:tcW w:w="960" w:type="dxa"/>
            <w:tcBorders>
              <w:top w:val="nil"/>
              <w:left w:val="nil"/>
              <w:bottom w:val="nil"/>
              <w:right w:val="nil"/>
            </w:tcBorders>
            <w:shd w:val="clear" w:color="auto" w:fill="auto"/>
            <w:noWrap/>
            <w:vAlign w:val="bottom"/>
          </w:tcPr>
          <w:p w14:paraId="404B4856"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322F053"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53E3E122" w14:textId="77777777" w:rsidTr="00B148D5">
        <w:trPr>
          <w:trHeight w:val="300"/>
        </w:trPr>
        <w:tc>
          <w:tcPr>
            <w:tcW w:w="2400" w:type="dxa"/>
            <w:gridSpan w:val="2"/>
            <w:tcBorders>
              <w:top w:val="nil"/>
              <w:left w:val="nil"/>
              <w:bottom w:val="nil"/>
              <w:right w:val="nil"/>
            </w:tcBorders>
            <w:shd w:val="clear" w:color="auto" w:fill="auto"/>
            <w:noWrap/>
            <w:vAlign w:val="bottom"/>
          </w:tcPr>
          <w:p w14:paraId="2047F6F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20"/>
                <w:szCs w:val="20"/>
                <w:lang w:eastAsia="ko-KR"/>
              </w:rPr>
              <w:t>G-Index</w:t>
            </w:r>
            <w:r w:rsidRPr="00A2642E">
              <w:rPr>
                <w:rFonts w:asciiTheme="majorHAnsi" w:hAnsiTheme="majorHAnsi"/>
                <w:color w:val="000000"/>
                <w:sz w:val="20"/>
                <w:szCs w:val="20"/>
                <w:vertAlign w:val="subscript"/>
                <w:lang w:eastAsia="ko-KR"/>
              </w:rPr>
              <w:t>25th</w:t>
            </w:r>
            <w:r w:rsidRPr="00A2642E">
              <w:rPr>
                <w:rFonts w:asciiTheme="majorHAnsi" w:hAnsiTheme="majorHAnsi"/>
                <w:color w:val="000000"/>
                <w:sz w:val="16"/>
                <w:szCs w:val="16"/>
                <w:lang w:eastAsia="ko-KR"/>
              </w:rPr>
              <w:t xml:space="preserve"> X legal origin</w:t>
            </w:r>
          </w:p>
        </w:tc>
        <w:tc>
          <w:tcPr>
            <w:tcW w:w="960" w:type="dxa"/>
            <w:tcBorders>
              <w:top w:val="nil"/>
              <w:left w:val="nil"/>
              <w:bottom w:val="nil"/>
              <w:right w:val="nil"/>
            </w:tcBorders>
            <w:shd w:val="clear" w:color="auto" w:fill="auto"/>
            <w:noWrap/>
            <w:vAlign w:val="bottom"/>
          </w:tcPr>
          <w:p w14:paraId="03DA1B6E"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615AF931"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7A16A96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-2.469**</w:t>
            </w:r>
          </w:p>
        </w:tc>
        <w:tc>
          <w:tcPr>
            <w:tcW w:w="960" w:type="dxa"/>
            <w:tcBorders>
              <w:top w:val="nil"/>
              <w:left w:val="nil"/>
              <w:bottom w:val="nil"/>
              <w:right w:val="nil"/>
            </w:tcBorders>
            <w:shd w:val="clear" w:color="auto" w:fill="auto"/>
            <w:noWrap/>
            <w:vAlign w:val="bottom"/>
          </w:tcPr>
          <w:p w14:paraId="526E0E7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-2.218**</w:t>
            </w:r>
          </w:p>
        </w:tc>
        <w:tc>
          <w:tcPr>
            <w:tcW w:w="960" w:type="dxa"/>
            <w:tcBorders>
              <w:top w:val="nil"/>
              <w:left w:val="nil"/>
              <w:bottom w:val="nil"/>
              <w:right w:val="nil"/>
            </w:tcBorders>
            <w:shd w:val="clear" w:color="auto" w:fill="auto"/>
            <w:noWrap/>
            <w:vAlign w:val="bottom"/>
          </w:tcPr>
          <w:p w14:paraId="632DC5AB"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6E05142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1353D778" w14:textId="77777777" w:rsidTr="00B148D5">
        <w:trPr>
          <w:trHeight w:val="300"/>
        </w:trPr>
        <w:tc>
          <w:tcPr>
            <w:tcW w:w="1440" w:type="dxa"/>
            <w:tcBorders>
              <w:top w:val="nil"/>
              <w:left w:val="nil"/>
              <w:bottom w:val="nil"/>
              <w:right w:val="nil"/>
            </w:tcBorders>
            <w:shd w:val="clear" w:color="auto" w:fill="auto"/>
            <w:noWrap/>
            <w:vAlign w:val="bottom"/>
          </w:tcPr>
          <w:p w14:paraId="6840A6A6"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13460B3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01291FD1"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1B63872"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66A024A3"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[2.53]</w:t>
            </w:r>
          </w:p>
        </w:tc>
        <w:tc>
          <w:tcPr>
            <w:tcW w:w="960" w:type="dxa"/>
            <w:tcBorders>
              <w:top w:val="nil"/>
              <w:left w:val="nil"/>
              <w:bottom w:val="nil"/>
              <w:right w:val="nil"/>
            </w:tcBorders>
            <w:shd w:val="clear" w:color="auto" w:fill="auto"/>
            <w:noWrap/>
            <w:vAlign w:val="bottom"/>
          </w:tcPr>
          <w:p w14:paraId="28AA618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[2.03]</w:t>
            </w:r>
          </w:p>
        </w:tc>
        <w:tc>
          <w:tcPr>
            <w:tcW w:w="960" w:type="dxa"/>
            <w:tcBorders>
              <w:top w:val="nil"/>
              <w:left w:val="nil"/>
              <w:bottom w:val="nil"/>
              <w:right w:val="nil"/>
            </w:tcBorders>
            <w:shd w:val="clear" w:color="auto" w:fill="auto"/>
            <w:noWrap/>
            <w:vAlign w:val="bottom"/>
          </w:tcPr>
          <w:p w14:paraId="2B6C9E89"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010AB87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               </w:t>
            </w:r>
          </w:p>
        </w:tc>
      </w:tr>
      <w:tr w:rsidR="0086707B" w:rsidRPr="00A2642E" w14:paraId="5E5DBB9C" w14:textId="77777777" w:rsidTr="00B148D5">
        <w:trPr>
          <w:trHeight w:val="300"/>
        </w:trPr>
        <w:tc>
          <w:tcPr>
            <w:tcW w:w="1440" w:type="dxa"/>
            <w:tcBorders>
              <w:top w:val="nil"/>
              <w:left w:val="nil"/>
              <w:bottom w:val="nil"/>
              <w:right w:val="nil"/>
            </w:tcBorders>
            <w:shd w:val="clear" w:color="auto" w:fill="auto"/>
            <w:noWrap/>
            <w:vAlign w:val="bottom"/>
          </w:tcPr>
          <w:p w14:paraId="127DE473" w14:textId="77777777" w:rsidR="0086707B" w:rsidRPr="00A2642E" w:rsidRDefault="0086707B" w:rsidP="00B148D5">
            <w:pPr>
              <w:widowControl/>
              <w:ind w:firstLine="0"/>
              <w:rPr>
                <w:rFonts w:asciiTheme="majorHAnsi" w:hAnsiTheme="majorHAnsi"/>
                <w:color w:val="000000"/>
                <w:sz w:val="16"/>
                <w:szCs w:val="16"/>
                <w:lang w:eastAsia="ko-KR"/>
              </w:rPr>
            </w:pPr>
            <w:r>
              <w:rPr>
                <w:rFonts w:asciiTheme="majorHAnsi" w:hAnsiTheme="majorHAnsi"/>
                <w:color w:val="000000"/>
                <w:sz w:val="16"/>
                <w:szCs w:val="16"/>
                <w:lang w:eastAsia="ko-KR"/>
              </w:rPr>
              <w:t>GDPPC</w:t>
            </w:r>
          </w:p>
        </w:tc>
        <w:tc>
          <w:tcPr>
            <w:tcW w:w="960" w:type="dxa"/>
            <w:tcBorders>
              <w:top w:val="nil"/>
              <w:left w:val="nil"/>
              <w:bottom w:val="nil"/>
              <w:right w:val="nil"/>
            </w:tcBorders>
            <w:shd w:val="clear" w:color="auto" w:fill="auto"/>
            <w:noWrap/>
            <w:vAlign w:val="bottom"/>
          </w:tcPr>
          <w:p w14:paraId="02B1C43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0.034</w:t>
            </w:r>
          </w:p>
        </w:tc>
        <w:tc>
          <w:tcPr>
            <w:tcW w:w="960" w:type="dxa"/>
            <w:tcBorders>
              <w:top w:val="nil"/>
              <w:left w:val="nil"/>
              <w:bottom w:val="nil"/>
              <w:right w:val="nil"/>
            </w:tcBorders>
            <w:shd w:val="clear" w:color="auto" w:fill="auto"/>
            <w:noWrap/>
            <w:vAlign w:val="bottom"/>
          </w:tcPr>
          <w:p w14:paraId="78C054A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0.053*</w:t>
            </w:r>
          </w:p>
        </w:tc>
        <w:tc>
          <w:tcPr>
            <w:tcW w:w="960" w:type="dxa"/>
            <w:tcBorders>
              <w:top w:val="nil"/>
              <w:left w:val="nil"/>
              <w:bottom w:val="nil"/>
              <w:right w:val="nil"/>
            </w:tcBorders>
            <w:shd w:val="clear" w:color="auto" w:fill="auto"/>
            <w:noWrap/>
            <w:vAlign w:val="bottom"/>
          </w:tcPr>
          <w:p w14:paraId="057D038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0.05*</w:t>
            </w:r>
          </w:p>
        </w:tc>
        <w:tc>
          <w:tcPr>
            <w:tcW w:w="960" w:type="dxa"/>
            <w:tcBorders>
              <w:top w:val="nil"/>
              <w:left w:val="nil"/>
              <w:bottom w:val="nil"/>
              <w:right w:val="nil"/>
            </w:tcBorders>
            <w:shd w:val="clear" w:color="auto" w:fill="auto"/>
            <w:noWrap/>
            <w:vAlign w:val="bottom"/>
          </w:tcPr>
          <w:p w14:paraId="27FDD58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0.054*</w:t>
            </w:r>
          </w:p>
        </w:tc>
        <w:tc>
          <w:tcPr>
            <w:tcW w:w="960" w:type="dxa"/>
            <w:tcBorders>
              <w:top w:val="nil"/>
              <w:left w:val="nil"/>
              <w:bottom w:val="nil"/>
              <w:right w:val="nil"/>
            </w:tcBorders>
            <w:shd w:val="clear" w:color="auto" w:fill="auto"/>
            <w:noWrap/>
            <w:vAlign w:val="bottom"/>
          </w:tcPr>
          <w:p w14:paraId="4FF529FB"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0.052*</w:t>
            </w:r>
          </w:p>
        </w:tc>
        <w:tc>
          <w:tcPr>
            <w:tcW w:w="960" w:type="dxa"/>
            <w:tcBorders>
              <w:top w:val="nil"/>
              <w:left w:val="nil"/>
              <w:bottom w:val="nil"/>
              <w:right w:val="nil"/>
            </w:tcBorders>
            <w:shd w:val="clear" w:color="auto" w:fill="auto"/>
            <w:noWrap/>
            <w:vAlign w:val="bottom"/>
          </w:tcPr>
          <w:p w14:paraId="0B5853C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0.160**</w:t>
            </w:r>
          </w:p>
        </w:tc>
        <w:tc>
          <w:tcPr>
            <w:tcW w:w="960" w:type="dxa"/>
            <w:tcBorders>
              <w:top w:val="nil"/>
              <w:left w:val="nil"/>
              <w:bottom w:val="nil"/>
              <w:right w:val="nil"/>
            </w:tcBorders>
            <w:shd w:val="clear" w:color="auto" w:fill="auto"/>
            <w:noWrap/>
            <w:vAlign w:val="bottom"/>
          </w:tcPr>
          <w:p w14:paraId="5692F21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0.036*</w:t>
            </w:r>
          </w:p>
        </w:tc>
      </w:tr>
      <w:tr w:rsidR="0086707B" w:rsidRPr="00A2642E" w14:paraId="254BC152" w14:textId="77777777" w:rsidTr="00B148D5">
        <w:trPr>
          <w:trHeight w:val="300"/>
        </w:trPr>
        <w:tc>
          <w:tcPr>
            <w:tcW w:w="1440" w:type="dxa"/>
            <w:tcBorders>
              <w:top w:val="nil"/>
              <w:left w:val="nil"/>
              <w:bottom w:val="nil"/>
              <w:right w:val="nil"/>
            </w:tcBorders>
            <w:shd w:val="clear" w:color="auto" w:fill="auto"/>
            <w:noWrap/>
            <w:vAlign w:val="bottom"/>
          </w:tcPr>
          <w:p w14:paraId="4CF3416A"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B214F0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[1.08]</w:t>
            </w:r>
          </w:p>
        </w:tc>
        <w:tc>
          <w:tcPr>
            <w:tcW w:w="960" w:type="dxa"/>
            <w:tcBorders>
              <w:top w:val="nil"/>
              <w:left w:val="nil"/>
              <w:bottom w:val="nil"/>
              <w:right w:val="nil"/>
            </w:tcBorders>
            <w:shd w:val="clear" w:color="auto" w:fill="auto"/>
            <w:noWrap/>
            <w:vAlign w:val="bottom"/>
          </w:tcPr>
          <w:p w14:paraId="37E0CED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[1.90]</w:t>
            </w:r>
          </w:p>
        </w:tc>
        <w:tc>
          <w:tcPr>
            <w:tcW w:w="960" w:type="dxa"/>
            <w:tcBorders>
              <w:top w:val="nil"/>
              <w:left w:val="nil"/>
              <w:bottom w:val="nil"/>
              <w:right w:val="nil"/>
            </w:tcBorders>
            <w:shd w:val="clear" w:color="auto" w:fill="auto"/>
            <w:noWrap/>
            <w:vAlign w:val="bottom"/>
          </w:tcPr>
          <w:p w14:paraId="466C53D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[1.91]</w:t>
            </w:r>
          </w:p>
        </w:tc>
        <w:tc>
          <w:tcPr>
            <w:tcW w:w="960" w:type="dxa"/>
            <w:tcBorders>
              <w:top w:val="nil"/>
              <w:left w:val="nil"/>
              <w:bottom w:val="nil"/>
              <w:right w:val="nil"/>
            </w:tcBorders>
            <w:shd w:val="clear" w:color="auto" w:fill="auto"/>
            <w:noWrap/>
            <w:vAlign w:val="bottom"/>
          </w:tcPr>
          <w:p w14:paraId="44D9465B"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[1.92]</w:t>
            </w:r>
          </w:p>
        </w:tc>
        <w:tc>
          <w:tcPr>
            <w:tcW w:w="960" w:type="dxa"/>
            <w:tcBorders>
              <w:top w:val="nil"/>
              <w:left w:val="nil"/>
              <w:bottom w:val="nil"/>
              <w:right w:val="nil"/>
            </w:tcBorders>
            <w:shd w:val="clear" w:color="auto" w:fill="auto"/>
            <w:noWrap/>
            <w:vAlign w:val="bottom"/>
          </w:tcPr>
          <w:p w14:paraId="5E6CF66F"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[1.95]</w:t>
            </w:r>
          </w:p>
        </w:tc>
        <w:tc>
          <w:tcPr>
            <w:tcW w:w="960" w:type="dxa"/>
            <w:tcBorders>
              <w:top w:val="nil"/>
              <w:left w:val="nil"/>
              <w:bottom w:val="nil"/>
              <w:right w:val="nil"/>
            </w:tcBorders>
            <w:shd w:val="clear" w:color="auto" w:fill="auto"/>
            <w:noWrap/>
            <w:vAlign w:val="bottom"/>
          </w:tcPr>
          <w:p w14:paraId="1536F750"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[2.64]</w:t>
            </w:r>
          </w:p>
        </w:tc>
        <w:tc>
          <w:tcPr>
            <w:tcW w:w="960" w:type="dxa"/>
            <w:tcBorders>
              <w:top w:val="nil"/>
              <w:left w:val="nil"/>
              <w:bottom w:val="nil"/>
              <w:right w:val="nil"/>
            </w:tcBorders>
            <w:shd w:val="clear" w:color="auto" w:fill="auto"/>
            <w:noWrap/>
            <w:vAlign w:val="bottom"/>
          </w:tcPr>
          <w:p w14:paraId="78BA7C9E"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[1.80]   </w:t>
            </w:r>
          </w:p>
        </w:tc>
      </w:tr>
      <w:tr w:rsidR="0086707B" w:rsidRPr="00A2642E" w14:paraId="4C1F4937" w14:textId="77777777" w:rsidTr="00B148D5">
        <w:trPr>
          <w:trHeight w:val="300"/>
        </w:trPr>
        <w:tc>
          <w:tcPr>
            <w:tcW w:w="1440" w:type="dxa"/>
            <w:tcBorders>
              <w:top w:val="nil"/>
              <w:left w:val="nil"/>
              <w:bottom w:val="nil"/>
              <w:right w:val="nil"/>
            </w:tcBorders>
            <w:shd w:val="clear" w:color="auto" w:fill="auto"/>
            <w:noWrap/>
            <w:vAlign w:val="bottom"/>
          </w:tcPr>
          <w:p w14:paraId="66442D7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Year-effect</w:t>
            </w:r>
          </w:p>
        </w:tc>
        <w:tc>
          <w:tcPr>
            <w:tcW w:w="960" w:type="dxa"/>
            <w:tcBorders>
              <w:top w:val="nil"/>
              <w:left w:val="nil"/>
              <w:bottom w:val="nil"/>
              <w:right w:val="nil"/>
            </w:tcBorders>
            <w:shd w:val="clear" w:color="auto" w:fill="auto"/>
            <w:noWrap/>
            <w:vAlign w:val="bottom"/>
          </w:tcPr>
          <w:p w14:paraId="6090534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1BD7444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2C6312D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6FD67AA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122D1E0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67E50093"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c>
          <w:tcPr>
            <w:tcW w:w="960" w:type="dxa"/>
            <w:tcBorders>
              <w:top w:val="nil"/>
              <w:left w:val="nil"/>
              <w:bottom w:val="nil"/>
              <w:right w:val="nil"/>
            </w:tcBorders>
            <w:shd w:val="clear" w:color="auto" w:fill="auto"/>
            <w:noWrap/>
            <w:vAlign w:val="bottom"/>
          </w:tcPr>
          <w:p w14:paraId="5753FD0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Yes</w:t>
            </w:r>
          </w:p>
        </w:tc>
      </w:tr>
      <w:tr w:rsidR="0086707B" w:rsidRPr="00A2642E" w14:paraId="2B12848C" w14:textId="77777777" w:rsidTr="00B148D5">
        <w:trPr>
          <w:trHeight w:val="300"/>
        </w:trPr>
        <w:tc>
          <w:tcPr>
            <w:tcW w:w="1440" w:type="dxa"/>
            <w:tcBorders>
              <w:top w:val="nil"/>
              <w:left w:val="nil"/>
              <w:bottom w:val="nil"/>
              <w:right w:val="nil"/>
            </w:tcBorders>
            <w:shd w:val="clear" w:color="auto" w:fill="auto"/>
            <w:noWrap/>
            <w:vAlign w:val="bottom"/>
          </w:tcPr>
          <w:p w14:paraId="6748A1FD"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_cons</w:t>
            </w:r>
          </w:p>
        </w:tc>
        <w:tc>
          <w:tcPr>
            <w:tcW w:w="960" w:type="dxa"/>
            <w:tcBorders>
              <w:top w:val="nil"/>
              <w:left w:val="nil"/>
              <w:bottom w:val="nil"/>
              <w:right w:val="nil"/>
            </w:tcBorders>
            <w:shd w:val="clear" w:color="auto" w:fill="auto"/>
            <w:noWrap/>
            <w:vAlign w:val="bottom"/>
          </w:tcPr>
          <w:p w14:paraId="687B4D0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-0.437</w:t>
            </w:r>
          </w:p>
        </w:tc>
        <w:tc>
          <w:tcPr>
            <w:tcW w:w="960" w:type="dxa"/>
            <w:tcBorders>
              <w:top w:val="nil"/>
              <w:left w:val="nil"/>
              <w:bottom w:val="nil"/>
              <w:right w:val="nil"/>
            </w:tcBorders>
            <w:shd w:val="clear" w:color="auto" w:fill="auto"/>
            <w:noWrap/>
            <w:vAlign w:val="bottom"/>
          </w:tcPr>
          <w:p w14:paraId="5D47423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2.388</w:t>
            </w:r>
          </w:p>
        </w:tc>
        <w:tc>
          <w:tcPr>
            <w:tcW w:w="960" w:type="dxa"/>
            <w:tcBorders>
              <w:top w:val="nil"/>
              <w:left w:val="nil"/>
              <w:bottom w:val="nil"/>
              <w:right w:val="nil"/>
            </w:tcBorders>
            <w:shd w:val="clear" w:color="auto" w:fill="auto"/>
            <w:noWrap/>
            <w:vAlign w:val="bottom"/>
          </w:tcPr>
          <w:p w14:paraId="11C3F9B2"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3.454*</w:t>
            </w:r>
          </w:p>
        </w:tc>
        <w:tc>
          <w:tcPr>
            <w:tcW w:w="960" w:type="dxa"/>
            <w:tcBorders>
              <w:top w:val="nil"/>
              <w:left w:val="nil"/>
              <w:bottom w:val="nil"/>
              <w:right w:val="nil"/>
            </w:tcBorders>
            <w:shd w:val="clear" w:color="auto" w:fill="auto"/>
            <w:noWrap/>
            <w:vAlign w:val="bottom"/>
          </w:tcPr>
          <w:p w14:paraId="264EE09B"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2.617</w:t>
            </w:r>
          </w:p>
        </w:tc>
        <w:tc>
          <w:tcPr>
            <w:tcW w:w="960" w:type="dxa"/>
            <w:tcBorders>
              <w:top w:val="nil"/>
              <w:left w:val="nil"/>
              <w:bottom w:val="nil"/>
              <w:right w:val="nil"/>
            </w:tcBorders>
            <w:shd w:val="clear" w:color="auto" w:fill="auto"/>
            <w:noWrap/>
            <w:vAlign w:val="bottom"/>
          </w:tcPr>
          <w:p w14:paraId="3B0B63F7"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3.581*</w:t>
            </w:r>
          </w:p>
        </w:tc>
        <w:tc>
          <w:tcPr>
            <w:tcW w:w="960" w:type="dxa"/>
            <w:tcBorders>
              <w:top w:val="nil"/>
              <w:left w:val="nil"/>
              <w:bottom w:val="nil"/>
              <w:right w:val="nil"/>
            </w:tcBorders>
            <w:shd w:val="clear" w:color="auto" w:fill="auto"/>
            <w:noWrap/>
            <w:vAlign w:val="bottom"/>
          </w:tcPr>
          <w:p w14:paraId="3F06C36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-4.003</w:t>
            </w:r>
          </w:p>
        </w:tc>
        <w:tc>
          <w:tcPr>
            <w:tcW w:w="960" w:type="dxa"/>
            <w:tcBorders>
              <w:top w:val="nil"/>
              <w:left w:val="nil"/>
              <w:bottom w:val="nil"/>
              <w:right w:val="nil"/>
            </w:tcBorders>
            <w:shd w:val="clear" w:color="auto" w:fill="auto"/>
            <w:noWrap/>
            <w:vAlign w:val="bottom"/>
          </w:tcPr>
          <w:p w14:paraId="0183745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7.907***</w:t>
            </w:r>
          </w:p>
        </w:tc>
      </w:tr>
      <w:tr w:rsidR="0086707B" w:rsidRPr="00A2642E" w14:paraId="427D92A2" w14:textId="77777777" w:rsidTr="00B148D5">
        <w:trPr>
          <w:trHeight w:val="300"/>
        </w:trPr>
        <w:tc>
          <w:tcPr>
            <w:tcW w:w="1440" w:type="dxa"/>
            <w:tcBorders>
              <w:top w:val="nil"/>
              <w:left w:val="nil"/>
              <w:bottom w:val="nil"/>
              <w:right w:val="nil"/>
            </w:tcBorders>
            <w:shd w:val="clear" w:color="auto" w:fill="auto"/>
            <w:noWrap/>
            <w:vAlign w:val="bottom"/>
          </w:tcPr>
          <w:p w14:paraId="0073B406"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71CDFBE4"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[0.27]</w:t>
            </w:r>
          </w:p>
        </w:tc>
        <w:tc>
          <w:tcPr>
            <w:tcW w:w="960" w:type="dxa"/>
            <w:tcBorders>
              <w:top w:val="nil"/>
              <w:left w:val="nil"/>
              <w:bottom w:val="nil"/>
              <w:right w:val="nil"/>
            </w:tcBorders>
            <w:shd w:val="clear" w:color="auto" w:fill="auto"/>
            <w:noWrap/>
            <w:vAlign w:val="bottom"/>
          </w:tcPr>
          <w:p w14:paraId="06455ABF"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[1.35]</w:t>
            </w:r>
          </w:p>
        </w:tc>
        <w:tc>
          <w:tcPr>
            <w:tcW w:w="960" w:type="dxa"/>
            <w:tcBorders>
              <w:top w:val="nil"/>
              <w:left w:val="nil"/>
              <w:bottom w:val="nil"/>
              <w:right w:val="nil"/>
            </w:tcBorders>
            <w:shd w:val="clear" w:color="auto" w:fill="auto"/>
            <w:noWrap/>
            <w:vAlign w:val="bottom"/>
          </w:tcPr>
          <w:p w14:paraId="2DB710D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[1.68]</w:t>
            </w:r>
          </w:p>
        </w:tc>
        <w:tc>
          <w:tcPr>
            <w:tcW w:w="960" w:type="dxa"/>
            <w:tcBorders>
              <w:top w:val="nil"/>
              <w:left w:val="nil"/>
              <w:bottom w:val="nil"/>
              <w:right w:val="nil"/>
            </w:tcBorders>
            <w:shd w:val="clear" w:color="auto" w:fill="auto"/>
            <w:noWrap/>
            <w:vAlign w:val="bottom"/>
          </w:tcPr>
          <w:p w14:paraId="630E4F43"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[1.44]</w:t>
            </w:r>
          </w:p>
        </w:tc>
        <w:tc>
          <w:tcPr>
            <w:tcW w:w="960" w:type="dxa"/>
            <w:tcBorders>
              <w:top w:val="nil"/>
              <w:left w:val="nil"/>
              <w:bottom w:val="nil"/>
              <w:right w:val="nil"/>
            </w:tcBorders>
            <w:shd w:val="clear" w:color="auto" w:fill="auto"/>
            <w:noWrap/>
            <w:vAlign w:val="bottom"/>
          </w:tcPr>
          <w:p w14:paraId="3703B5E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[1.72]</w:t>
            </w:r>
          </w:p>
        </w:tc>
        <w:tc>
          <w:tcPr>
            <w:tcW w:w="960" w:type="dxa"/>
            <w:tcBorders>
              <w:top w:val="nil"/>
              <w:left w:val="nil"/>
              <w:bottom w:val="nil"/>
              <w:right w:val="nil"/>
            </w:tcBorders>
            <w:shd w:val="clear" w:color="auto" w:fill="auto"/>
            <w:noWrap/>
            <w:vAlign w:val="bottom"/>
          </w:tcPr>
          <w:p w14:paraId="24661C5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[1.21]</w:t>
            </w:r>
          </w:p>
        </w:tc>
        <w:tc>
          <w:tcPr>
            <w:tcW w:w="960" w:type="dxa"/>
            <w:tcBorders>
              <w:top w:val="nil"/>
              <w:left w:val="nil"/>
              <w:bottom w:val="nil"/>
              <w:right w:val="nil"/>
            </w:tcBorders>
            <w:shd w:val="clear" w:color="auto" w:fill="auto"/>
            <w:noWrap/>
            <w:vAlign w:val="bottom"/>
          </w:tcPr>
          <w:p w14:paraId="7C5ACD2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 xml:space="preserve">[4.25]   </w:t>
            </w:r>
          </w:p>
        </w:tc>
      </w:tr>
      <w:tr w:rsidR="0086707B" w:rsidRPr="00A2642E" w14:paraId="6C82F5BD" w14:textId="77777777" w:rsidTr="00B148D5">
        <w:trPr>
          <w:trHeight w:val="300"/>
        </w:trPr>
        <w:tc>
          <w:tcPr>
            <w:tcW w:w="1440" w:type="dxa"/>
            <w:tcBorders>
              <w:top w:val="nil"/>
              <w:left w:val="nil"/>
              <w:bottom w:val="nil"/>
              <w:right w:val="nil"/>
            </w:tcBorders>
            <w:shd w:val="clear" w:color="auto" w:fill="auto"/>
            <w:noWrap/>
            <w:vAlign w:val="bottom"/>
          </w:tcPr>
          <w:p w14:paraId="666F2AB0"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51C599F9"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4B0BED9"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2B96590F"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1E36034"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AEE76DE"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39530388" w14:textId="77777777" w:rsidR="0086707B" w:rsidRPr="00A2642E" w:rsidRDefault="0086707B" w:rsidP="00B148D5">
            <w:pPr>
              <w:widowControl/>
              <w:ind w:firstLine="0"/>
              <w:rPr>
                <w:rFonts w:asciiTheme="majorHAnsi" w:hAnsiTheme="majorHAnsi"/>
                <w:color w:val="000000"/>
                <w:sz w:val="16"/>
                <w:szCs w:val="16"/>
                <w:lang w:eastAsia="ko-KR"/>
              </w:rPr>
            </w:pPr>
          </w:p>
        </w:tc>
        <w:tc>
          <w:tcPr>
            <w:tcW w:w="960" w:type="dxa"/>
            <w:tcBorders>
              <w:top w:val="nil"/>
              <w:left w:val="nil"/>
              <w:bottom w:val="nil"/>
              <w:right w:val="nil"/>
            </w:tcBorders>
            <w:shd w:val="clear" w:color="auto" w:fill="auto"/>
            <w:noWrap/>
            <w:vAlign w:val="bottom"/>
          </w:tcPr>
          <w:p w14:paraId="40BB4CED" w14:textId="77777777" w:rsidR="0086707B" w:rsidRPr="00A2642E" w:rsidRDefault="0086707B" w:rsidP="00B148D5">
            <w:pPr>
              <w:widowControl/>
              <w:ind w:firstLine="0"/>
              <w:rPr>
                <w:rFonts w:asciiTheme="majorHAnsi" w:hAnsiTheme="majorHAnsi"/>
                <w:color w:val="000000"/>
                <w:sz w:val="16"/>
                <w:szCs w:val="16"/>
                <w:lang w:eastAsia="ko-KR"/>
              </w:rPr>
            </w:pPr>
          </w:p>
        </w:tc>
      </w:tr>
      <w:tr w:rsidR="0086707B" w:rsidRPr="00A2642E" w14:paraId="48EB1E1D" w14:textId="77777777" w:rsidTr="00B148D5">
        <w:trPr>
          <w:trHeight w:val="300"/>
        </w:trPr>
        <w:tc>
          <w:tcPr>
            <w:tcW w:w="1440" w:type="dxa"/>
            <w:tcBorders>
              <w:top w:val="nil"/>
              <w:left w:val="nil"/>
              <w:right w:val="nil"/>
            </w:tcBorders>
            <w:shd w:val="clear" w:color="auto" w:fill="auto"/>
            <w:noWrap/>
            <w:vAlign w:val="bottom"/>
          </w:tcPr>
          <w:p w14:paraId="771A451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N</w:t>
            </w:r>
          </w:p>
        </w:tc>
        <w:tc>
          <w:tcPr>
            <w:tcW w:w="960" w:type="dxa"/>
            <w:tcBorders>
              <w:top w:val="nil"/>
              <w:left w:val="nil"/>
              <w:right w:val="nil"/>
            </w:tcBorders>
            <w:shd w:val="clear" w:color="auto" w:fill="auto"/>
            <w:noWrap/>
            <w:vAlign w:val="bottom"/>
          </w:tcPr>
          <w:p w14:paraId="45D9D09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110</w:t>
            </w:r>
          </w:p>
        </w:tc>
        <w:tc>
          <w:tcPr>
            <w:tcW w:w="960" w:type="dxa"/>
            <w:tcBorders>
              <w:top w:val="nil"/>
              <w:left w:val="nil"/>
              <w:right w:val="nil"/>
            </w:tcBorders>
            <w:shd w:val="clear" w:color="auto" w:fill="auto"/>
            <w:noWrap/>
            <w:vAlign w:val="bottom"/>
          </w:tcPr>
          <w:p w14:paraId="5023D1C0"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110</w:t>
            </w:r>
          </w:p>
        </w:tc>
        <w:tc>
          <w:tcPr>
            <w:tcW w:w="960" w:type="dxa"/>
            <w:tcBorders>
              <w:top w:val="nil"/>
              <w:left w:val="nil"/>
              <w:right w:val="nil"/>
            </w:tcBorders>
            <w:shd w:val="clear" w:color="auto" w:fill="auto"/>
            <w:noWrap/>
            <w:vAlign w:val="bottom"/>
          </w:tcPr>
          <w:p w14:paraId="093282A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110</w:t>
            </w:r>
          </w:p>
        </w:tc>
        <w:tc>
          <w:tcPr>
            <w:tcW w:w="960" w:type="dxa"/>
            <w:tcBorders>
              <w:top w:val="nil"/>
              <w:left w:val="nil"/>
              <w:right w:val="nil"/>
            </w:tcBorders>
            <w:shd w:val="clear" w:color="auto" w:fill="auto"/>
            <w:noWrap/>
            <w:vAlign w:val="bottom"/>
          </w:tcPr>
          <w:p w14:paraId="71C9FFB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110</w:t>
            </w:r>
          </w:p>
        </w:tc>
        <w:tc>
          <w:tcPr>
            <w:tcW w:w="960" w:type="dxa"/>
            <w:tcBorders>
              <w:top w:val="nil"/>
              <w:left w:val="nil"/>
              <w:right w:val="nil"/>
            </w:tcBorders>
            <w:shd w:val="clear" w:color="auto" w:fill="auto"/>
            <w:noWrap/>
            <w:vAlign w:val="bottom"/>
          </w:tcPr>
          <w:p w14:paraId="6D6466F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110</w:t>
            </w:r>
          </w:p>
        </w:tc>
        <w:tc>
          <w:tcPr>
            <w:tcW w:w="960" w:type="dxa"/>
            <w:tcBorders>
              <w:top w:val="nil"/>
              <w:left w:val="nil"/>
              <w:right w:val="nil"/>
            </w:tcBorders>
            <w:shd w:val="clear" w:color="auto" w:fill="auto"/>
            <w:noWrap/>
            <w:vAlign w:val="bottom"/>
          </w:tcPr>
          <w:p w14:paraId="3FCF479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35</w:t>
            </w:r>
          </w:p>
        </w:tc>
        <w:tc>
          <w:tcPr>
            <w:tcW w:w="960" w:type="dxa"/>
            <w:tcBorders>
              <w:top w:val="nil"/>
              <w:left w:val="nil"/>
              <w:right w:val="nil"/>
            </w:tcBorders>
            <w:shd w:val="clear" w:color="auto" w:fill="auto"/>
            <w:noWrap/>
            <w:vAlign w:val="bottom"/>
          </w:tcPr>
          <w:p w14:paraId="0DF9F2FA"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75</w:t>
            </w:r>
          </w:p>
        </w:tc>
      </w:tr>
      <w:tr w:rsidR="0086707B" w:rsidRPr="00A2642E" w14:paraId="3DFE5044" w14:textId="77777777" w:rsidTr="00B148D5">
        <w:trPr>
          <w:trHeight w:val="300"/>
        </w:trPr>
        <w:tc>
          <w:tcPr>
            <w:tcW w:w="1440" w:type="dxa"/>
            <w:tcBorders>
              <w:top w:val="nil"/>
              <w:left w:val="nil"/>
              <w:bottom w:val="single" w:sz="4" w:space="0" w:color="auto"/>
              <w:right w:val="nil"/>
            </w:tcBorders>
            <w:shd w:val="clear" w:color="auto" w:fill="auto"/>
            <w:noWrap/>
            <w:vAlign w:val="bottom"/>
          </w:tcPr>
          <w:p w14:paraId="7EEF0856"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noProof/>
                <w:color w:val="000000"/>
                <w:position w:val="-4"/>
                <w:sz w:val="20"/>
                <w:szCs w:val="20"/>
              </w:rPr>
              <w:t>Adjusted R</w:t>
            </w:r>
            <w:r w:rsidRPr="00A2642E">
              <w:rPr>
                <w:rFonts w:asciiTheme="majorHAnsi" w:hAnsiTheme="majorHAnsi"/>
                <w:noProof/>
                <w:color w:val="000000"/>
                <w:position w:val="-4"/>
                <w:sz w:val="20"/>
                <w:szCs w:val="20"/>
                <w:vertAlign w:val="superscript"/>
              </w:rPr>
              <w:t>2</w:t>
            </w:r>
          </w:p>
        </w:tc>
        <w:tc>
          <w:tcPr>
            <w:tcW w:w="960" w:type="dxa"/>
            <w:tcBorders>
              <w:top w:val="nil"/>
              <w:left w:val="nil"/>
              <w:bottom w:val="single" w:sz="4" w:space="0" w:color="auto"/>
              <w:right w:val="nil"/>
            </w:tcBorders>
            <w:shd w:val="clear" w:color="auto" w:fill="auto"/>
            <w:noWrap/>
            <w:vAlign w:val="bottom"/>
          </w:tcPr>
          <w:p w14:paraId="331FC83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0.281</w:t>
            </w:r>
          </w:p>
        </w:tc>
        <w:tc>
          <w:tcPr>
            <w:tcW w:w="960" w:type="dxa"/>
            <w:tcBorders>
              <w:top w:val="nil"/>
              <w:left w:val="nil"/>
              <w:bottom w:val="single" w:sz="4" w:space="0" w:color="auto"/>
              <w:right w:val="nil"/>
            </w:tcBorders>
            <w:shd w:val="clear" w:color="auto" w:fill="auto"/>
            <w:noWrap/>
            <w:vAlign w:val="bottom"/>
          </w:tcPr>
          <w:p w14:paraId="65510BA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0.378</w:t>
            </w:r>
          </w:p>
        </w:tc>
        <w:tc>
          <w:tcPr>
            <w:tcW w:w="960" w:type="dxa"/>
            <w:tcBorders>
              <w:top w:val="nil"/>
              <w:left w:val="nil"/>
              <w:bottom w:val="single" w:sz="4" w:space="0" w:color="auto"/>
              <w:right w:val="nil"/>
            </w:tcBorders>
            <w:shd w:val="clear" w:color="auto" w:fill="auto"/>
            <w:noWrap/>
            <w:vAlign w:val="bottom"/>
          </w:tcPr>
          <w:p w14:paraId="7138AA15"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0.377</w:t>
            </w:r>
          </w:p>
        </w:tc>
        <w:tc>
          <w:tcPr>
            <w:tcW w:w="960" w:type="dxa"/>
            <w:tcBorders>
              <w:top w:val="nil"/>
              <w:left w:val="nil"/>
              <w:bottom w:val="single" w:sz="4" w:space="0" w:color="auto"/>
              <w:right w:val="nil"/>
            </w:tcBorders>
            <w:shd w:val="clear" w:color="auto" w:fill="auto"/>
            <w:noWrap/>
            <w:vAlign w:val="bottom"/>
          </w:tcPr>
          <w:p w14:paraId="25E1CC1C"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0.376</w:t>
            </w:r>
          </w:p>
        </w:tc>
        <w:tc>
          <w:tcPr>
            <w:tcW w:w="960" w:type="dxa"/>
            <w:tcBorders>
              <w:top w:val="nil"/>
              <w:left w:val="nil"/>
              <w:bottom w:val="single" w:sz="4" w:space="0" w:color="auto"/>
              <w:right w:val="nil"/>
            </w:tcBorders>
            <w:shd w:val="clear" w:color="auto" w:fill="auto"/>
            <w:noWrap/>
            <w:vAlign w:val="bottom"/>
          </w:tcPr>
          <w:p w14:paraId="626017F9"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0.374</w:t>
            </w:r>
          </w:p>
        </w:tc>
        <w:tc>
          <w:tcPr>
            <w:tcW w:w="960" w:type="dxa"/>
            <w:tcBorders>
              <w:top w:val="nil"/>
              <w:left w:val="nil"/>
              <w:bottom w:val="single" w:sz="4" w:space="0" w:color="auto"/>
              <w:right w:val="nil"/>
            </w:tcBorders>
            <w:shd w:val="clear" w:color="auto" w:fill="auto"/>
            <w:noWrap/>
            <w:vAlign w:val="bottom"/>
          </w:tcPr>
          <w:p w14:paraId="1B84A87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0.234</w:t>
            </w:r>
          </w:p>
        </w:tc>
        <w:tc>
          <w:tcPr>
            <w:tcW w:w="960" w:type="dxa"/>
            <w:tcBorders>
              <w:top w:val="nil"/>
              <w:left w:val="nil"/>
              <w:bottom w:val="single" w:sz="4" w:space="0" w:color="auto"/>
              <w:right w:val="nil"/>
            </w:tcBorders>
            <w:shd w:val="clear" w:color="auto" w:fill="auto"/>
            <w:noWrap/>
            <w:vAlign w:val="bottom"/>
          </w:tcPr>
          <w:p w14:paraId="4B3EA9A1" w14:textId="77777777" w:rsidR="0086707B" w:rsidRPr="00A2642E" w:rsidRDefault="0086707B" w:rsidP="00B148D5">
            <w:pPr>
              <w:widowControl/>
              <w:ind w:firstLine="0"/>
              <w:rPr>
                <w:rFonts w:asciiTheme="majorHAnsi" w:hAnsiTheme="majorHAnsi"/>
                <w:color w:val="000000"/>
                <w:sz w:val="16"/>
                <w:szCs w:val="16"/>
                <w:lang w:eastAsia="ko-KR"/>
              </w:rPr>
            </w:pPr>
            <w:r w:rsidRPr="00A2642E">
              <w:rPr>
                <w:rFonts w:asciiTheme="majorHAnsi" w:hAnsiTheme="majorHAnsi"/>
                <w:color w:val="000000"/>
                <w:sz w:val="16"/>
                <w:szCs w:val="16"/>
                <w:lang w:eastAsia="ko-KR"/>
              </w:rPr>
              <w:t>-0.052</w:t>
            </w:r>
          </w:p>
        </w:tc>
      </w:tr>
    </w:tbl>
    <w:p w14:paraId="605A252E" w14:textId="77777777" w:rsidR="0086707B" w:rsidRDefault="0086707B" w:rsidP="0086707B">
      <w:pPr>
        <w:ind w:firstLine="0"/>
        <w:jc w:val="both"/>
        <w:rPr>
          <w:sz w:val="20"/>
          <w:szCs w:val="20"/>
        </w:rPr>
      </w:pPr>
      <w:r w:rsidRPr="00A25889">
        <w:rPr>
          <w:sz w:val="20"/>
          <w:szCs w:val="20"/>
        </w:rPr>
        <w:t>*, **, *** refers to 10, 5 and 1 per</w:t>
      </w:r>
      <w:r>
        <w:rPr>
          <w:sz w:val="20"/>
          <w:szCs w:val="20"/>
        </w:rPr>
        <w:t xml:space="preserve"> </w:t>
      </w:r>
      <w:r w:rsidRPr="00A25889">
        <w:rPr>
          <w:sz w:val="20"/>
          <w:szCs w:val="20"/>
        </w:rPr>
        <w:t>cent significance level</w:t>
      </w:r>
      <w:r>
        <w:rPr>
          <w:sz w:val="20"/>
          <w:szCs w:val="20"/>
        </w:rPr>
        <w:t xml:space="preserve"> respectively. </w:t>
      </w:r>
      <w:r w:rsidRPr="009D3C21">
        <w:rPr>
          <w:sz w:val="20"/>
          <w:szCs w:val="20"/>
        </w:rPr>
        <w:t>Figures in parentheses are het</w:t>
      </w:r>
      <w:r>
        <w:rPr>
          <w:sz w:val="20"/>
          <w:szCs w:val="20"/>
        </w:rPr>
        <w:t>e</w:t>
      </w:r>
      <w:r w:rsidRPr="009D3C21">
        <w:rPr>
          <w:sz w:val="20"/>
          <w:szCs w:val="20"/>
        </w:rPr>
        <w:t>rosceda</w:t>
      </w:r>
      <w:r>
        <w:rPr>
          <w:sz w:val="20"/>
          <w:szCs w:val="20"/>
        </w:rPr>
        <w:t>sticity</w:t>
      </w:r>
      <w:r w:rsidRPr="009D3C21">
        <w:rPr>
          <w:sz w:val="20"/>
          <w:szCs w:val="20"/>
        </w:rPr>
        <w:t xml:space="preserve">-robust t-values. </w:t>
      </w:r>
    </w:p>
    <w:p w14:paraId="7D5145CD" w14:textId="77777777" w:rsidR="0086707B" w:rsidRDefault="0086707B" w:rsidP="0086707B">
      <w:pPr>
        <w:ind w:firstLine="0"/>
        <w:jc w:val="both"/>
        <w:rPr>
          <w:sz w:val="20"/>
          <w:szCs w:val="20"/>
        </w:rPr>
      </w:pPr>
    </w:p>
    <w:p w14:paraId="31EFBF7C" w14:textId="77777777" w:rsidR="0086707B" w:rsidRPr="009D3C21" w:rsidRDefault="0086707B" w:rsidP="0086707B">
      <w:pPr>
        <w:ind w:firstLine="0"/>
        <w:jc w:val="both"/>
        <w:rPr>
          <w:sz w:val="20"/>
          <w:szCs w:val="20"/>
        </w:rPr>
      </w:pPr>
    </w:p>
    <w:p w14:paraId="5591D52F" w14:textId="77777777" w:rsidR="0086707B" w:rsidRDefault="0086707B" w:rsidP="0086707B">
      <w:pPr>
        <w:ind w:firstLine="0"/>
        <w:jc w:val="both"/>
        <w:rPr>
          <w:b/>
          <w:lang w:val="en-US"/>
        </w:rPr>
      </w:pPr>
    </w:p>
    <w:p w14:paraId="56AC3D72" w14:textId="77777777" w:rsidR="0086707B" w:rsidRDefault="0086707B" w:rsidP="0086707B">
      <w:pPr>
        <w:widowControl/>
        <w:ind w:firstLine="0"/>
        <w:rPr>
          <w:b/>
        </w:rPr>
      </w:pPr>
      <w:r>
        <w:rPr>
          <w:b/>
        </w:rPr>
        <w:br w:type="page"/>
      </w:r>
    </w:p>
    <w:p w14:paraId="28BE224C" w14:textId="77777777" w:rsidR="0086707B" w:rsidRDefault="0086707B" w:rsidP="0086707B">
      <w:pPr>
        <w:ind w:firstLine="0"/>
        <w:jc w:val="both"/>
        <w:rPr>
          <w:b/>
        </w:rPr>
      </w:pPr>
      <w:r>
        <w:rPr>
          <w:b/>
        </w:rPr>
        <w:lastRenderedPageBreak/>
        <w:t>Table 5: Effects of Shareholder and Stakeholder Rights and Legal Origin on CO</w:t>
      </w:r>
      <w:r w:rsidRPr="001E4E61">
        <w:rPr>
          <w:b/>
          <w:vertAlign w:val="subscript"/>
        </w:rPr>
        <w:t>2</w:t>
      </w:r>
    </w:p>
    <w:p w14:paraId="213675F5" w14:textId="77777777" w:rsidR="0086707B" w:rsidRDefault="0086707B" w:rsidP="0086707B">
      <w:pPr>
        <w:ind w:firstLine="0"/>
        <w:jc w:val="both"/>
        <w:rPr>
          <w:sz w:val="20"/>
          <w:szCs w:val="20"/>
        </w:rPr>
      </w:pPr>
    </w:p>
    <w:tbl>
      <w:tblPr>
        <w:tblW w:w="7528" w:type="dxa"/>
        <w:tblInd w:w="93" w:type="dxa"/>
        <w:tblLook w:val="04A0" w:firstRow="1" w:lastRow="0" w:firstColumn="1" w:lastColumn="0" w:noHBand="0" w:noVBand="1"/>
      </w:tblPr>
      <w:tblGrid>
        <w:gridCol w:w="2850"/>
        <w:gridCol w:w="1134"/>
        <w:gridCol w:w="1134"/>
        <w:gridCol w:w="1134"/>
        <w:gridCol w:w="1276"/>
      </w:tblGrid>
      <w:tr w:rsidR="0086707B" w:rsidRPr="00B51BEE" w14:paraId="2EB8BD6F" w14:textId="77777777" w:rsidTr="00B148D5">
        <w:trPr>
          <w:trHeight w:val="300"/>
        </w:trPr>
        <w:tc>
          <w:tcPr>
            <w:tcW w:w="2850" w:type="dxa"/>
            <w:tcBorders>
              <w:top w:val="single" w:sz="4" w:space="0" w:color="auto"/>
              <w:left w:val="nil"/>
              <w:bottom w:val="single" w:sz="4" w:space="0" w:color="auto"/>
              <w:right w:val="nil"/>
            </w:tcBorders>
            <w:shd w:val="clear" w:color="auto" w:fill="auto"/>
            <w:noWrap/>
            <w:vAlign w:val="bottom"/>
          </w:tcPr>
          <w:p w14:paraId="41580242" w14:textId="77777777" w:rsidR="0086707B" w:rsidRPr="00B51BEE" w:rsidRDefault="0086707B" w:rsidP="00B148D5">
            <w:pPr>
              <w:widowControl/>
              <w:ind w:firstLine="0"/>
              <w:rPr>
                <w:rFonts w:ascii="Calibri" w:hAnsi="Calibri"/>
                <w:color w:val="000000"/>
                <w:sz w:val="22"/>
                <w:szCs w:val="22"/>
                <w:lang w:eastAsia="en-AU"/>
              </w:rPr>
            </w:pPr>
          </w:p>
        </w:tc>
        <w:tc>
          <w:tcPr>
            <w:tcW w:w="1134" w:type="dxa"/>
            <w:tcBorders>
              <w:top w:val="single" w:sz="4" w:space="0" w:color="auto"/>
              <w:left w:val="nil"/>
              <w:bottom w:val="single" w:sz="4" w:space="0" w:color="auto"/>
              <w:right w:val="nil"/>
            </w:tcBorders>
            <w:shd w:val="clear" w:color="auto" w:fill="auto"/>
            <w:noWrap/>
            <w:vAlign w:val="bottom"/>
          </w:tcPr>
          <w:p w14:paraId="685B780A" w14:textId="77777777" w:rsidR="0086707B" w:rsidRPr="00B51BEE" w:rsidRDefault="0086707B" w:rsidP="00B148D5">
            <w:pPr>
              <w:widowControl/>
              <w:ind w:firstLine="0"/>
              <w:rPr>
                <w:rFonts w:ascii="Calibri" w:hAnsi="Calibri"/>
                <w:color w:val="000000"/>
                <w:sz w:val="22"/>
                <w:szCs w:val="22"/>
                <w:lang w:eastAsia="en-AU"/>
              </w:rPr>
            </w:pPr>
            <w:r>
              <w:rPr>
                <w:rFonts w:ascii="Calibri" w:hAnsi="Calibri"/>
                <w:color w:val="000000"/>
                <w:sz w:val="22"/>
                <w:szCs w:val="22"/>
                <w:lang w:eastAsia="en-AU"/>
              </w:rPr>
              <w:t>(1)</w:t>
            </w:r>
          </w:p>
        </w:tc>
        <w:tc>
          <w:tcPr>
            <w:tcW w:w="1134" w:type="dxa"/>
            <w:tcBorders>
              <w:top w:val="single" w:sz="4" w:space="0" w:color="auto"/>
              <w:left w:val="nil"/>
              <w:bottom w:val="single" w:sz="4" w:space="0" w:color="auto"/>
              <w:right w:val="nil"/>
            </w:tcBorders>
            <w:shd w:val="clear" w:color="auto" w:fill="auto"/>
            <w:noWrap/>
            <w:vAlign w:val="bottom"/>
          </w:tcPr>
          <w:p w14:paraId="1818FE36" w14:textId="77777777" w:rsidR="0086707B" w:rsidRPr="00B51BEE" w:rsidRDefault="0086707B" w:rsidP="00B148D5">
            <w:pPr>
              <w:widowControl/>
              <w:ind w:firstLine="0"/>
              <w:rPr>
                <w:rFonts w:ascii="Calibri" w:hAnsi="Calibri"/>
                <w:color w:val="000000"/>
                <w:sz w:val="22"/>
                <w:szCs w:val="22"/>
                <w:lang w:eastAsia="en-AU"/>
              </w:rPr>
            </w:pPr>
            <w:r>
              <w:rPr>
                <w:rFonts w:ascii="Calibri" w:hAnsi="Calibri"/>
                <w:color w:val="000000"/>
                <w:sz w:val="22"/>
                <w:szCs w:val="22"/>
                <w:lang w:eastAsia="en-AU"/>
              </w:rPr>
              <w:t>(2)</w:t>
            </w:r>
          </w:p>
        </w:tc>
        <w:tc>
          <w:tcPr>
            <w:tcW w:w="1134" w:type="dxa"/>
            <w:tcBorders>
              <w:top w:val="single" w:sz="4" w:space="0" w:color="auto"/>
              <w:left w:val="nil"/>
              <w:bottom w:val="single" w:sz="4" w:space="0" w:color="auto"/>
              <w:right w:val="nil"/>
            </w:tcBorders>
            <w:shd w:val="clear" w:color="auto" w:fill="auto"/>
            <w:noWrap/>
            <w:vAlign w:val="bottom"/>
          </w:tcPr>
          <w:p w14:paraId="11DD2AA6" w14:textId="77777777" w:rsidR="0086707B" w:rsidRPr="00B51BEE" w:rsidRDefault="0086707B" w:rsidP="00B148D5">
            <w:pPr>
              <w:widowControl/>
              <w:ind w:firstLine="0"/>
              <w:rPr>
                <w:rFonts w:ascii="Calibri" w:hAnsi="Calibri"/>
                <w:color w:val="000000"/>
                <w:sz w:val="22"/>
                <w:szCs w:val="22"/>
                <w:lang w:eastAsia="en-AU"/>
              </w:rPr>
            </w:pPr>
            <w:r>
              <w:rPr>
                <w:rFonts w:ascii="Calibri" w:hAnsi="Calibri"/>
                <w:color w:val="000000"/>
                <w:sz w:val="22"/>
                <w:szCs w:val="22"/>
                <w:lang w:eastAsia="en-AU"/>
              </w:rPr>
              <w:t>(3)</w:t>
            </w:r>
          </w:p>
        </w:tc>
        <w:tc>
          <w:tcPr>
            <w:tcW w:w="1276" w:type="dxa"/>
            <w:tcBorders>
              <w:top w:val="single" w:sz="4" w:space="0" w:color="auto"/>
              <w:left w:val="nil"/>
              <w:bottom w:val="single" w:sz="4" w:space="0" w:color="auto"/>
              <w:right w:val="nil"/>
            </w:tcBorders>
            <w:shd w:val="clear" w:color="auto" w:fill="auto"/>
            <w:noWrap/>
            <w:vAlign w:val="bottom"/>
          </w:tcPr>
          <w:p w14:paraId="6CB9CB4A" w14:textId="77777777" w:rsidR="0086707B" w:rsidRPr="00B51BEE" w:rsidRDefault="0086707B" w:rsidP="00B148D5">
            <w:pPr>
              <w:widowControl/>
              <w:ind w:firstLine="0"/>
              <w:rPr>
                <w:rFonts w:ascii="Calibri" w:hAnsi="Calibri"/>
                <w:color w:val="000000"/>
                <w:sz w:val="22"/>
                <w:szCs w:val="22"/>
                <w:lang w:eastAsia="en-AU"/>
              </w:rPr>
            </w:pPr>
            <w:r>
              <w:rPr>
                <w:rFonts w:ascii="Calibri" w:hAnsi="Calibri"/>
                <w:color w:val="000000"/>
                <w:sz w:val="22"/>
                <w:szCs w:val="22"/>
                <w:lang w:eastAsia="en-AU"/>
              </w:rPr>
              <w:t>(4)</w:t>
            </w:r>
            <w:r w:rsidRPr="00B51BEE">
              <w:rPr>
                <w:rFonts w:ascii="Calibri" w:hAnsi="Calibri"/>
                <w:color w:val="000000"/>
                <w:sz w:val="22"/>
                <w:szCs w:val="22"/>
                <w:lang w:eastAsia="en-AU"/>
              </w:rPr>
              <w:t xml:space="preserve">   </w:t>
            </w:r>
          </w:p>
        </w:tc>
      </w:tr>
      <w:tr w:rsidR="0086707B" w:rsidRPr="00B51BEE" w14:paraId="3177384B" w14:textId="77777777" w:rsidTr="00B148D5">
        <w:trPr>
          <w:trHeight w:val="300"/>
        </w:trPr>
        <w:tc>
          <w:tcPr>
            <w:tcW w:w="2850" w:type="dxa"/>
            <w:tcBorders>
              <w:top w:val="single" w:sz="4" w:space="0" w:color="auto"/>
              <w:left w:val="nil"/>
              <w:bottom w:val="nil"/>
              <w:right w:val="nil"/>
            </w:tcBorders>
            <w:shd w:val="clear" w:color="auto" w:fill="auto"/>
            <w:noWrap/>
            <w:vAlign w:val="bottom"/>
          </w:tcPr>
          <w:p w14:paraId="0048265E" w14:textId="77777777" w:rsidR="0086707B" w:rsidRPr="00B51BEE" w:rsidRDefault="0086707B" w:rsidP="00B148D5">
            <w:pPr>
              <w:widowControl/>
              <w:ind w:firstLine="0"/>
              <w:rPr>
                <w:rFonts w:ascii="Calibri" w:hAnsi="Calibri"/>
                <w:color w:val="000000"/>
                <w:sz w:val="22"/>
                <w:szCs w:val="22"/>
                <w:lang w:eastAsia="en-AU"/>
              </w:rPr>
            </w:pPr>
          </w:p>
        </w:tc>
        <w:tc>
          <w:tcPr>
            <w:tcW w:w="1134" w:type="dxa"/>
            <w:tcBorders>
              <w:top w:val="single" w:sz="4" w:space="0" w:color="auto"/>
              <w:left w:val="nil"/>
              <w:bottom w:val="nil"/>
              <w:right w:val="nil"/>
            </w:tcBorders>
            <w:shd w:val="clear" w:color="auto" w:fill="auto"/>
            <w:noWrap/>
            <w:vAlign w:val="bottom"/>
          </w:tcPr>
          <w:p w14:paraId="6AF48BDC" w14:textId="77777777" w:rsidR="0086707B" w:rsidRPr="00B51BEE" w:rsidRDefault="0086707B" w:rsidP="00B148D5">
            <w:pPr>
              <w:widowControl/>
              <w:ind w:firstLine="0"/>
              <w:rPr>
                <w:rFonts w:ascii="Calibri" w:hAnsi="Calibri"/>
                <w:color w:val="000000"/>
                <w:sz w:val="22"/>
                <w:szCs w:val="22"/>
                <w:lang w:eastAsia="en-AU"/>
              </w:rPr>
            </w:pPr>
          </w:p>
        </w:tc>
        <w:tc>
          <w:tcPr>
            <w:tcW w:w="1134" w:type="dxa"/>
            <w:tcBorders>
              <w:top w:val="single" w:sz="4" w:space="0" w:color="auto"/>
              <w:left w:val="nil"/>
              <w:bottom w:val="nil"/>
              <w:right w:val="nil"/>
            </w:tcBorders>
            <w:shd w:val="clear" w:color="auto" w:fill="auto"/>
            <w:noWrap/>
            <w:vAlign w:val="bottom"/>
          </w:tcPr>
          <w:p w14:paraId="42A65B1A" w14:textId="77777777" w:rsidR="0086707B" w:rsidRPr="00B51BEE" w:rsidRDefault="0086707B" w:rsidP="00B148D5">
            <w:pPr>
              <w:widowControl/>
              <w:ind w:firstLine="0"/>
              <w:rPr>
                <w:rFonts w:ascii="Calibri" w:hAnsi="Calibri"/>
                <w:color w:val="000000"/>
                <w:sz w:val="22"/>
                <w:szCs w:val="22"/>
                <w:lang w:eastAsia="en-AU"/>
              </w:rPr>
            </w:pPr>
          </w:p>
        </w:tc>
        <w:tc>
          <w:tcPr>
            <w:tcW w:w="1134" w:type="dxa"/>
            <w:tcBorders>
              <w:top w:val="single" w:sz="4" w:space="0" w:color="auto"/>
              <w:left w:val="nil"/>
              <w:bottom w:val="nil"/>
              <w:right w:val="nil"/>
            </w:tcBorders>
            <w:shd w:val="clear" w:color="auto" w:fill="auto"/>
            <w:noWrap/>
            <w:vAlign w:val="bottom"/>
          </w:tcPr>
          <w:p w14:paraId="0301D721" w14:textId="77777777" w:rsidR="0086707B" w:rsidRPr="00B51BEE" w:rsidRDefault="0086707B" w:rsidP="00B148D5">
            <w:pPr>
              <w:widowControl/>
              <w:ind w:firstLine="0"/>
              <w:rPr>
                <w:rFonts w:ascii="Calibri" w:hAnsi="Calibri"/>
                <w:color w:val="000000"/>
                <w:sz w:val="22"/>
                <w:szCs w:val="22"/>
                <w:lang w:eastAsia="en-AU"/>
              </w:rPr>
            </w:pPr>
          </w:p>
        </w:tc>
        <w:tc>
          <w:tcPr>
            <w:tcW w:w="1276" w:type="dxa"/>
            <w:tcBorders>
              <w:top w:val="single" w:sz="4" w:space="0" w:color="auto"/>
              <w:left w:val="nil"/>
              <w:bottom w:val="nil"/>
              <w:right w:val="nil"/>
            </w:tcBorders>
            <w:shd w:val="clear" w:color="auto" w:fill="auto"/>
            <w:noWrap/>
            <w:vAlign w:val="bottom"/>
          </w:tcPr>
          <w:p w14:paraId="78A6C8EE" w14:textId="77777777" w:rsidR="0086707B" w:rsidRPr="00B51BEE" w:rsidRDefault="0086707B" w:rsidP="00B148D5">
            <w:pPr>
              <w:widowControl/>
              <w:ind w:firstLine="0"/>
              <w:rPr>
                <w:rFonts w:ascii="Calibri" w:hAnsi="Calibri"/>
                <w:color w:val="000000"/>
                <w:sz w:val="22"/>
                <w:szCs w:val="22"/>
                <w:lang w:eastAsia="en-AU"/>
              </w:rPr>
            </w:pPr>
          </w:p>
        </w:tc>
      </w:tr>
      <w:tr w:rsidR="0086707B" w:rsidRPr="00A2642E" w14:paraId="741040D4" w14:textId="77777777" w:rsidTr="00B148D5">
        <w:trPr>
          <w:trHeight w:val="300"/>
        </w:trPr>
        <w:tc>
          <w:tcPr>
            <w:tcW w:w="2850" w:type="dxa"/>
            <w:tcBorders>
              <w:top w:val="nil"/>
              <w:left w:val="nil"/>
              <w:bottom w:val="nil"/>
              <w:right w:val="nil"/>
            </w:tcBorders>
            <w:shd w:val="clear" w:color="auto" w:fill="auto"/>
            <w:noWrap/>
            <w:vAlign w:val="bottom"/>
          </w:tcPr>
          <w:p w14:paraId="45B759F5"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Shareholder Rights</w:t>
            </w:r>
          </w:p>
        </w:tc>
        <w:tc>
          <w:tcPr>
            <w:tcW w:w="1134" w:type="dxa"/>
            <w:tcBorders>
              <w:top w:val="nil"/>
              <w:left w:val="nil"/>
              <w:bottom w:val="nil"/>
              <w:right w:val="nil"/>
            </w:tcBorders>
            <w:shd w:val="clear" w:color="auto" w:fill="auto"/>
            <w:noWrap/>
            <w:vAlign w:val="bottom"/>
          </w:tcPr>
          <w:p w14:paraId="2602D523"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0.002</w:t>
            </w:r>
          </w:p>
        </w:tc>
        <w:tc>
          <w:tcPr>
            <w:tcW w:w="1134" w:type="dxa"/>
            <w:tcBorders>
              <w:top w:val="nil"/>
              <w:left w:val="nil"/>
              <w:bottom w:val="nil"/>
              <w:right w:val="nil"/>
            </w:tcBorders>
            <w:shd w:val="clear" w:color="auto" w:fill="auto"/>
            <w:noWrap/>
            <w:vAlign w:val="bottom"/>
          </w:tcPr>
          <w:p w14:paraId="55B75DFB"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69D3DD9"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095A9B9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-0.006</w:t>
            </w:r>
          </w:p>
        </w:tc>
      </w:tr>
      <w:tr w:rsidR="0086707B" w:rsidRPr="00A2642E" w14:paraId="4626BB00" w14:textId="77777777" w:rsidTr="00B148D5">
        <w:trPr>
          <w:trHeight w:val="300"/>
        </w:trPr>
        <w:tc>
          <w:tcPr>
            <w:tcW w:w="2850" w:type="dxa"/>
            <w:tcBorders>
              <w:top w:val="nil"/>
              <w:left w:val="nil"/>
              <w:bottom w:val="nil"/>
              <w:right w:val="nil"/>
            </w:tcBorders>
            <w:shd w:val="clear" w:color="auto" w:fill="auto"/>
            <w:noWrap/>
            <w:vAlign w:val="bottom"/>
          </w:tcPr>
          <w:p w14:paraId="2E93F5B6"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D4601C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[0.39]</w:t>
            </w:r>
          </w:p>
        </w:tc>
        <w:tc>
          <w:tcPr>
            <w:tcW w:w="1134" w:type="dxa"/>
            <w:tcBorders>
              <w:top w:val="nil"/>
              <w:left w:val="nil"/>
              <w:bottom w:val="nil"/>
              <w:right w:val="nil"/>
            </w:tcBorders>
            <w:shd w:val="clear" w:color="auto" w:fill="auto"/>
            <w:noWrap/>
            <w:vAlign w:val="bottom"/>
          </w:tcPr>
          <w:p w14:paraId="01BF5E7B"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25983BDF"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5C3DB3C7"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[1.17]   </w:t>
            </w:r>
          </w:p>
        </w:tc>
      </w:tr>
      <w:tr w:rsidR="0086707B" w:rsidRPr="00A2642E" w14:paraId="4FCA34A8" w14:textId="77777777" w:rsidTr="00B148D5">
        <w:trPr>
          <w:trHeight w:val="300"/>
        </w:trPr>
        <w:tc>
          <w:tcPr>
            <w:tcW w:w="3984" w:type="dxa"/>
            <w:gridSpan w:val="2"/>
            <w:tcBorders>
              <w:top w:val="nil"/>
              <w:left w:val="nil"/>
              <w:bottom w:val="nil"/>
              <w:right w:val="nil"/>
            </w:tcBorders>
            <w:shd w:val="clear" w:color="auto" w:fill="auto"/>
            <w:noWrap/>
            <w:vAlign w:val="bottom"/>
          </w:tcPr>
          <w:p w14:paraId="56E0C371"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Creditor Rights</w:t>
            </w:r>
          </w:p>
        </w:tc>
        <w:tc>
          <w:tcPr>
            <w:tcW w:w="1134" w:type="dxa"/>
            <w:tcBorders>
              <w:top w:val="nil"/>
              <w:left w:val="nil"/>
              <w:bottom w:val="nil"/>
              <w:right w:val="nil"/>
            </w:tcBorders>
            <w:shd w:val="clear" w:color="auto" w:fill="auto"/>
            <w:noWrap/>
            <w:vAlign w:val="bottom"/>
          </w:tcPr>
          <w:p w14:paraId="07B6BB1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-0.012**</w:t>
            </w:r>
          </w:p>
        </w:tc>
        <w:tc>
          <w:tcPr>
            <w:tcW w:w="1134" w:type="dxa"/>
            <w:tcBorders>
              <w:top w:val="nil"/>
              <w:left w:val="nil"/>
              <w:bottom w:val="nil"/>
              <w:right w:val="nil"/>
            </w:tcBorders>
            <w:shd w:val="clear" w:color="auto" w:fill="auto"/>
            <w:noWrap/>
            <w:vAlign w:val="bottom"/>
          </w:tcPr>
          <w:p w14:paraId="0834308F"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55379133"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-0.002</w:t>
            </w:r>
          </w:p>
        </w:tc>
      </w:tr>
      <w:tr w:rsidR="0086707B" w:rsidRPr="00A2642E" w14:paraId="47B0B794" w14:textId="77777777" w:rsidTr="00B148D5">
        <w:trPr>
          <w:trHeight w:val="300"/>
        </w:trPr>
        <w:tc>
          <w:tcPr>
            <w:tcW w:w="2850" w:type="dxa"/>
            <w:tcBorders>
              <w:top w:val="nil"/>
              <w:left w:val="nil"/>
              <w:bottom w:val="nil"/>
              <w:right w:val="nil"/>
            </w:tcBorders>
            <w:shd w:val="clear" w:color="auto" w:fill="auto"/>
            <w:noWrap/>
            <w:vAlign w:val="bottom"/>
          </w:tcPr>
          <w:p w14:paraId="1B52F6C9"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8D24A1F"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6725D95"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[1.90]</w:t>
            </w:r>
          </w:p>
        </w:tc>
        <w:tc>
          <w:tcPr>
            <w:tcW w:w="1134" w:type="dxa"/>
            <w:tcBorders>
              <w:top w:val="nil"/>
              <w:left w:val="nil"/>
              <w:bottom w:val="nil"/>
              <w:right w:val="nil"/>
            </w:tcBorders>
            <w:shd w:val="clear" w:color="auto" w:fill="auto"/>
            <w:noWrap/>
            <w:vAlign w:val="bottom"/>
          </w:tcPr>
          <w:p w14:paraId="3C7CDA32"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1CCB8B6E"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[0.23]   </w:t>
            </w:r>
          </w:p>
        </w:tc>
      </w:tr>
      <w:tr w:rsidR="0086707B" w:rsidRPr="00A2642E" w14:paraId="1E6F77F6" w14:textId="77777777" w:rsidTr="00B148D5">
        <w:trPr>
          <w:trHeight w:val="300"/>
        </w:trPr>
        <w:tc>
          <w:tcPr>
            <w:tcW w:w="2850" w:type="dxa"/>
            <w:tcBorders>
              <w:top w:val="nil"/>
              <w:left w:val="nil"/>
              <w:bottom w:val="nil"/>
              <w:right w:val="nil"/>
            </w:tcBorders>
            <w:shd w:val="clear" w:color="auto" w:fill="auto"/>
            <w:noWrap/>
            <w:vAlign w:val="bottom"/>
          </w:tcPr>
          <w:p w14:paraId="617F8094"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374A978"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D965C86"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6C686B4D"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7CE95504"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4B21BFFF" w14:textId="77777777" w:rsidTr="00B148D5">
        <w:trPr>
          <w:trHeight w:val="300"/>
        </w:trPr>
        <w:tc>
          <w:tcPr>
            <w:tcW w:w="2850" w:type="dxa"/>
            <w:tcBorders>
              <w:top w:val="nil"/>
              <w:left w:val="nil"/>
              <w:bottom w:val="nil"/>
              <w:right w:val="nil"/>
            </w:tcBorders>
            <w:shd w:val="clear" w:color="auto" w:fill="auto"/>
            <w:noWrap/>
            <w:vAlign w:val="bottom"/>
          </w:tcPr>
          <w:p w14:paraId="3559D56F"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Wedge</w:t>
            </w:r>
          </w:p>
        </w:tc>
        <w:tc>
          <w:tcPr>
            <w:tcW w:w="1134" w:type="dxa"/>
            <w:tcBorders>
              <w:top w:val="nil"/>
              <w:left w:val="nil"/>
              <w:bottom w:val="nil"/>
              <w:right w:val="nil"/>
            </w:tcBorders>
            <w:shd w:val="clear" w:color="auto" w:fill="auto"/>
            <w:noWrap/>
            <w:vAlign w:val="bottom"/>
          </w:tcPr>
          <w:p w14:paraId="525DDE96"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6310378"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15F10C6"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-0.238**</w:t>
            </w:r>
          </w:p>
        </w:tc>
        <w:tc>
          <w:tcPr>
            <w:tcW w:w="1276" w:type="dxa"/>
            <w:tcBorders>
              <w:top w:val="nil"/>
              <w:left w:val="nil"/>
              <w:bottom w:val="nil"/>
              <w:right w:val="nil"/>
            </w:tcBorders>
            <w:shd w:val="clear" w:color="auto" w:fill="auto"/>
            <w:noWrap/>
            <w:vAlign w:val="bottom"/>
          </w:tcPr>
          <w:p w14:paraId="47135146"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-0.172**</w:t>
            </w:r>
          </w:p>
        </w:tc>
      </w:tr>
      <w:tr w:rsidR="0086707B" w:rsidRPr="00A2642E" w14:paraId="6C1AC3F0" w14:textId="77777777" w:rsidTr="00B148D5">
        <w:trPr>
          <w:trHeight w:val="300"/>
        </w:trPr>
        <w:tc>
          <w:tcPr>
            <w:tcW w:w="2850" w:type="dxa"/>
            <w:tcBorders>
              <w:top w:val="nil"/>
              <w:left w:val="nil"/>
              <w:bottom w:val="nil"/>
              <w:right w:val="nil"/>
            </w:tcBorders>
            <w:shd w:val="clear" w:color="auto" w:fill="auto"/>
            <w:noWrap/>
            <w:vAlign w:val="bottom"/>
          </w:tcPr>
          <w:p w14:paraId="68CF841C"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C0C0447"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40D1D63"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62D5A13"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[2.52]</w:t>
            </w:r>
          </w:p>
        </w:tc>
        <w:tc>
          <w:tcPr>
            <w:tcW w:w="1276" w:type="dxa"/>
            <w:tcBorders>
              <w:top w:val="nil"/>
              <w:left w:val="nil"/>
              <w:bottom w:val="nil"/>
              <w:right w:val="nil"/>
            </w:tcBorders>
            <w:shd w:val="clear" w:color="auto" w:fill="auto"/>
            <w:noWrap/>
            <w:vAlign w:val="bottom"/>
          </w:tcPr>
          <w:p w14:paraId="04E54F2A"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[2.00]   </w:t>
            </w:r>
          </w:p>
        </w:tc>
      </w:tr>
      <w:tr w:rsidR="0086707B" w:rsidRPr="00A2642E" w14:paraId="6CD66081" w14:textId="77777777" w:rsidTr="00B148D5">
        <w:trPr>
          <w:trHeight w:val="300"/>
        </w:trPr>
        <w:tc>
          <w:tcPr>
            <w:tcW w:w="2850" w:type="dxa"/>
            <w:tcBorders>
              <w:top w:val="nil"/>
              <w:left w:val="nil"/>
              <w:bottom w:val="nil"/>
              <w:right w:val="nil"/>
            </w:tcBorders>
            <w:shd w:val="clear" w:color="auto" w:fill="auto"/>
            <w:noWrap/>
            <w:vAlign w:val="bottom"/>
          </w:tcPr>
          <w:p w14:paraId="59DBCB8B"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601C68FD"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CF4956A"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0E14E5BE"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52BE6285"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2496DE23" w14:textId="77777777" w:rsidTr="00B148D5">
        <w:trPr>
          <w:trHeight w:val="300"/>
        </w:trPr>
        <w:tc>
          <w:tcPr>
            <w:tcW w:w="3984" w:type="dxa"/>
            <w:gridSpan w:val="2"/>
            <w:tcBorders>
              <w:top w:val="nil"/>
              <w:left w:val="nil"/>
              <w:bottom w:val="nil"/>
              <w:right w:val="nil"/>
            </w:tcBorders>
            <w:shd w:val="clear" w:color="auto" w:fill="auto"/>
            <w:noWrap/>
            <w:vAlign w:val="bottom"/>
          </w:tcPr>
          <w:p w14:paraId="77412D0C"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Legal Origin</w:t>
            </w:r>
          </w:p>
        </w:tc>
        <w:tc>
          <w:tcPr>
            <w:tcW w:w="1134" w:type="dxa"/>
            <w:tcBorders>
              <w:top w:val="nil"/>
              <w:left w:val="nil"/>
              <w:bottom w:val="nil"/>
              <w:right w:val="nil"/>
            </w:tcBorders>
            <w:shd w:val="clear" w:color="auto" w:fill="auto"/>
            <w:noWrap/>
            <w:vAlign w:val="bottom"/>
          </w:tcPr>
          <w:p w14:paraId="1A6A0CB0"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17581FE"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4408E71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0.046</w:t>
            </w:r>
          </w:p>
        </w:tc>
      </w:tr>
      <w:tr w:rsidR="0086707B" w:rsidRPr="00A2642E" w14:paraId="00EC4422" w14:textId="77777777" w:rsidTr="00B148D5">
        <w:trPr>
          <w:trHeight w:val="300"/>
        </w:trPr>
        <w:tc>
          <w:tcPr>
            <w:tcW w:w="2850" w:type="dxa"/>
            <w:tcBorders>
              <w:top w:val="nil"/>
              <w:left w:val="nil"/>
              <w:bottom w:val="nil"/>
              <w:right w:val="nil"/>
            </w:tcBorders>
            <w:shd w:val="clear" w:color="auto" w:fill="auto"/>
            <w:noWrap/>
            <w:vAlign w:val="bottom"/>
          </w:tcPr>
          <w:p w14:paraId="4AD4AAB3"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BA56187"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29B6356"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E3EDEA4"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5CF011E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[1.05]   </w:t>
            </w:r>
          </w:p>
        </w:tc>
      </w:tr>
      <w:tr w:rsidR="0086707B" w:rsidRPr="00A2642E" w14:paraId="3DDA9782" w14:textId="77777777" w:rsidTr="00B148D5">
        <w:trPr>
          <w:trHeight w:val="300"/>
        </w:trPr>
        <w:tc>
          <w:tcPr>
            <w:tcW w:w="2850" w:type="dxa"/>
            <w:tcBorders>
              <w:top w:val="nil"/>
              <w:left w:val="nil"/>
              <w:bottom w:val="nil"/>
              <w:right w:val="nil"/>
            </w:tcBorders>
            <w:shd w:val="clear" w:color="auto" w:fill="auto"/>
            <w:noWrap/>
            <w:vAlign w:val="bottom"/>
          </w:tcPr>
          <w:p w14:paraId="02FE8514"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943F0A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E736E2C"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6D566E1D"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27CB5076"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62821224" w14:textId="77777777" w:rsidTr="00B148D5">
        <w:trPr>
          <w:trHeight w:val="300"/>
        </w:trPr>
        <w:tc>
          <w:tcPr>
            <w:tcW w:w="3984" w:type="dxa"/>
            <w:gridSpan w:val="2"/>
            <w:tcBorders>
              <w:top w:val="nil"/>
              <w:left w:val="nil"/>
              <w:bottom w:val="nil"/>
              <w:right w:val="nil"/>
            </w:tcBorders>
            <w:shd w:val="clear" w:color="auto" w:fill="auto"/>
            <w:noWrap/>
            <w:vAlign w:val="bottom"/>
          </w:tcPr>
          <w:p w14:paraId="05F32B80"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Shareholder</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right X Legal Origin</w:t>
            </w:r>
          </w:p>
        </w:tc>
        <w:tc>
          <w:tcPr>
            <w:tcW w:w="1134" w:type="dxa"/>
            <w:tcBorders>
              <w:top w:val="nil"/>
              <w:left w:val="nil"/>
              <w:bottom w:val="nil"/>
              <w:right w:val="nil"/>
            </w:tcBorders>
            <w:shd w:val="clear" w:color="auto" w:fill="auto"/>
            <w:noWrap/>
            <w:vAlign w:val="bottom"/>
          </w:tcPr>
          <w:p w14:paraId="5CD875BC"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7299BE3"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124E5791"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0.020**  </w:t>
            </w:r>
          </w:p>
        </w:tc>
      </w:tr>
      <w:tr w:rsidR="0086707B" w:rsidRPr="00A2642E" w14:paraId="78F2AF96" w14:textId="77777777" w:rsidTr="00B148D5">
        <w:trPr>
          <w:trHeight w:val="300"/>
        </w:trPr>
        <w:tc>
          <w:tcPr>
            <w:tcW w:w="2850" w:type="dxa"/>
            <w:tcBorders>
              <w:top w:val="nil"/>
              <w:left w:val="nil"/>
              <w:bottom w:val="nil"/>
              <w:right w:val="nil"/>
            </w:tcBorders>
            <w:shd w:val="clear" w:color="auto" w:fill="auto"/>
            <w:noWrap/>
            <w:vAlign w:val="bottom"/>
          </w:tcPr>
          <w:p w14:paraId="32FEDF5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6CA2A5F"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4C879B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9F16CD1"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1DE86EE3"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[2.28]   </w:t>
            </w:r>
          </w:p>
        </w:tc>
      </w:tr>
      <w:tr w:rsidR="0086707B" w:rsidRPr="00A2642E" w14:paraId="03642BF7" w14:textId="77777777" w:rsidTr="00B148D5">
        <w:trPr>
          <w:trHeight w:val="300"/>
        </w:trPr>
        <w:tc>
          <w:tcPr>
            <w:tcW w:w="2850" w:type="dxa"/>
            <w:tcBorders>
              <w:top w:val="nil"/>
              <w:left w:val="nil"/>
              <w:bottom w:val="nil"/>
              <w:right w:val="nil"/>
            </w:tcBorders>
            <w:shd w:val="clear" w:color="auto" w:fill="auto"/>
            <w:noWrap/>
            <w:vAlign w:val="bottom"/>
          </w:tcPr>
          <w:p w14:paraId="11470561"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6CA625B0"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D00CDC5"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62E2C9B8"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316178CD"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5B53A102" w14:textId="77777777" w:rsidTr="00B148D5">
        <w:trPr>
          <w:trHeight w:val="300"/>
        </w:trPr>
        <w:tc>
          <w:tcPr>
            <w:tcW w:w="3984" w:type="dxa"/>
            <w:gridSpan w:val="2"/>
            <w:tcBorders>
              <w:top w:val="nil"/>
              <w:left w:val="nil"/>
              <w:bottom w:val="nil"/>
              <w:right w:val="nil"/>
            </w:tcBorders>
            <w:shd w:val="clear" w:color="auto" w:fill="auto"/>
            <w:noWrap/>
            <w:vAlign w:val="bottom"/>
          </w:tcPr>
          <w:p w14:paraId="34F74DE4"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Creditor</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right</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X</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Legal Origin</w:t>
            </w:r>
          </w:p>
        </w:tc>
        <w:tc>
          <w:tcPr>
            <w:tcW w:w="1134" w:type="dxa"/>
            <w:tcBorders>
              <w:top w:val="nil"/>
              <w:left w:val="nil"/>
              <w:bottom w:val="nil"/>
              <w:right w:val="nil"/>
            </w:tcBorders>
            <w:shd w:val="clear" w:color="auto" w:fill="auto"/>
            <w:noWrap/>
            <w:vAlign w:val="bottom"/>
          </w:tcPr>
          <w:p w14:paraId="0E73EF49"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0AF73A0"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35F38C21"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-0.132***</w:t>
            </w:r>
          </w:p>
        </w:tc>
      </w:tr>
      <w:tr w:rsidR="0086707B" w:rsidRPr="00A2642E" w14:paraId="5E64C7C8" w14:textId="77777777" w:rsidTr="00B148D5">
        <w:trPr>
          <w:trHeight w:val="300"/>
        </w:trPr>
        <w:tc>
          <w:tcPr>
            <w:tcW w:w="2850" w:type="dxa"/>
            <w:tcBorders>
              <w:top w:val="nil"/>
              <w:left w:val="nil"/>
              <w:bottom w:val="nil"/>
              <w:right w:val="nil"/>
            </w:tcBorders>
            <w:shd w:val="clear" w:color="auto" w:fill="auto"/>
            <w:noWrap/>
            <w:vAlign w:val="bottom"/>
          </w:tcPr>
          <w:p w14:paraId="3254AD75"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758F3246"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188A04B"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17A1046"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02CF1BA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[7.44]   </w:t>
            </w:r>
          </w:p>
        </w:tc>
      </w:tr>
      <w:tr w:rsidR="0086707B" w:rsidRPr="00A2642E" w14:paraId="31F14445" w14:textId="77777777" w:rsidTr="00B148D5">
        <w:trPr>
          <w:trHeight w:val="300"/>
        </w:trPr>
        <w:tc>
          <w:tcPr>
            <w:tcW w:w="2850" w:type="dxa"/>
            <w:tcBorders>
              <w:top w:val="nil"/>
              <w:left w:val="nil"/>
              <w:bottom w:val="nil"/>
              <w:right w:val="nil"/>
            </w:tcBorders>
            <w:shd w:val="clear" w:color="auto" w:fill="auto"/>
            <w:noWrap/>
            <w:vAlign w:val="bottom"/>
          </w:tcPr>
          <w:p w14:paraId="5B5135FF"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55916F85"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770332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66675D2"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13C2C44C"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2F7FB7C2" w14:textId="77777777" w:rsidTr="00B148D5">
        <w:trPr>
          <w:trHeight w:val="300"/>
        </w:trPr>
        <w:tc>
          <w:tcPr>
            <w:tcW w:w="3984" w:type="dxa"/>
            <w:gridSpan w:val="2"/>
            <w:tcBorders>
              <w:top w:val="nil"/>
              <w:left w:val="nil"/>
              <w:bottom w:val="nil"/>
              <w:right w:val="nil"/>
            </w:tcBorders>
            <w:shd w:val="clear" w:color="auto" w:fill="auto"/>
            <w:noWrap/>
            <w:vAlign w:val="bottom"/>
          </w:tcPr>
          <w:p w14:paraId="0FD4C870"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Wedge</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X</w:t>
            </w:r>
            <w:r>
              <w:rPr>
                <w:rFonts w:asciiTheme="majorHAnsi" w:hAnsiTheme="majorHAnsi"/>
                <w:color w:val="000000"/>
                <w:sz w:val="20"/>
                <w:szCs w:val="20"/>
                <w:lang w:eastAsia="en-AU"/>
              </w:rPr>
              <w:t xml:space="preserve"> </w:t>
            </w:r>
            <w:r w:rsidRPr="00A2642E">
              <w:rPr>
                <w:rFonts w:asciiTheme="majorHAnsi" w:hAnsiTheme="majorHAnsi"/>
                <w:color w:val="000000"/>
                <w:sz w:val="20"/>
                <w:szCs w:val="20"/>
                <w:lang w:eastAsia="en-AU"/>
              </w:rPr>
              <w:t>Legal Origin</w:t>
            </w:r>
          </w:p>
        </w:tc>
        <w:tc>
          <w:tcPr>
            <w:tcW w:w="1134" w:type="dxa"/>
            <w:tcBorders>
              <w:top w:val="nil"/>
              <w:left w:val="nil"/>
              <w:bottom w:val="nil"/>
              <w:right w:val="nil"/>
            </w:tcBorders>
            <w:shd w:val="clear" w:color="auto" w:fill="auto"/>
            <w:noWrap/>
            <w:vAlign w:val="bottom"/>
          </w:tcPr>
          <w:p w14:paraId="711A1B18"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18E6095"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1E1BE72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4.208***</w:t>
            </w:r>
          </w:p>
        </w:tc>
      </w:tr>
      <w:tr w:rsidR="0086707B" w:rsidRPr="00A2642E" w14:paraId="4CD4F495" w14:textId="77777777" w:rsidTr="00B148D5">
        <w:trPr>
          <w:trHeight w:val="300"/>
        </w:trPr>
        <w:tc>
          <w:tcPr>
            <w:tcW w:w="2850" w:type="dxa"/>
            <w:tcBorders>
              <w:top w:val="nil"/>
              <w:left w:val="nil"/>
              <w:bottom w:val="nil"/>
              <w:right w:val="nil"/>
            </w:tcBorders>
            <w:shd w:val="clear" w:color="auto" w:fill="auto"/>
            <w:noWrap/>
            <w:vAlign w:val="bottom"/>
          </w:tcPr>
          <w:p w14:paraId="51B9593A"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EA0F869"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066B508"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F3BA210"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3DC51575"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[7.73]   </w:t>
            </w:r>
          </w:p>
        </w:tc>
      </w:tr>
      <w:tr w:rsidR="0086707B" w:rsidRPr="00A2642E" w14:paraId="6517FD69" w14:textId="77777777" w:rsidTr="00B148D5">
        <w:trPr>
          <w:trHeight w:val="300"/>
        </w:trPr>
        <w:tc>
          <w:tcPr>
            <w:tcW w:w="2850" w:type="dxa"/>
            <w:tcBorders>
              <w:top w:val="nil"/>
              <w:left w:val="nil"/>
              <w:bottom w:val="nil"/>
              <w:right w:val="nil"/>
            </w:tcBorders>
            <w:shd w:val="clear" w:color="auto" w:fill="auto"/>
            <w:noWrap/>
            <w:vAlign w:val="bottom"/>
          </w:tcPr>
          <w:p w14:paraId="20B7D21F"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704A88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18C15460"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BCEB5D9"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542330E7"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69AD36D4" w14:textId="77777777" w:rsidTr="00B148D5">
        <w:trPr>
          <w:trHeight w:val="300"/>
        </w:trPr>
        <w:tc>
          <w:tcPr>
            <w:tcW w:w="2850" w:type="dxa"/>
            <w:tcBorders>
              <w:top w:val="nil"/>
              <w:left w:val="nil"/>
              <w:bottom w:val="nil"/>
              <w:right w:val="nil"/>
            </w:tcBorders>
            <w:shd w:val="clear" w:color="auto" w:fill="auto"/>
            <w:noWrap/>
            <w:vAlign w:val="bottom"/>
          </w:tcPr>
          <w:p w14:paraId="646189C5" w14:textId="77777777" w:rsidR="0086707B" w:rsidRPr="00A2642E" w:rsidRDefault="0086707B" w:rsidP="00B148D5">
            <w:pPr>
              <w:widowControl/>
              <w:ind w:firstLine="0"/>
              <w:rPr>
                <w:rFonts w:asciiTheme="majorHAnsi" w:hAnsiTheme="majorHAnsi"/>
                <w:color w:val="000000"/>
                <w:sz w:val="20"/>
                <w:szCs w:val="20"/>
                <w:lang w:eastAsia="en-AU"/>
              </w:rPr>
            </w:pPr>
            <w:r>
              <w:rPr>
                <w:rFonts w:asciiTheme="majorHAnsi" w:hAnsiTheme="majorHAnsi"/>
                <w:color w:val="000000"/>
                <w:sz w:val="20"/>
                <w:szCs w:val="20"/>
                <w:lang w:eastAsia="en-AU"/>
              </w:rPr>
              <w:t>GDPPC</w:t>
            </w:r>
          </w:p>
        </w:tc>
        <w:tc>
          <w:tcPr>
            <w:tcW w:w="1134" w:type="dxa"/>
            <w:tcBorders>
              <w:top w:val="nil"/>
              <w:left w:val="nil"/>
              <w:bottom w:val="nil"/>
              <w:right w:val="nil"/>
            </w:tcBorders>
            <w:shd w:val="clear" w:color="auto" w:fill="auto"/>
            <w:noWrap/>
            <w:vAlign w:val="bottom"/>
          </w:tcPr>
          <w:p w14:paraId="0CEF489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0.112***</w:t>
            </w:r>
          </w:p>
        </w:tc>
        <w:tc>
          <w:tcPr>
            <w:tcW w:w="1134" w:type="dxa"/>
            <w:tcBorders>
              <w:top w:val="nil"/>
              <w:left w:val="nil"/>
              <w:bottom w:val="nil"/>
              <w:right w:val="nil"/>
            </w:tcBorders>
            <w:shd w:val="clear" w:color="auto" w:fill="auto"/>
            <w:noWrap/>
            <w:vAlign w:val="bottom"/>
          </w:tcPr>
          <w:p w14:paraId="52C0DCFD"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0.118***</w:t>
            </w:r>
          </w:p>
        </w:tc>
        <w:tc>
          <w:tcPr>
            <w:tcW w:w="1134" w:type="dxa"/>
            <w:tcBorders>
              <w:top w:val="nil"/>
              <w:left w:val="nil"/>
              <w:bottom w:val="nil"/>
              <w:right w:val="nil"/>
            </w:tcBorders>
            <w:shd w:val="clear" w:color="auto" w:fill="auto"/>
            <w:noWrap/>
            <w:vAlign w:val="bottom"/>
          </w:tcPr>
          <w:p w14:paraId="4BEAB3B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0.054***</w:t>
            </w:r>
          </w:p>
        </w:tc>
        <w:tc>
          <w:tcPr>
            <w:tcW w:w="1276" w:type="dxa"/>
            <w:tcBorders>
              <w:top w:val="nil"/>
              <w:left w:val="nil"/>
              <w:bottom w:val="nil"/>
              <w:right w:val="nil"/>
            </w:tcBorders>
            <w:shd w:val="clear" w:color="auto" w:fill="auto"/>
            <w:noWrap/>
            <w:vAlign w:val="bottom"/>
          </w:tcPr>
          <w:p w14:paraId="05FD8392"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0.046***</w:t>
            </w:r>
          </w:p>
        </w:tc>
      </w:tr>
      <w:tr w:rsidR="0086707B" w:rsidRPr="00A2642E" w14:paraId="15E8DF76" w14:textId="77777777" w:rsidTr="00B148D5">
        <w:trPr>
          <w:trHeight w:val="300"/>
        </w:trPr>
        <w:tc>
          <w:tcPr>
            <w:tcW w:w="2850" w:type="dxa"/>
            <w:tcBorders>
              <w:top w:val="nil"/>
              <w:left w:val="nil"/>
              <w:bottom w:val="nil"/>
              <w:right w:val="nil"/>
            </w:tcBorders>
            <w:shd w:val="clear" w:color="auto" w:fill="auto"/>
            <w:noWrap/>
            <w:vAlign w:val="bottom"/>
          </w:tcPr>
          <w:p w14:paraId="351D4519"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EF0A101"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[7.32]</w:t>
            </w:r>
          </w:p>
        </w:tc>
        <w:tc>
          <w:tcPr>
            <w:tcW w:w="1134" w:type="dxa"/>
            <w:tcBorders>
              <w:top w:val="nil"/>
              <w:left w:val="nil"/>
              <w:bottom w:val="nil"/>
              <w:right w:val="nil"/>
            </w:tcBorders>
            <w:shd w:val="clear" w:color="auto" w:fill="auto"/>
            <w:noWrap/>
            <w:vAlign w:val="bottom"/>
          </w:tcPr>
          <w:p w14:paraId="305D83CC"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[8.46]</w:t>
            </w:r>
          </w:p>
        </w:tc>
        <w:tc>
          <w:tcPr>
            <w:tcW w:w="1134" w:type="dxa"/>
            <w:tcBorders>
              <w:top w:val="nil"/>
              <w:left w:val="nil"/>
              <w:bottom w:val="nil"/>
              <w:right w:val="nil"/>
            </w:tcBorders>
            <w:shd w:val="clear" w:color="auto" w:fill="auto"/>
            <w:noWrap/>
            <w:vAlign w:val="bottom"/>
          </w:tcPr>
          <w:p w14:paraId="0E95FA2F"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[7.21]</w:t>
            </w:r>
          </w:p>
        </w:tc>
        <w:tc>
          <w:tcPr>
            <w:tcW w:w="1276" w:type="dxa"/>
            <w:tcBorders>
              <w:top w:val="nil"/>
              <w:left w:val="nil"/>
              <w:bottom w:val="nil"/>
              <w:right w:val="nil"/>
            </w:tcBorders>
            <w:shd w:val="clear" w:color="auto" w:fill="auto"/>
            <w:noWrap/>
            <w:vAlign w:val="bottom"/>
          </w:tcPr>
          <w:p w14:paraId="2AABA515"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[5.74]   </w:t>
            </w:r>
          </w:p>
        </w:tc>
      </w:tr>
      <w:tr w:rsidR="0086707B" w:rsidRPr="00A2642E" w14:paraId="6C2C0ACA" w14:textId="77777777" w:rsidTr="00B148D5">
        <w:trPr>
          <w:trHeight w:val="300"/>
        </w:trPr>
        <w:tc>
          <w:tcPr>
            <w:tcW w:w="2850" w:type="dxa"/>
            <w:tcBorders>
              <w:top w:val="nil"/>
              <w:left w:val="nil"/>
              <w:bottom w:val="nil"/>
              <w:right w:val="nil"/>
            </w:tcBorders>
            <w:shd w:val="clear" w:color="auto" w:fill="auto"/>
            <w:noWrap/>
            <w:vAlign w:val="bottom"/>
          </w:tcPr>
          <w:p w14:paraId="21D17AA0"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Year-effect</w:t>
            </w:r>
          </w:p>
        </w:tc>
        <w:tc>
          <w:tcPr>
            <w:tcW w:w="1134" w:type="dxa"/>
            <w:tcBorders>
              <w:top w:val="nil"/>
              <w:left w:val="nil"/>
              <w:bottom w:val="nil"/>
              <w:right w:val="nil"/>
            </w:tcBorders>
            <w:shd w:val="clear" w:color="auto" w:fill="auto"/>
            <w:noWrap/>
            <w:vAlign w:val="bottom"/>
          </w:tcPr>
          <w:p w14:paraId="7C5A0DE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Yes</w:t>
            </w:r>
          </w:p>
        </w:tc>
        <w:tc>
          <w:tcPr>
            <w:tcW w:w="1134" w:type="dxa"/>
            <w:tcBorders>
              <w:top w:val="nil"/>
              <w:left w:val="nil"/>
              <w:bottom w:val="nil"/>
              <w:right w:val="nil"/>
            </w:tcBorders>
            <w:shd w:val="clear" w:color="auto" w:fill="auto"/>
            <w:noWrap/>
            <w:vAlign w:val="bottom"/>
          </w:tcPr>
          <w:p w14:paraId="25D48FE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Yes</w:t>
            </w:r>
          </w:p>
        </w:tc>
        <w:tc>
          <w:tcPr>
            <w:tcW w:w="1134" w:type="dxa"/>
            <w:tcBorders>
              <w:top w:val="nil"/>
              <w:left w:val="nil"/>
              <w:bottom w:val="nil"/>
              <w:right w:val="nil"/>
            </w:tcBorders>
            <w:shd w:val="clear" w:color="auto" w:fill="auto"/>
            <w:noWrap/>
            <w:vAlign w:val="bottom"/>
          </w:tcPr>
          <w:p w14:paraId="66A1EFFA"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Yes</w:t>
            </w:r>
          </w:p>
        </w:tc>
        <w:tc>
          <w:tcPr>
            <w:tcW w:w="1276" w:type="dxa"/>
            <w:tcBorders>
              <w:top w:val="nil"/>
              <w:left w:val="nil"/>
              <w:bottom w:val="nil"/>
              <w:right w:val="nil"/>
            </w:tcBorders>
            <w:shd w:val="clear" w:color="auto" w:fill="auto"/>
            <w:noWrap/>
            <w:vAlign w:val="bottom"/>
          </w:tcPr>
          <w:p w14:paraId="6D804034"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Yes</w:t>
            </w:r>
          </w:p>
        </w:tc>
      </w:tr>
      <w:tr w:rsidR="0086707B" w:rsidRPr="00A2642E" w14:paraId="4E9C12F3" w14:textId="77777777" w:rsidTr="00B148D5">
        <w:trPr>
          <w:trHeight w:val="300"/>
        </w:trPr>
        <w:tc>
          <w:tcPr>
            <w:tcW w:w="2850" w:type="dxa"/>
            <w:tcBorders>
              <w:top w:val="nil"/>
              <w:left w:val="nil"/>
              <w:bottom w:val="nil"/>
              <w:right w:val="nil"/>
            </w:tcBorders>
            <w:shd w:val="clear" w:color="auto" w:fill="auto"/>
            <w:noWrap/>
            <w:vAlign w:val="bottom"/>
          </w:tcPr>
          <w:p w14:paraId="70A6E9F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_cons</w:t>
            </w:r>
          </w:p>
        </w:tc>
        <w:tc>
          <w:tcPr>
            <w:tcW w:w="1134" w:type="dxa"/>
            <w:tcBorders>
              <w:top w:val="nil"/>
              <w:left w:val="nil"/>
              <w:bottom w:val="nil"/>
              <w:right w:val="nil"/>
            </w:tcBorders>
            <w:shd w:val="clear" w:color="auto" w:fill="auto"/>
            <w:noWrap/>
            <w:vAlign w:val="bottom"/>
          </w:tcPr>
          <w:p w14:paraId="4E6B331A"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0.525***</w:t>
            </w:r>
          </w:p>
        </w:tc>
        <w:tc>
          <w:tcPr>
            <w:tcW w:w="1134" w:type="dxa"/>
            <w:tcBorders>
              <w:top w:val="nil"/>
              <w:left w:val="nil"/>
              <w:bottom w:val="nil"/>
              <w:right w:val="nil"/>
            </w:tcBorders>
            <w:shd w:val="clear" w:color="auto" w:fill="auto"/>
            <w:noWrap/>
            <w:vAlign w:val="bottom"/>
          </w:tcPr>
          <w:p w14:paraId="01943C1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1.013***</w:t>
            </w:r>
          </w:p>
        </w:tc>
        <w:tc>
          <w:tcPr>
            <w:tcW w:w="1134" w:type="dxa"/>
            <w:tcBorders>
              <w:top w:val="nil"/>
              <w:left w:val="nil"/>
              <w:bottom w:val="nil"/>
              <w:right w:val="nil"/>
            </w:tcBorders>
            <w:shd w:val="clear" w:color="auto" w:fill="auto"/>
            <w:noWrap/>
            <w:vAlign w:val="bottom"/>
          </w:tcPr>
          <w:p w14:paraId="2ED241C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0.350***</w:t>
            </w:r>
          </w:p>
        </w:tc>
        <w:tc>
          <w:tcPr>
            <w:tcW w:w="1276" w:type="dxa"/>
            <w:tcBorders>
              <w:top w:val="nil"/>
              <w:left w:val="nil"/>
              <w:bottom w:val="nil"/>
              <w:right w:val="nil"/>
            </w:tcBorders>
            <w:shd w:val="clear" w:color="auto" w:fill="auto"/>
            <w:noWrap/>
            <w:vAlign w:val="bottom"/>
          </w:tcPr>
          <w:p w14:paraId="5332600F"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0.253***</w:t>
            </w:r>
          </w:p>
        </w:tc>
      </w:tr>
      <w:tr w:rsidR="0086707B" w:rsidRPr="00A2642E" w14:paraId="161C73EC" w14:textId="77777777" w:rsidTr="00B148D5">
        <w:trPr>
          <w:trHeight w:val="300"/>
        </w:trPr>
        <w:tc>
          <w:tcPr>
            <w:tcW w:w="2850" w:type="dxa"/>
            <w:tcBorders>
              <w:top w:val="nil"/>
              <w:left w:val="nil"/>
              <w:bottom w:val="nil"/>
              <w:right w:val="nil"/>
            </w:tcBorders>
            <w:shd w:val="clear" w:color="auto" w:fill="auto"/>
            <w:noWrap/>
            <w:vAlign w:val="bottom"/>
          </w:tcPr>
          <w:p w14:paraId="548FE139"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2EC02598"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[12.70]</w:t>
            </w:r>
          </w:p>
        </w:tc>
        <w:tc>
          <w:tcPr>
            <w:tcW w:w="1134" w:type="dxa"/>
            <w:tcBorders>
              <w:top w:val="nil"/>
              <w:left w:val="nil"/>
              <w:bottom w:val="nil"/>
              <w:right w:val="nil"/>
            </w:tcBorders>
            <w:shd w:val="clear" w:color="auto" w:fill="auto"/>
            <w:noWrap/>
            <w:vAlign w:val="bottom"/>
          </w:tcPr>
          <w:p w14:paraId="1C6F028D"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[12.23]</w:t>
            </w:r>
          </w:p>
        </w:tc>
        <w:tc>
          <w:tcPr>
            <w:tcW w:w="1134" w:type="dxa"/>
            <w:tcBorders>
              <w:top w:val="nil"/>
              <w:left w:val="nil"/>
              <w:bottom w:val="nil"/>
              <w:right w:val="nil"/>
            </w:tcBorders>
            <w:shd w:val="clear" w:color="auto" w:fill="auto"/>
            <w:noWrap/>
            <w:vAlign w:val="bottom"/>
          </w:tcPr>
          <w:p w14:paraId="69C195E4"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[14.28]</w:t>
            </w:r>
          </w:p>
        </w:tc>
        <w:tc>
          <w:tcPr>
            <w:tcW w:w="1276" w:type="dxa"/>
            <w:tcBorders>
              <w:top w:val="nil"/>
              <w:left w:val="nil"/>
              <w:bottom w:val="nil"/>
              <w:right w:val="nil"/>
            </w:tcBorders>
            <w:shd w:val="clear" w:color="auto" w:fill="auto"/>
            <w:noWrap/>
            <w:vAlign w:val="bottom"/>
          </w:tcPr>
          <w:p w14:paraId="42A02E4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 xml:space="preserve">[7.95]   </w:t>
            </w:r>
          </w:p>
        </w:tc>
      </w:tr>
      <w:tr w:rsidR="0086707B" w:rsidRPr="00A2642E" w14:paraId="2D3DC318" w14:textId="77777777" w:rsidTr="00B148D5">
        <w:trPr>
          <w:trHeight w:val="300"/>
        </w:trPr>
        <w:tc>
          <w:tcPr>
            <w:tcW w:w="2850" w:type="dxa"/>
            <w:tcBorders>
              <w:top w:val="nil"/>
              <w:left w:val="nil"/>
              <w:bottom w:val="nil"/>
              <w:right w:val="nil"/>
            </w:tcBorders>
            <w:shd w:val="clear" w:color="auto" w:fill="auto"/>
            <w:noWrap/>
            <w:vAlign w:val="bottom"/>
          </w:tcPr>
          <w:p w14:paraId="5C97F08F"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4BF49742"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015B9BBE" w14:textId="77777777" w:rsidR="0086707B" w:rsidRPr="00A2642E" w:rsidRDefault="0086707B" w:rsidP="00B148D5">
            <w:pPr>
              <w:widowControl/>
              <w:ind w:firstLine="0"/>
              <w:rPr>
                <w:rFonts w:asciiTheme="majorHAnsi" w:hAnsiTheme="majorHAnsi"/>
                <w:color w:val="000000"/>
                <w:sz w:val="20"/>
                <w:szCs w:val="20"/>
                <w:lang w:eastAsia="en-AU"/>
              </w:rPr>
            </w:pPr>
          </w:p>
        </w:tc>
        <w:tc>
          <w:tcPr>
            <w:tcW w:w="1134" w:type="dxa"/>
            <w:tcBorders>
              <w:top w:val="nil"/>
              <w:left w:val="nil"/>
              <w:bottom w:val="nil"/>
              <w:right w:val="nil"/>
            </w:tcBorders>
            <w:shd w:val="clear" w:color="auto" w:fill="auto"/>
            <w:noWrap/>
            <w:vAlign w:val="bottom"/>
          </w:tcPr>
          <w:p w14:paraId="3272768E" w14:textId="77777777" w:rsidR="0086707B" w:rsidRPr="00A2642E" w:rsidRDefault="0086707B" w:rsidP="00B148D5">
            <w:pPr>
              <w:widowControl/>
              <w:ind w:firstLine="0"/>
              <w:rPr>
                <w:rFonts w:asciiTheme="majorHAnsi" w:hAnsiTheme="majorHAnsi"/>
                <w:color w:val="000000"/>
                <w:sz w:val="20"/>
                <w:szCs w:val="20"/>
                <w:lang w:eastAsia="en-AU"/>
              </w:rPr>
            </w:pPr>
          </w:p>
        </w:tc>
        <w:tc>
          <w:tcPr>
            <w:tcW w:w="1276" w:type="dxa"/>
            <w:tcBorders>
              <w:top w:val="nil"/>
              <w:left w:val="nil"/>
              <w:bottom w:val="nil"/>
              <w:right w:val="nil"/>
            </w:tcBorders>
            <w:shd w:val="clear" w:color="auto" w:fill="auto"/>
            <w:noWrap/>
            <w:vAlign w:val="bottom"/>
          </w:tcPr>
          <w:p w14:paraId="6C3AF7B5" w14:textId="77777777" w:rsidR="0086707B" w:rsidRPr="00A2642E" w:rsidRDefault="0086707B" w:rsidP="00B148D5">
            <w:pPr>
              <w:widowControl/>
              <w:ind w:firstLine="0"/>
              <w:rPr>
                <w:rFonts w:asciiTheme="majorHAnsi" w:hAnsiTheme="majorHAnsi"/>
                <w:color w:val="000000"/>
                <w:sz w:val="20"/>
                <w:szCs w:val="20"/>
                <w:lang w:eastAsia="en-AU"/>
              </w:rPr>
            </w:pPr>
          </w:p>
        </w:tc>
      </w:tr>
      <w:tr w:rsidR="0086707B" w:rsidRPr="00A2642E" w14:paraId="0F9C373B" w14:textId="77777777" w:rsidTr="00B148D5">
        <w:trPr>
          <w:trHeight w:val="300"/>
        </w:trPr>
        <w:tc>
          <w:tcPr>
            <w:tcW w:w="2850" w:type="dxa"/>
            <w:tcBorders>
              <w:top w:val="nil"/>
              <w:left w:val="nil"/>
              <w:right w:val="nil"/>
            </w:tcBorders>
            <w:shd w:val="clear" w:color="auto" w:fill="auto"/>
            <w:noWrap/>
            <w:vAlign w:val="bottom"/>
          </w:tcPr>
          <w:p w14:paraId="357233F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N</w:t>
            </w:r>
          </w:p>
        </w:tc>
        <w:tc>
          <w:tcPr>
            <w:tcW w:w="1134" w:type="dxa"/>
            <w:tcBorders>
              <w:top w:val="nil"/>
              <w:left w:val="nil"/>
              <w:right w:val="nil"/>
            </w:tcBorders>
            <w:shd w:val="clear" w:color="auto" w:fill="auto"/>
            <w:noWrap/>
            <w:vAlign w:val="bottom"/>
          </w:tcPr>
          <w:p w14:paraId="7940E9DD"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656</w:t>
            </w:r>
          </w:p>
        </w:tc>
        <w:tc>
          <w:tcPr>
            <w:tcW w:w="1134" w:type="dxa"/>
            <w:tcBorders>
              <w:top w:val="nil"/>
              <w:left w:val="nil"/>
              <w:right w:val="nil"/>
            </w:tcBorders>
            <w:shd w:val="clear" w:color="auto" w:fill="auto"/>
            <w:noWrap/>
            <w:vAlign w:val="bottom"/>
          </w:tcPr>
          <w:p w14:paraId="4A58C0A4"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656</w:t>
            </w:r>
          </w:p>
        </w:tc>
        <w:tc>
          <w:tcPr>
            <w:tcW w:w="1134" w:type="dxa"/>
            <w:tcBorders>
              <w:top w:val="nil"/>
              <w:left w:val="nil"/>
              <w:right w:val="nil"/>
            </w:tcBorders>
            <w:shd w:val="clear" w:color="auto" w:fill="auto"/>
            <w:noWrap/>
            <w:vAlign w:val="bottom"/>
          </w:tcPr>
          <w:p w14:paraId="49E32912"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138</w:t>
            </w:r>
          </w:p>
        </w:tc>
        <w:tc>
          <w:tcPr>
            <w:tcW w:w="1276" w:type="dxa"/>
            <w:tcBorders>
              <w:top w:val="nil"/>
              <w:left w:val="nil"/>
              <w:right w:val="nil"/>
            </w:tcBorders>
            <w:shd w:val="clear" w:color="auto" w:fill="auto"/>
            <w:noWrap/>
            <w:vAlign w:val="bottom"/>
          </w:tcPr>
          <w:p w14:paraId="2AAB7B0C"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138</w:t>
            </w:r>
          </w:p>
        </w:tc>
      </w:tr>
      <w:tr w:rsidR="0086707B" w:rsidRPr="00A2642E" w14:paraId="51AFDCB8" w14:textId="77777777" w:rsidTr="00B148D5">
        <w:trPr>
          <w:trHeight w:val="300"/>
        </w:trPr>
        <w:tc>
          <w:tcPr>
            <w:tcW w:w="2850" w:type="dxa"/>
            <w:tcBorders>
              <w:top w:val="nil"/>
              <w:left w:val="nil"/>
              <w:bottom w:val="single" w:sz="4" w:space="0" w:color="auto"/>
              <w:right w:val="nil"/>
            </w:tcBorders>
            <w:shd w:val="clear" w:color="auto" w:fill="auto"/>
            <w:noWrap/>
            <w:vAlign w:val="bottom"/>
          </w:tcPr>
          <w:p w14:paraId="76FF8AED"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sz w:val="20"/>
                <w:szCs w:val="20"/>
              </w:rPr>
              <w:t>Adjusted R</w:t>
            </w:r>
            <w:r w:rsidRPr="00A2642E">
              <w:rPr>
                <w:rFonts w:asciiTheme="majorHAnsi" w:hAnsiTheme="majorHAnsi"/>
                <w:sz w:val="20"/>
                <w:szCs w:val="20"/>
                <w:vertAlign w:val="superscript"/>
              </w:rPr>
              <w:t>2</w:t>
            </w:r>
          </w:p>
        </w:tc>
        <w:tc>
          <w:tcPr>
            <w:tcW w:w="1134" w:type="dxa"/>
            <w:tcBorders>
              <w:top w:val="nil"/>
              <w:left w:val="nil"/>
              <w:bottom w:val="single" w:sz="4" w:space="0" w:color="auto"/>
              <w:right w:val="nil"/>
            </w:tcBorders>
            <w:shd w:val="clear" w:color="auto" w:fill="auto"/>
            <w:noWrap/>
            <w:vAlign w:val="bottom"/>
          </w:tcPr>
          <w:p w14:paraId="4481A4A7"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0.548</w:t>
            </w:r>
          </w:p>
        </w:tc>
        <w:tc>
          <w:tcPr>
            <w:tcW w:w="1134" w:type="dxa"/>
            <w:tcBorders>
              <w:top w:val="nil"/>
              <w:left w:val="nil"/>
              <w:bottom w:val="single" w:sz="4" w:space="0" w:color="auto"/>
              <w:right w:val="nil"/>
            </w:tcBorders>
            <w:shd w:val="clear" w:color="auto" w:fill="auto"/>
            <w:noWrap/>
            <w:vAlign w:val="bottom"/>
          </w:tcPr>
          <w:p w14:paraId="3C966C91"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0.55</w:t>
            </w:r>
          </w:p>
        </w:tc>
        <w:tc>
          <w:tcPr>
            <w:tcW w:w="1134" w:type="dxa"/>
            <w:tcBorders>
              <w:top w:val="nil"/>
              <w:left w:val="nil"/>
              <w:bottom w:val="single" w:sz="4" w:space="0" w:color="auto"/>
              <w:right w:val="nil"/>
            </w:tcBorders>
            <w:shd w:val="clear" w:color="auto" w:fill="auto"/>
            <w:noWrap/>
            <w:vAlign w:val="bottom"/>
          </w:tcPr>
          <w:p w14:paraId="71CFBE9B"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0.19</w:t>
            </w:r>
          </w:p>
        </w:tc>
        <w:tc>
          <w:tcPr>
            <w:tcW w:w="1276" w:type="dxa"/>
            <w:tcBorders>
              <w:top w:val="nil"/>
              <w:left w:val="nil"/>
              <w:bottom w:val="single" w:sz="4" w:space="0" w:color="auto"/>
              <w:right w:val="nil"/>
            </w:tcBorders>
            <w:shd w:val="clear" w:color="auto" w:fill="auto"/>
            <w:noWrap/>
            <w:vAlign w:val="bottom"/>
          </w:tcPr>
          <w:p w14:paraId="49D02889" w14:textId="77777777" w:rsidR="0086707B" w:rsidRPr="00A2642E" w:rsidRDefault="0086707B" w:rsidP="00B148D5">
            <w:pPr>
              <w:widowControl/>
              <w:ind w:firstLine="0"/>
              <w:rPr>
                <w:rFonts w:asciiTheme="majorHAnsi" w:hAnsiTheme="majorHAnsi"/>
                <w:color w:val="000000"/>
                <w:sz w:val="20"/>
                <w:szCs w:val="20"/>
                <w:lang w:eastAsia="en-AU"/>
              </w:rPr>
            </w:pPr>
            <w:r w:rsidRPr="00A2642E">
              <w:rPr>
                <w:rFonts w:asciiTheme="majorHAnsi" w:hAnsiTheme="majorHAnsi"/>
                <w:color w:val="000000"/>
                <w:sz w:val="20"/>
                <w:szCs w:val="20"/>
                <w:lang w:eastAsia="en-AU"/>
              </w:rPr>
              <w:t>0.616</w:t>
            </w:r>
          </w:p>
        </w:tc>
      </w:tr>
    </w:tbl>
    <w:p w14:paraId="62B36D96" w14:textId="77777777" w:rsidR="0086707B" w:rsidRDefault="0086707B" w:rsidP="0086707B">
      <w:pPr>
        <w:ind w:firstLine="0"/>
        <w:jc w:val="both"/>
        <w:rPr>
          <w:sz w:val="20"/>
          <w:szCs w:val="20"/>
        </w:rPr>
      </w:pPr>
      <w:r w:rsidRPr="00A25889">
        <w:rPr>
          <w:sz w:val="20"/>
          <w:szCs w:val="20"/>
        </w:rPr>
        <w:t>*, **, *** refers to 10, 5 and 1 per</w:t>
      </w:r>
      <w:r>
        <w:rPr>
          <w:sz w:val="20"/>
          <w:szCs w:val="20"/>
        </w:rPr>
        <w:t xml:space="preserve"> </w:t>
      </w:r>
      <w:r w:rsidRPr="00A25889">
        <w:rPr>
          <w:sz w:val="20"/>
          <w:szCs w:val="20"/>
        </w:rPr>
        <w:t>cent significance level</w:t>
      </w:r>
      <w:r w:rsidRPr="009D3C21">
        <w:rPr>
          <w:sz w:val="20"/>
          <w:szCs w:val="20"/>
        </w:rPr>
        <w:t xml:space="preserve"> respectively.  Figures in parentheses are het</w:t>
      </w:r>
      <w:r>
        <w:rPr>
          <w:sz w:val="20"/>
          <w:szCs w:val="20"/>
        </w:rPr>
        <w:t>e</w:t>
      </w:r>
      <w:r w:rsidRPr="009D3C21">
        <w:rPr>
          <w:sz w:val="20"/>
          <w:szCs w:val="20"/>
        </w:rPr>
        <w:t>rosceda</w:t>
      </w:r>
      <w:r>
        <w:rPr>
          <w:sz w:val="20"/>
          <w:szCs w:val="20"/>
        </w:rPr>
        <w:t>sticity</w:t>
      </w:r>
      <w:r w:rsidRPr="009D3C21">
        <w:rPr>
          <w:sz w:val="20"/>
          <w:szCs w:val="20"/>
        </w:rPr>
        <w:t xml:space="preserve">-robust t-values. </w:t>
      </w:r>
    </w:p>
    <w:p w14:paraId="187FFF2B" w14:textId="77777777" w:rsidR="0086707B" w:rsidRDefault="0086707B" w:rsidP="0086707B">
      <w:pPr>
        <w:ind w:firstLine="0"/>
        <w:jc w:val="both"/>
        <w:rPr>
          <w:sz w:val="20"/>
          <w:szCs w:val="20"/>
        </w:rPr>
      </w:pPr>
    </w:p>
    <w:p w14:paraId="016CC8C6" w14:textId="77777777" w:rsidR="0086707B" w:rsidRDefault="0086707B" w:rsidP="0086707B">
      <w:pPr>
        <w:ind w:firstLine="0"/>
        <w:jc w:val="both"/>
        <w:rPr>
          <w:sz w:val="20"/>
          <w:szCs w:val="20"/>
        </w:rPr>
      </w:pPr>
    </w:p>
    <w:p w14:paraId="455F1797" w14:textId="77777777" w:rsidR="0086707B" w:rsidRPr="009D3C21" w:rsidRDefault="0086707B" w:rsidP="0086707B">
      <w:pPr>
        <w:ind w:firstLine="0"/>
        <w:jc w:val="both"/>
        <w:rPr>
          <w:sz w:val="20"/>
          <w:szCs w:val="20"/>
        </w:rPr>
      </w:pPr>
    </w:p>
    <w:p w14:paraId="6C18D684" w14:textId="77777777" w:rsidR="0086707B" w:rsidRDefault="0086707B" w:rsidP="0086707B">
      <w:pPr>
        <w:widowControl/>
        <w:ind w:firstLine="0"/>
        <w:rPr>
          <w:b/>
        </w:rPr>
      </w:pPr>
      <w:r>
        <w:rPr>
          <w:b/>
        </w:rPr>
        <w:br w:type="page"/>
      </w:r>
    </w:p>
    <w:p w14:paraId="0FEA8961" w14:textId="77777777" w:rsidR="0086707B" w:rsidRDefault="0086707B" w:rsidP="0086707B">
      <w:pPr>
        <w:ind w:firstLine="0"/>
        <w:jc w:val="both"/>
        <w:rPr>
          <w:b/>
        </w:rPr>
      </w:pPr>
      <w:r>
        <w:rPr>
          <w:b/>
        </w:rPr>
        <w:lastRenderedPageBreak/>
        <w:t>Table 6: Pooled Estimation of Effect of the International Environmental Agreements on CO</w:t>
      </w:r>
      <w:r w:rsidRPr="00EC5AF8">
        <w:rPr>
          <w:b/>
          <w:vertAlign w:val="subscript"/>
        </w:rPr>
        <w:t>2</w:t>
      </w:r>
      <w:r>
        <w:rPr>
          <w:b/>
        </w:rPr>
        <w:t xml:space="preserve"> Emissions</w:t>
      </w:r>
    </w:p>
    <w:p w14:paraId="33A518CB" w14:textId="77777777" w:rsidR="0086707B" w:rsidRDefault="0086707B" w:rsidP="0086707B">
      <w:pPr>
        <w:jc w:val="both"/>
        <w:rPr>
          <w:b/>
        </w:rPr>
      </w:pPr>
    </w:p>
    <w:tbl>
      <w:tblPr>
        <w:tblW w:w="9226" w:type="dxa"/>
        <w:tblInd w:w="96" w:type="dxa"/>
        <w:tblLayout w:type="fixed"/>
        <w:tblLook w:val="04A0" w:firstRow="1" w:lastRow="0" w:firstColumn="1" w:lastColumn="0" w:noHBand="0" w:noVBand="1"/>
      </w:tblPr>
      <w:tblGrid>
        <w:gridCol w:w="2564"/>
        <w:gridCol w:w="1417"/>
        <w:gridCol w:w="1417"/>
        <w:gridCol w:w="1276"/>
        <w:gridCol w:w="1276"/>
        <w:gridCol w:w="1276"/>
      </w:tblGrid>
      <w:tr w:rsidR="0086707B" w:rsidRPr="00505C9D" w14:paraId="7B5CD6BB" w14:textId="77777777" w:rsidTr="00B148D5">
        <w:trPr>
          <w:trHeight w:val="300"/>
        </w:trPr>
        <w:tc>
          <w:tcPr>
            <w:tcW w:w="2564" w:type="dxa"/>
            <w:tcBorders>
              <w:top w:val="single" w:sz="4" w:space="0" w:color="auto"/>
              <w:left w:val="nil"/>
              <w:bottom w:val="nil"/>
              <w:right w:val="nil"/>
            </w:tcBorders>
            <w:shd w:val="clear" w:color="auto" w:fill="auto"/>
            <w:noWrap/>
            <w:vAlign w:val="bottom"/>
          </w:tcPr>
          <w:p w14:paraId="5FB4F351" w14:textId="77777777" w:rsidR="0086707B" w:rsidRPr="00505C9D" w:rsidRDefault="0086707B" w:rsidP="00B148D5">
            <w:pPr>
              <w:pStyle w:val="Tables11pt"/>
              <w:rPr>
                <w:sz w:val="20"/>
                <w:szCs w:val="20"/>
              </w:rPr>
            </w:pPr>
          </w:p>
        </w:tc>
        <w:tc>
          <w:tcPr>
            <w:tcW w:w="1417" w:type="dxa"/>
            <w:tcBorders>
              <w:top w:val="single" w:sz="4" w:space="0" w:color="auto"/>
              <w:left w:val="nil"/>
              <w:bottom w:val="nil"/>
              <w:right w:val="nil"/>
            </w:tcBorders>
            <w:shd w:val="clear" w:color="auto" w:fill="auto"/>
            <w:noWrap/>
            <w:vAlign w:val="bottom"/>
          </w:tcPr>
          <w:p w14:paraId="3BE766E2" w14:textId="77777777" w:rsidR="0086707B" w:rsidRPr="00505C9D" w:rsidRDefault="0086707B" w:rsidP="00B148D5">
            <w:pPr>
              <w:pStyle w:val="Tables11pt"/>
              <w:rPr>
                <w:sz w:val="20"/>
                <w:szCs w:val="20"/>
              </w:rPr>
            </w:pPr>
            <w:r w:rsidRPr="00505C9D">
              <w:rPr>
                <w:sz w:val="20"/>
                <w:szCs w:val="20"/>
              </w:rPr>
              <w:t>(1)</w:t>
            </w:r>
          </w:p>
        </w:tc>
        <w:tc>
          <w:tcPr>
            <w:tcW w:w="1417" w:type="dxa"/>
            <w:tcBorders>
              <w:top w:val="single" w:sz="4" w:space="0" w:color="auto"/>
              <w:left w:val="nil"/>
              <w:bottom w:val="nil"/>
              <w:right w:val="nil"/>
            </w:tcBorders>
            <w:shd w:val="clear" w:color="auto" w:fill="auto"/>
            <w:noWrap/>
            <w:vAlign w:val="bottom"/>
          </w:tcPr>
          <w:p w14:paraId="3762BAA1" w14:textId="77777777" w:rsidR="0086707B" w:rsidRPr="00505C9D" w:rsidRDefault="0086707B" w:rsidP="00B148D5">
            <w:pPr>
              <w:pStyle w:val="Tables11pt"/>
              <w:rPr>
                <w:sz w:val="20"/>
                <w:szCs w:val="20"/>
              </w:rPr>
            </w:pPr>
            <w:r w:rsidRPr="00505C9D">
              <w:rPr>
                <w:sz w:val="20"/>
                <w:szCs w:val="20"/>
              </w:rPr>
              <w:t>(3)</w:t>
            </w:r>
          </w:p>
        </w:tc>
        <w:tc>
          <w:tcPr>
            <w:tcW w:w="1276" w:type="dxa"/>
            <w:tcBorders>
              <w:top w:val="single" w:sz="4" w:space="0" w:color="auto"/>
              <w:left w:val="nil"/>
              <w:bottom w:val="nil"/>
              <w:right w:val="nil"/>
            </w:tcBorders>
            <w:vAlign w:val="bottom"/>
          </w:tcPr>
          <w:p w14:paraId="619E73C0" w14:textId="77777777" w:rsidR="0086707B" w:rsidRPr="00505C9D" w:rsidRDefault="0086707B" w:rsidP="00B148D5">
            <w:pPr>
              <w:pStyle w:val="Tables11pt"/>
              <w:rPr>
                <w:sz w:val="20"/>
                <w:szCs w:val="20"/>
              </w:rPr>
            </w:pPr>
            <w:r w:rsidRPr="00505C9D">
              <w:rPr>
                <w:sz w:val="20"/>
                <w:szCs w:val="20"/>
              </w:rPr>
              <w:t>(2)</w:t>
            </w:r>
          </w:p>
        </w:tc>
        <w:tc>
          <w:tcPr>
            <w:tcW w:w="1276" w:type="dxa"/>
            <w:tcBorders>
              <w:top w:val="single" w:sz="4" w:space="0" w:color="auto"/>
              <w:left w:val="nil"/>
              <w:bottom w:val="nil"/>
              <w:right w:val="nil"/>
            </w:tcBorders>
          </w:tcPr>
          <w:p w14:paraId="16CB6E9C" w14:textId="77777777" w:rsidR="0086707B" w:rsidRPr="00505C9D" w:rsidRDefault="0086707B" w:rsidP="00B148D5">
            <w:pPr>
              <w:pStyle w:val="Tables11pt"/>
              <w:rPr>
                <w:sz w:val="20"/>
                <w:szCs w:val="20"/>
              </w:rPr>
            </w:pPr>
          </w:p>
        </w:tc>
        <w:tc>
          <w:tcPr>
            <w:tcW w:w="1276" w:type="dxa"/>
            <w:tcBorders>
              <w:top w:val="single" w:sz="4" w:space="0" w:color="auto"/>
              <w:left w:val="nil"/>
              <w:bottom w:val="nil"/>
              <w:right w:val="nil"/>
            </w:tcBorders>
            <w:shd w:val="clear" w:color="auto" w:fill="auto"/>
            <w:noWrap/>
            <w:vAlign w:val="bottom"/>
          </w:tcPr>
          <w:p w14:paraId="155F12B1" w14:textId="77777777" w:rsidR="0086707B" w:rsidRPr="00505C9D" w:rsidRDefault="0086707B" w:rsidP="00B148D5">
            <w:pPr>
              <w:pStyle w:val="Tables11pt"/>
              <w:rPr>
                <w:sz w:val="20"/>
                <w:szCs w:val="20"/>
              </w:rPr>
            </w:pPr>
            <w:r w:rsidRPr="00505C9D">
              <w:rPr>
                <w:sz w:val="20"/>
                <w:szCs w:val="20"/>
              </w:rPr>
              <w:t>(4)</w:t>
            </w:r>
          </w:p>
        </w:tc>
      </w:tr>
      <w:tr w:rsidR="0086707B" w:rsidRPr="00505C9D" w14:paraId="525ACE2E" w14:textId="77777777" w:rsidTr="00B148D5">
        <w:trPr>
          <w:trHeight w:val="300"/>
        </w:trPr>
        <w:tc>
          <w:tcPr>
            <w:tcW w:w="2564" w:type="dxa"/>
            <w:tcBorders>
              <w:top w:val="nil"/>
              <w:left w:val="nil"/>
              <w:bottom w:val="single" w:sz="4" w:space="0" w:color="auto"/>
              <w:right w:val="nil"/>
            </w:tcBorders>
            <w:shd w:val="clear" w:color="auto" w:fill="auto"/>
            <w:noWrap/>
            <w:vAlign w:val="bottom"/>
          </w:tcPr>
          <w:p w14:paraId="33A6BA3F" w14:textId="77777777" w:rsidR="0086707B" w:rsidRPr="00505C9D" w:rsidRDefault="0086707B" w:rsidP="00B148D5">
            <w:pPr>
              <w:pStyle w:val="Tables11pt"/>
              <w:rPr>
                <w:sz w:val="20"/>
                <w:szCs w:val="20"/>
              </w:rPr>
            </w:pPr>
          </w:p>
        </w:tc>
        <w:tc>
          <w:tcPr>
            <w:tcW w:w="1417" w:type="dxa"/>
            <w:tcBorders>
              <w:top w:val="nil"/>
              <w:left w:val="nil"/>
              <w:bottom w:val="single" w:sz="4" w:space="0" w:color="auto"/>
              <w:right w:val="nil"/>
            </w:tcBorders>
            <w:shd w:val="clear" w:color="auto" w:fill="auto"/>
            <w:noWrap/>
            <w:vAlign w:val="bottom"/>
          </w:tcPr>
          <w:p w14:paraId="1E43D589" w14:textId="77777777" w:rsidR="0086707B" w:rsidRPr="00505C9D" w:rsidRDefault="0086707B" w:rsidP="00B148D5">
            <w:pPr>
              <w:pStyle w:val="Tables11pt"/>
              <w:rPr>
                <w:sz w:val="20"/>
                <w:szCs w:val="20"/>
              </w:rPr>
            </w:pPr>
            <w:r w:rsidRPr="00505C9D">
              <w:rPr>
                <w:sz w:val="20"/>
                <w:szCs w:val="20"/>
              </w:rPr>
              <w:t>CO</w:t>
            </w:r>
            <w:r w:rsidRPr="00505C9D">
              <w:rPr>
                <w:sz w:val="20"/>
                <w:szCs w:val="20"/>
                <w:vertAlign w:val="subscript"/>
              </w:rPr>
              <w:t>2</w:t>
            </w:r>
          </w:p>
        </w:tc>
        <w:tc>
          <w:tcPr>
            <w:tcW w:w="1417" w:type="dxa"/>
            <w:tcBorders>
              <w:top w:val="nil"/>
              <w:left w:val="nil"/>
              <w:bottom w:val="single" w:sz="4" w:space="0" w:color="auto"/>
              <w:right w:val="nil"/>
            </w:tcBorders>
            <w:shd w:val="clear" w:color="auto" w:fill="auto"/>
            <w:noWrap/>
            <w:vAlign w:val="bottom"/>
          </w:tcPr>
          <w:p w14:paraId="2B63A9A9" w14:textId="77777777" w:rsidR="0086707B" w:rsidRPr="00505C9D" w:rsidRDefault="0086707B" w:rsidP="00B148D5">
            <w:pPr>
              <w:pStyle w:val="Tables11pt"/>
              <w:rPr>
                <w:sz w:val="20"/>
                <w:szCs w:val="20"/>
              </w:rPr>
            </w:pPr>
            <w:r w:rsidRPr="00505C9D">
              <w:rPr>
                <w:sz w:val="20"/>
                <w:szCs w:val="20"/>
              </w:rPr>
              <w:t>CO</w:t>
            </w:r>
            <w:r w:rsidRPr="00505C9D">
              <w:rPr>
                <w:sz w:val="20"/>
                <w:szCs w:val="20"/>
                <w:vertAlign w:val="subscript"/>
              </w:rPr>
              <w:t>2</w:t>
            </w:r>
          </w:p>
        </w:tc>
        <w:tc>
          <w:tcPr>
            <w:tcW w:w="1276" w:type="dxa"/>
            <w:tcBorders>
              <w:top w:val="nil"/>
              <w:left w:val="nil"/>
              <w:bottom w:val="single" w:sz="4" w:space="0" w:color="auto"/>
              <w:right w:val="nil"/>
            </w:tcBorders>
            <w:vAlign w:val="bottom"/>
          </w:tcPr>
          <w:p w14:paraId="29707769" w14:textId="77777777" w:rsidR="0086707B" w:rsidRPr="00505C9D" w:rsidRDefault="0086707B" w:rsidP="00B148D5">
            <w:pPr>
              <w:pStyle w:val="Tables11pt"/>
              <w:rPr>
                <w:sz w:val="20"/>
                <w:szCs w:val="20"/>
              </w:rPr>
            </w:pPr>
            <w:r w:rsidRPr="00505C9D">
              <w:rPr>
                <w:sz w:val="20"/>
                <w:szCs w:val="20"/>
              </w:rPr>
              <w:t>CO</w:t>
            </w:r>
            <w:r w:rsidRPr="00505C9D">
              <w:rPr>
                <w:sz w:val="20"/>
                <w:szCs w:val="20"/>
                <w:vertAlign w:val="subscript"/>
              </w:rPr>
              <w:t>2</w:t>
            </w:r>
          </w:p>
        </w:tc>
        <w:tc>
          <w:tcPr>
            <w:tcW w:w="1276" w:type="dxa"/>
            <w:tcBorders>
              <w:top w:val="nil"/>
              <w:left w:val="nil"/>
              <w:bottom w:val="single" w:sz="4" w:space="0" w:color="auto"/>
              <w:right w:val="nil"/>
            </w:tcBorders>
          </w:tcPr>
          <w:p w14:paraId="5AA1C7C4" w14:textId="77777777" w:rsidR="0086707B" w:rsidRPr="00505C9D" w:rsidRDefault="0086707B" w:rsidP="00B148D5">
            <w:pPr>
              <w:pStyle w:val="Tables11pt"/>
              <w:rPr>
                <w:sz w:val="20"/>
                <w:szCs w:val="20"/>
              </w:rPr>
            </w:pPr>
          </w:p>
        </w:tc>
        <w:tc>
          <w:tcPr>
            <w:tcW w:w="1276" w:type="dxa"/>
            <w:tcBorders>
              <w:top w:val="nil"/>
              <w:left w:val="nil"/>
              <w:bottom w:val="single" w:sz="4" w:space="0" w:color="auto"/>
              <w:right w:val="nil"/>
            </w:tcBorders>
            <w:shd w:val="clear" w:color="auto" w:fill="auto"/>
            <w:noWrap/>
            <w:vAlign w:val="bottom"/>
          </w:tcPr>
          <w:p w14:paraId="0B799521" w14:textId="77777777" w:rsidR="0086707B" w:rsidRPr="00505C9D" w:rsidRDefault="0086707B" w:rsidP="00B148D5">
            <w:pPr>
              <w:pStyle w:val="Tables11pt"/>
              <w:rPr>
                <w:sz w:val="20"/>
                <w:szCs w:val="20"/>
              </w:rPr>
            </w:pPr>
            <w:r w:rsidRPr="00505C9D">
              <w:rPr>
                <w:sz w:val="20"/>
                <w:szCs w:val="20"/>
              </w:rPr>
              <w:t>CO</w:t>
            </w:r>
            <w:r w:rsidRPr="00505C9D">
              <w:rPr>
                <w:sz w:val="20"/>
                <w:szCs w:val="20"/>
                <w:vertAlign w:val="subscript"/>
              </w:rPr>
              <w:t>2</w:t>
            </w:r>
          </w:p>
        </w:tc>
      </w:tr>
      <w:tr w:rsidR="0086707B" w:rsidRPr="00505C9D" w14:paraId="150BB046" w14:textId="77777777" w:rsidTr="00B148D5">
        <w:trPr>
          <w:trHeight w:val="300"/>
        </w:trPr>
        <w:tc>
          <w:tcPr>
            <w:tcW w:w="2564" w:type="dxa"/>
            <w:tcBorders>
              <w:top w:val="nil"/>
              <w:left w:val="nil"/>
              <w:bottom w:val="nil"/>
              <w:right w:val="nil"/>
            </w:tcBorders>
            <w:shd w:val="clear" w:color="auto" w:fill="auto"/>
            <w:noWrap/>
            <w:vAlign w:val="bottom"/>
          </w:tcPr>
          <w:p w14:paraId="00A4A796" w14:textId="77777777" w:rsidR="0086707B" w:rsidRPr="00505C9D" w:rsidRDefault="0086707B" w:rsidP="00B148D5">
            <w:pPr>
              <w:pStyle w:val="Tables11pt"/>
              <w:rPr>
                <w:sz w:val="20"/>
                <w:szCs w:val="20"/>
              </w:rPr>
            </w:pPr>
            <w:r w:rsidRPr="00505C9D">
              <w:rPr>
                <w:sz w:val="20"/>
                <w:szCs w:val="20"/>
              </w:rPr>
              <w:t xml:space="preserve">Legal Origin </w:t>
            </w:r>
          </w:p>
        </w:tc>
        <w:tc>
          <w:tcPr>
            <w:tcW w:w="1417" w:type="dxa"/>
            <w:tcBorders>
              <w:top w:val="nil"/>
              <w:left w:val="nil"/>
              <w:bottom w:val="nil"/>
              <w:right w:val="nil"/>
            </w:tcBorders>
            <w:shd w:val="clear" w:color="auto" w:fill="auto"/>
            <w:noWrap/>
            <w:vAlign w:val="bottom"/>
          </w:tcPr>
          <w:p w14:paraId="47BDD60C" w14:textId="77777777" w:rsidR="0086707B" w:rsidRPr="00505C9D" w:rsidRDefault="0086707B" w:rsidP="00B148D5">
            <w:pPr>
              <w:pStyle w:val="Tables11pt"/>
              <w:rPr>
                <w:sz w:val="20"/>
                <w:szCs w:val="20"/>
              </w:rPr>
            </w:pPr>
            <w:r>
              <w:rPr>
                <w:sz w:val="20"/>
                <w:szCs w:val="20"/>
              </w:rPr>
              <w:t>0.693</w:t>
            </w:r>
            <w:r w:rsidRPr="00505C9D">
              <w:rPr>
                <w:sz w:val="20"/>
                <w:szCs w:val="20"/>
              </w:rPr>
              <w:t>***</w:t>
            </w:r>
          </w:p>
        </w:tc>
        <w:tc>
          <w:tcPr>
            <w:tcW w:w="1417" w:type="dxa"/>
            <w:tcBorders>
              <w:top w:val="nil"/>
              <w:left w:val="nil"/>
              <w:bottom w:val="nil"/>
              <w:right w:val="nil"/>
            </w:tcBorders>
            <w:shd w:val="clear" w:color="auto" w:fill="auto"/>
            <w:noWrap/>
            <w:vAlign w:val="bottom"/>
          </w:tcPr>
          <w:p w14:paraId="58C958CF" w14:textId="77777777" w:rsidR="0086707B" w:rsidRPr="00505C9D" w:rsidRDefault="0086707B" w:rsidP="00B148D5">
            <w:pPr>
              <w:pStyle w:val="Tables11pt"/>
              <w:rPr>
                <w:sz w:val="20"/>
                <w:szCs w:val="20"/>
              </w:rPr>
            </w:pPr>
            <w:r>
              <w:rPr>
                <w:sz w:val="20"/>
                <w:szCs w:val="20"/>
              </w:rPr>
              <w:t>0.503</w:t>
            </w:r>
            <w:r w:rsidRPr="00505C9D">
              <w:rPr>
                <w:sz w:val="20"/>
                <w:szCs w:val="20"/>
              </w:rPr>
              <w:t>***</w:t>
            </w:r>
          </w:p>
        </w:tc>
        <w:tc>
          <w:tcPr>
            <w:tcW w:w="1276" w:type="dxa"/>
            <w:tcBorders>
              <w:top w:val="nil"/>
              <w:left w:val="nil"/>
              <w:bottom w:val="nil"/>
              <w:right w:val="nil"/>
            </w:tcBorders>
            <w:vAlign w:val="bottom"/>
          </w:tcPr>
          <w:p w14:paraId="3F60E952" w14:textId="77777777" w:rsidR="0086707B" w:rsidRDefault="0086707B" w:rsidP="00B148D5">
            <w:pPr>
              <w:pStyle w:val="Tables11pt"/>
              <w:rPr>
                <w:sz w:val="20"/>
                <w:szCs w:val="20"/>
              </w:rPr>
            </w:pPr>
            <w:r>
              <w:rPr>
                <w:sz w:val="20"/>
                <w:szCs w:val="20"/>
              </w:rPr>
              <w:t>0.257**</w:t>
            </w:r>
          </w:p>
        </w:tc>
        <w:tc>
          <w:tcPr>
            <w:tcW w:w="1276" w:type="dxa"/>
            <w:tcBorders>
              <w:top w:val="nil"/>
              <w:left w:val="nil"/>
              <w:bottom w:val="nil"/>
              <w:right w:val="nil"/>
            </w:tcBorders>
          </w:tcPr>
          <w:p w14:paraId="03E3CCC1"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5532B30C" w14:textId="77777777" w:rsidR="0086707B" w:rsidRPr="00505C9D" w:rsidRDefault="0086707B" w:rsidP="00B148D5">
            <w:pPr>
              <w:pStyle w:val="Tables11pt"/>
              <w:rPr>
                <w:sz w:val="20"/>
                <w:szCs w:val="20"/>
              </w:rPr>
            </w:pPr>
            <w:r>
              <w:rPr>
                <w:sz w:val="20"/>
                <w:szCs w:val="20"/>
              </w:rPr>
              <w:t>0.502</w:t>
            </w:r>
            <w:r w:rsidRPr="00505C9D">
              <w:rPr>
                <w:sz w:val="20"/>
                <w:szCs w:val="20"/>
              </w:rPr>
              <w:t>***</w:t>
            </w:r>
          </w:p>
        </w:tc>
      </w:tr>
      <w:tr w:rsidR="0086707B" w:rsidRPr="00505C9D" w14:paraId="059C802E" w14:textId="77777777" w:rsidTr="00B148D5">
        <w:trPr>
          <w:trHeight w:val="300"/>
        </w:trPr>
        <w:tc>
          <w:tcPr>
            <w:tcW w:w="2564" w:type="dxa"/>
            <w:tcBorders>
              <w:top w:val="nil"/>
              <w:left w:val="nil"/>
              <w:bottom w:val="nil"/>
              <w:right w:val="nil"/>
            </w:tcBorders>
            <w:shd w:val="clear" w:color="auto" w:fill="auto"/>
            <w:noWrap/>
            <w:vAlign w:val="bottom"/>
          </w:tcPr>
          <w:p w14:paraId="7C7629E5"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5C32266F" w14:textId="77777777" w:rsidR="0086707B" w:rsidRPr="00505C9D" w:rsidRDefault="0086707B" w:rsidP="00B148D5">
            <w:pPr>
              <w:pStyle w:val="Tables11pt"/>
              <w:rPr>
                <w:sz w:val="20"/>
                <w:szCs w:val="20"/>
              </w:rPr>
            </w:pPr>
            <w:r>
              <w:rPr>
                <w:sz w:val="20"/>
                <w:szCs w:val="20"/>
              </w:rPr>
              <w:t>[3.56</w:t>
            </w:r>
            <w:r w:rsidRPr="00505C9D">
              <w:rPr>
                <w:sz w:val="20"/>
                <w:szCs w:val="20"/>
              </w:rPr>
              <w:t>]</w:t>
            </w:r>
          </w:p>
        </w:tc>
        <w:tc>
          <w:tcPr>
            <w:tcW w:w="1417" w:type="dxa"/>
            <w:tcBorders>
              <w:top w:val="nil"/>
              <w:left w:val="nil"/>
              <w:bottom w:val="nil"/>
              <w:right w:val="nil"/>
            </w:tcBorders>
            <w:shd w:val="clear" w:color="auto" w:fill="auto"/>
            <w:noWrap/>
            <w:vAlign w:val="bottom"/>
          </w:tcPr>
          <w:p w14:paraId="0AF94E10" w14:textId="77777777" w:rsidR="0086707B" w:rsidRPr="00505C9D" w:rsidRDefault="0086707B" w:rsidP="00B148D5">
            <w:pPr>
              <w:pStyle w:val="Tables11pt"/>
              <w:rPr>
                <w:sz w:val="20"/>
                <w:szCs w:val="20"/>
              </w:rPr>
            </w:pPr>
            <w:r>
              <w:rPr>
                <w:sz w:val="20"/>
                <w:szCs w:val="20"/>
              </w:rPr>
              <w:t>[3.06</w:t>
            </w:r>
            <w:r w:rsidRPr="00505C9D">
              <w:rPr>
                <w:sz w:val="20"/>
                <w:szCs w:val="20"/>
              </w:rPr>
              <w:t>]</w:t>
            </w:r>
          </w:p>
        </w:tc>
        <w:tc>
          <w:tcPr>
            <w:tcW w:w="1276" w:type="dxa"/>
            <w:tcBorders>
              <w:top w:val="nil"/>
              <w:left w:val="nil"/>
              <w:bottom w:val="nil"/>
              <w:right w:val="nil"/>
            </w:tcBorders>
            <w:vAlign w:val="bottom"/>
          </w:tcPr>
          <w:p w14:paraId="19347835" w14:textId="77777777" w:rsidR="0086707B" w:rsidRDefault="0086707B" w:rsidP="00B148D5">
            <w:pPr>
              <w:pStyle w:val="Tables11pt"/>
              <w:rPr>
                <w:sz w:val="20"/>
                <w:szCs w:val="20"/>
              </w:rPr>
            </w:pPr>
            <w:r>
              <w:rPr>
                <w:sz w:val="20"/>
                <w:szCs w:val="20"/>
              </w:rPr>
              <w:t>[1.95</w:t>
            </w:r>
            <w:r w:rsidRPr="00505C9D">
              <w:rPr>
                <w:sz w:val="20"/>
                <w:szCs w:val="20"/>
              </w:rPr>
              <w:t>]</w:t>
            </w:r>
          </w:p>
        </w:tc>
        <w:tc>
          <w:tcPr>
            <w:tcW w:w="1276" w:type="dxa"/>
            <w:tcBorders>
              <w:top w:val="nil"/>
              <w:left w:val="nil"/>
              <w:bottom w:val="nil"/>
              <w:right w:val="nil"/>
            </w:tcBorders>
          </w:tcPr>
          <w:p w14:paraId="0CF44C2B"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131AC8F8" w14:textId="77777777" w:rsidR="0086707B" w:rsidRPr="00505C9D" w:rsidRDefault="0086707B" w:rsidP="00B148D5">
            <w:pPr>
              <w:pStyle w:val="Tables11pt"/>
              <w:rPr>
                <w:sz w:val="20"/>
                <w:szCs w:val="20"/>
              </w:rPr>
            </w:pPr>
            <w:r>
              <w:rPr>
                <w:sz w:val="20"/>
                <w:szCs w:val="20"/>
              </w:rPr>
              <w:t>[3.05</w:t>
            </w:r>
            <w:r w:rsidRPr="00505C9D">
              <w:rPr>
                <w:sz w:val="20"/>
                <w:szCs w:val="20"/>
              </w:rPr>
              <w:t>]</w:t>
            </w:r>
          </w:p>
        </w:tc>
      </w:tr>
      <w:tr w:rsidR="0086707B" w:rsidRPr="00505C9D" w14:paraId="2B9C4DBD" w14:textId="77777777" w:rsidTr="00B148D5">
        <w:trPr>
          <w:trHeight w:val="300"/>
        </w:trPr>
        <w:tc>
          <w:tcPr>
            <w:tcW w:w="2564" w:type="dxa"/>
            <w:tcBorders>
              <w:top w:val="nil"/>
              <w:left w:val="nil"/>
              <w:bottom w:val="nil"/>
              <w:right w:val="nil"/>
            </w:tcBorders>
            <w:shd w:val="clear" w:color="auto" w:fill="auto"/>
            <w:noWrap/>
            <w:vAlign w:val="bottom"/>
          </w:tcPr>
          <w:p w14:paraId="5FEE0D05" w14:textId="77777777" w:rsidR="0086707B" w:rsidRPr="00505C9D" w:rsidRDefault="0086707B" w:rsidP="00B148D5">
            <w:pPr>
              <w:pStyle w:val="Tables11pt"/>
              <w:rPr>
                <w:sz w:val="20"/>
                <w:szCs w:val="20"/>
              </w:rPr>
            </w:pPr>
            <w:r w:rsidRPr="00505C9D">
              <w:rPr>
                <w:sz w:val="20"/>
                <w:szCs w:val="20"/>
              </w:rPr>
              <w:t>Earth</w:t>
            </w:r>
            <w:r>
              <w:rPr>
                <w:sz w:val="20"/>
                <w:szCs w:val="20"/>
              </w:rPr>
              <w:t xml:space="preserve"> </w:t>
            </w:r>
            <w:r w:rsidRPr="00505C9D">
              <w:rPr>
                <w:sz w:val="20"/>
                <w:szCs w:val="20"/>
              </w:rPr>
              <w:t>Summit</w:t>
            </w:r>
          </w:p>
        </w:tc>
        <w:tc>
          <w:tcPr>
            <w:tcW w:w="1417" w:type="dxa"/>
            <w:tcBorders>
              <w:top w:val="nil"/>
              <w:left w:val="nil"/>
              <w:bottom w:val="nil"/>
              <w:right w:val="nil"/>
            </w:tcBorders>
            <w:shd w:val="clear" w:color="auto" w:fill="auto"/>
            <w:noWrap/>
            <w:vAlign w:val="bottom"/>
          </w:tcPr>
          <w:p w14:paraId="4A766E61" w14:textId="77777777" w:rsidR="0086707B" w:rsidRPr="00505C9D" w:rsidRDefault="0086707B" w:rsidP="00B148D5">
            <w:pPr>
              <w:pStyle w:val="Tables11pt"/>
              <w:rPr>
                <w:sz w:val="20"/>
                <w:szCs w:val="20"/>
              </w:rPr>
            </w:pPr>
            <w:r>
              <w:rPr>
                <w:sz w:val="20"/>
                <w:szCs w:val="20"/>
              </w:rPr>
              <w:t>0.561</w:t>
            </w:r>
          </w:p>
        </w:tc>
        <w:tc>
          <w:tcPr>
            <w:tcW w:w="1417" w:type="dxa"/>
            <w:tcBorders>
              <w:top w:val="nil"/>
              <w:left w:val="nil"/>
              <w:bottom w:val="nil"/>
              <w:right w:val="nil"/>
            </w:tcBorders>
            <w:shd w:val="clear" w:color="auto" w:fill="auto"/>
            <w:noWrap/>
            <w:vAlign w:val="bottom"/>
          </w:tcPr>
          <w:p w14:paraId="3C7558DA"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7CDE8652" w14:textId="77777777" w:rsidR="0086707B" w:rsidRDefault="0086707B" w:rsidP="00B148D5">
            <w:pPr>
              <w:pStyle w:val="Tables11pt"/>
              <w:rPr>
                <w:sz w:val="20"/>
                <w:szCs w:val="20"/>
              </w:rPr>
            </w:pPr>
          </w:p>
        </w:tc>
        <w:tc>
          <w:tcPr>
            <w:tcW w:w="1276" w:type="dxa"/>
            <w:tcBorders>
              <w:top w:val="nil"/>
              <w:left w:val="nil"/>
              <w:bottom w:val="nil"/>
              <w:right w:val="nil"/>
            </w:tcBorders>
          </w:tcPr>
          <w:p w14:paraId="7FD403E7"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03A6A889" w14:textId="77777777" w:rsidR="0086707B" w:rsidRPr="00505C9D" w:rsidRDefault="0086707B" w:rsidP="00B148D5">
            <w:pPr>
              <w:pStyle w:val="Tables11pt"/>
              <w:rPr>
                <w:sz w:val="20"/>
                <w:szCs w:val="20"/>
              </w:rPr>
            </w:pPr>
            <w:r>
              <w:rPr>
                <w:sz w:val="20"/>
                <w:szCs w:val="20"/>
              </w:rPr>
              <w:t>0.301</w:t>
            </w:r>
          </w:p>
        </w:tc>
      </w:tr>
      <w:tr w:rsidR="0086707B" w:rsidRPr="00505C9D" w14:paraId="57DB1DB3" w14:textId="77777777" w:rsidTr="00B148D5">
        <w:trPr>
          <w:trHeight w:val="300"/>
        </w:trPr>
        <w:tc>
          <w:tcPr>
            <w:tcW w:w="2564" w:type="dxa"/>
            <w:tcBorders>
              <w:top w:val="nil"/>
              <w:left w:val="nil"/>
              <w:bottom w:val="nil"/>
              <w:right w:val="nil"/>
            </w:tcBorders>
            <w:shd w:val="clear" w:color="auto" w:fill="auto"/>
            <w:noWrap/>
            <w:vAlign w:val="bottom"/>
          </w:tcPr>
          <w:p w14:paraId="265F0774"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26ADC509" w14:textId="77777777" w:rsidR="0086707B" w:rsidRPr="00505C9D" w:rsidRDefault="0086707B" w:rsidP="00B148D5">
            <w:pPr>
              <w:pStyle w:val="Tables11pt"/>
              <w:rPr>
                <w:sz w:val="20"/>
                <w:szCs w:val="20"/>
              </w:rPr>
            </w:pPr>
            <w:r>
              <w:rPr>
                <w:sz w:val="20"/>
                <w:szCs w:val="20"/>
              </w:rPr>
              <w:t>[1.47</w:t>
            </w:r>
            <w:r w:rsidRPr="00505C9D">
              <w:rPr>
                <w:sz w:val="20"/>
                <w:szCs w:val="20"/>
              </w:rPr>
              <w:t>]</w:t>
            </w:r>
          </w:p>
        </w:tc>
        <w:tc>
          <w:tcPr>
            <w:tcW w:w="1417" w:type="dxa"/>
            <w:tcBorders>
              <w:top w:val="nil"/>
              <w:left w:val="nil"/>
              <w:bottom w:val="nil"/>
              <w:right w:val="nil"/>
            </w:tcBorders>
            <w:shd w:val="clear" w:color="auto" w:fill="auto"/>
            <w:noWrap/>
            <w:vAlign w:val="bottom"/>
          </w:tcPr>
          <w:p w14:paraId="736CA037"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294B55CB" w14:textId="77777777" w:rsidR="0086707B" w:rsidRDefault="0086707B" w:rsidP="00B148D5">
            <w:pPr>
              <w:pStyle w:val="Tables11pt"/>
              <w:rPr>
                <w:sz w:val="20"/>
                <w:szCs w:val="20"/>
              </w:rPr>
            </w:pPr>
          </w:p>
        </w:tc>
        <w:tc>
          <w:tcPr>
            <w:tcW w:w="1276" w:type="dxa"/>
            <w:tcBorders>
              <w:top w:val="nil"/>
              <w:left w:val="nil"/>
              <w:bottom w:val="nil"/>
              <w:right w:val="nil"/>
            </w:tcBorders>
          </w:tcPr>
          <w:p w14:paraId="4A27114E"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57CFBEE4" w14:textId="77777777" w:rsidR="0086707B" w:rsidRPr="00505C9D" w:rsidRDefault="0086707B" w:rsidP="00B148D5">
            <w:pPr>
              <w:pStyle w:val="Tables11pt"/>
              <w:rPr>
                <w:sz w:val="20"/>
                <w:szCs w:val="20"/>
              </w:rPr>
            </w:pPr>
            <w:r>
              <w:rPr>
                <w:sz w:val="20"/>
                <w:szCs w:val="20"/>
              </w:rPr>
              <w:t>[0.81</w:t>
            </w:r>
            <w:r w:rsidRPr="00505C9D">
              <w:rPr>
                <w:sz w:val="20"/>
                <w:szCs w:val="20"/>
              </w:rPr>
              <w:t>]</w:t>
            </w:r>
          </w:p>
        </w:tc>
      </w:tr>
      <w:tr w:rsidR="0086707B" w:rsidRPr="00505C9D" w14:paraId="264FAA2E" w14:textId="77777777" w:rsidTr="00B148D5">
        <w:trPr>
          <w:trHeight w:val="300"/>
        </w:trPr>
        <w:tc>
          <w:tcPr>
            <w:tcW w:w="3981" w:type="dxa"/>
            <w:gridSpan w:val="2"/>
            <w:tcBorders>
              <w:top w:val="nil"/>
              <w:left w:val="nil"/>
              <w:bottom w:val="nil"/>
              <w:right w:val="nil"/>
            </w:tcBorders>
            <w:shd w:val="clear" w:color="auto" w:fill="auto"/>
            <w:noWrap/>
            <w:vAlign w:val="bottom"/>
          </w:tcPr>
          <w:p w14:paraId="0C0F32F3" w14:textId="77777777" w:rsidR="0086707B" w:rsidRPr="00505C9D" w:rsidRDefault="0086707B" w:rsidP="00B148D5">
            <w:pPr>
              <w:pStyle w:val="Tables11pt"/>
              <w:rPr>
                <w:sz w:val="20"/>
                <w:szCs w:val="20"/>
              </w:rPr>
            </w:pPr>
            <w:r w:rsidRPr="00505C9D">
              <w:rPr>
                <w:sz w:val="20"/>
                <w:szCs w:val="20"/>
              </w:rPr>
              <w:t xml:space="preserve">Legal Origin </w:t>
            </w:r>
            <w:r w:rsidRPr="00505C9D">
              <w:rPr>
                <w:rFonts w:ascii="MS Gothic" w:eastAsia="MS Gothic" w:hAnsi="MS Gothic"/>
                <w:sz w:val="20"/>
                <w:szCs w:val="20"/>
              </w:rPr>
              <w:t>×</w:t>
            </w:r>
            <w:r w:rsidRPr="00505C9D">
              <w:rPr>
                <w:sz w:val="20"/>
                <w:szCs w:val="20"/>
              </w:rPr>
              <w:t>Earth</w:t>
            </w:r>
            <w:r>
              <w:rPr>
                <w:sz w:val="20"/>
                <w:szCs w:val="20"/>
              </w:rPr>
              <w:t xml:space="preserve"> </w:t>
            </w:r>
            <w:r w:rsidRPr="00505C9D">
              <w:rPr>
                <w:sz w:val="20"/>
                <w:szCs w:val="20"/>
              </w:rPr>
              <w:t>Summit</w:t>
            </w:r>
            <w:r>
              <w:rPr>
                <w:sz w:val="20"/>
                <w:szCs w:val="20"/>
              </w:rPr>
              <w:t xml:space="preserve">     -0.858***</w:t>
            </w:r>
          </w:p>
        </w:tc>
        <w:tc>
          <w:tcPr>
            <w:tcW w:w="1417" w:type="dxa"/>
            <w:tcBorders>
              <w:top w:val="nil"/>
              <w:left w:val="nil"/>
              <w:bottom w:val="nil"/>
              <w:right w:val="nil"/>
            </w:tcBorders>
            <w:shd w:val="clear" w:color="auto" w:fill="auto"/>
            <w:noWrap/>
            <w:vAlign w:val="bottom"/>
          </w:tcPr>
          <w:p w14:paraId="3E223C5D"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42729C71"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41E88107" w14:textId="77777777" w:rsidR="0086707B" w:rsidRPr="00505C9D" w:rsidRDefault="0086707B" w:rsidP="00B148D5">
            <w:pPr>
              <w:pStyle w:val="Tables11pt"/>
              <w:rPr>
                <w:sz w:val="20"/>
                <w:szCs w:val="20"/>
              </w:rPr>
            </w:pPr>
          </w:p>
        </w:tc>
        <w:tc>
          <w:tcPr>
            <w:tcW w:w="1276" w:type="dxa"/>
            <w:tcBorders>
              <w:top w:val="nil"/>
              <w:left w:val="nil"/>
              <w:bottom w:val="nil"/>
              <w:right w:val="nil"/>
            </w:tcBorders>
          </w:tcPr>
          <w:p w14:paraId="0FAACB8D" w14:textId="77777777" w:rsidR="0086707B" w:rsidRPr="00505C9D" w:rsidRDefault="0086707B" w:rsidP="00B148D5">
            <w:pPr>
              <w:pStyle w:val="Tables11pt"/>
              <w:rPr>
                <w:sz w:val="20"/>
                <w:szCs w:val="20"/>
              </w:rPr>
            </w:pPr>
          </w:p>
        </w:tc>
      </w:tr>
      <w:tr w:rsidR="0086707B" w:rsidRPr="00505C9D" w14:paraId="07EA2D19" w14:textId="77777777" w:rsidTr="00B148D5">
        <w:trPr>
          <w:trHeight w:val="300"/>
        </w:trPr>
        <w:tc>
          <w:tcPr>
            <w:tcW w:w="2564" w:type="dxa"/>
            <w:tcBorders>
              <w:top w:val="nil"/>
              <w:left w:val="nil"/>
              <w:bottom w:val="nil"/>
              <w:right w:val="nil"/>
            </w:tcBorders>
            <w:shd w:val="clear" w:color="auto" w:fill="auto"/>
            <w:noWrap/>
            <w:vAlign w:val="bottom"/>
          </w:tcPr>
          <w:p w14:paraId="594064E6"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166BC29E" w14:textId="77777777" w:rsidR="0086707B" w:rsidRPr="00505C9D" w:rsidRDefault="0086707B" w:rsidP="00B148D5">
            <w:pPr>
              <w:pStyle w:val="Tables11pt"/>
              <w:rPr>
                <w:sz w:val="20"/>
                <w:szCs w:val="20"/>
              </w:rPr>
            </w:pPr>
            <w:r>
              <w:rPr>
                <w:sz w:val="20"/>
                <w:szCs w:val="20"/>
              </w:rPr>
              <w:t>[3.15]</w:t>
            </w:r>
          </w:p>
        </w:tc>
        <w:tc>
          <w:tcPr>
            <w:tcW w:w="1417" w:type="dxa"/>
            <w:tcBorders>
              <w:top w:val="nil"/>
              <w:left w:val="nil"/>
              <w:bottom w:val="nil"/>
              <w:right w:val="nil"/>
            </w:tcBorders>
            <w:shd w:val="clear" w:color="auto" w:fill="auto"/>
            <w:noWrap/>
            <w:vAlign w:val="bottom"/>
          </w:tcPr>
          <w:p w14:paraId="3F15F2ED"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48154B88" w14:textId="77777777" w:rsidR="0086707B" w:rsidRPr="00505C9D" w:rsidRDefault="0086707B" w:rsidP="00B148D5">
            <w:pPr>
              <w:pStyle w:val="Tables11pt"/>
              <w:rPr>
                <w:sz w:val="20"/>
                <w:szCs w:val="20"/>
              </w:rPr>
            </w:pPr>
          </w:p>
        </w:tc>
        <w:tc>
          <w:tcPr>
            <w:tcW w:w="1276" w:type="dxa"/>
            <w:tcBorders>
              <w:top w:val="nil"/>
              <w:left w:val="nil"/>
              <w:bottom w:val="nil"/>
              <w:right w:val="nil"/>
            </w:tcBorders>
          </w:tcPr>
          <w:p w14:paraId="73FF8DA6"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2DEA1311" w14:textId="77777777" w:rsidR="0086707B" w:rsidRPr="00505C9D" w:rsidRDefault="0086707B" w:rsidP="00B148D5">
            <w:pPr>
              <w:pStyle w:val="Tables11pt"/>
              <w:rPr>
                <w:sz w:val="20"/>
                <w:szCs w:val="20"/>
              </w:rPr>
            </w:pPr>
          </w:p>
        </w:tc>
      </w:tr>
      <w:tr w:rsidR="0086707B" w:rsidRPr="00505C9D" w14:paraId="0BD6F97F" w14:textId="77777777" w:rsidTr="00B148D5">
        <w:trPr>
          <w:trHeight w:val="300"/>
        </w:trPr>
        <w:tc>
          <w:tcPr>
            <w:tcW w:w="2564" w:type="dxa"/>
            <w:tcBorders>
              <w:top w:val="nil"/>
              <w:left w:val="nil"/>
              <w:bottom w:val="nil"/>
              <w:right w:val="nil"/>
            </w:tcBorders>
            <w:shd w:val="clear" w:color="auto" w:fill="auto"/>
            <w:noWrap/>
            <w:vAlign w:val="bottom"/>
          </w:tcPr>
          <w:p w14:paraId="3DD0DB38" w14:textId="77777777" w:rsidR="0086707B" w:rsidRDefault="0086707B" w:rsidP="00B148D5">
            <w:pPr>
              <w:pStyle w:val="Tables11pt"/>
              <w:rPr>
                <w:sz w:val="20"/>
                <w:szCs w:val="20"/>
              </w:rPr>
            </w:pPr>
            <w:r>
              <w:rPr>
                <w:sz w:val="20"/>
                <w:szCs w:val="20"/>
              </w:rPr>
              <w:t>Kyoto 97</w:t>
            </w:r>
          </w:p>
        </w:tc>
        <w:tc>
          <w:tcPr>
            <w:tcW w:w="1417" w:type="dxa"/>
            <w:tcBorders>
              <w:top w:val="nil"/>
              <w:left w:val="nil"/>
              <w:bottom w:val="nil"/>
              <w:right w:val="nil"/>
            </w:tcBorders>
            <w:shd w:val="clear" w:color="auto" w:fill="auto"/>
            <w:noWrap/>
            <w:vAlign w:val="bottom"/>
          </w:tcPr>
          <w:p w14:paraId="1076C398"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373A664D" w14:textId="77777777" w:rsidR="0086707B" w:rsidRPr="00505C9D" w:rsidRDefault="0086707B" w:rsidP="00B148D5">
            <w:pPr>
              <w:pStyle w:val="Tables11pt"/>
              <w:rPr>
                <w:sz w:val="20"/>
                <w:szCs w:val="20"/>
              </w:rPr>
            </w:pPr>
            <w:r>
              <w:rPr>
                <w:sz w:val="20"/>
                <w:szCs w:val="20"/>
              </w:rPr>
              <w:t>-0.478</w:t>
            </w:r>
          </w:p>
        </w:tc>
        <w:tc>
          <w:tcPr>
            <w:tcW w:w="1276" w:type="dxa"/>
            <w:tcBorders>
              <w:top w:val="nil"/>
              <w:left w:val="nil"/>
              <w:bottom w:val="nil"/>
              <w:right w:val="nil"/>
            </w:tcBorders>
            <w:vAlign w:val="bottom"/>
          </w:tcPr>
          <w:p w14:paraId="567367C5" w14:textId="77777777" w:rsidR="0086707B" w:rsidRDefault="0086707B" w:rsidP="00B148D5">
            <w:pPr>
              <w:pStyle w:val="Tables11pt"/>
              <w:rPr>
                <w:sz w:val="20"/>
                <w:szCs w:val="20"/>
              </w:rPr>
            </w:pPr>
          </w:p>
        </w:tc>
        <w:tc>
          <w:tcPr>
            <w:tcW w:w="1276" w:type="dxa"/>
            <w:tcBorders>
              <w:top w:val="nil"/>
              <w:left w:val="nil"/>
              <w:bottom w:val="nil"/>
              <w:right w:val="nil"/>
            </w:tcBorders>
          </w:tcPr>
          <w:p w14:paraId="2460DB91"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32D40BD7" w14:textId="77777777" w:rsidR="0086707B" w:rsidRPr="00505C9D" w:rsidRDefault="0086707B" w:rsidP="00B148D5">
            <w:pPr>
              <w:pStyle w:val="Tables11pt"/>
              <w:rPr>
                <w:sz w:val="20"/>
                <w:szCs w:val="20"/>
              </w:rPr>
            </w:pPr>
            <w:r>
              <w:rPr>
                <w:sz w:val="20"/>
                <w:szCs w:val="20"/>
              </w:rPr>
              <w:t>-0.176</w:t>
            </w:r>
          </w:p>
        </w:tc>
      </w:tr>
      <w:tr w:rsidR="0086707B" w:rsidRPr="00505C9D" w14:paraId="28F6E246" w14:textId="77777777" w:rsidTr="00B148D5">
        <w:trPr>
          <w:trHeight w:val="300"/>
        </w:trPr>
        <w:tc>
          <w:tcPr>
            <w:tcW w:w="2564" w:type="dxa"/>
            <w:tcBorders>
              <w:top w:val="nil"/>
              <w:left w:val="nil"/>
              <w:bottom w:val="nil"/>
              <w:right w:val="nil"/>
            </w:tcBorders>
            <w:shd w:val="clear" w:color="auto" w:fill="auto"/>
            <w:noWrap/>
            <w:vAlign w:val="bottom"/>
          </w:tcPr>
          <w:p w14:paraId="512E2E10" w14:textId="77777777" w:rsidR="0086707B"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73AA0D1A"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5DC590DC" w14:textId="77777777" w:rsidR="0086707B" w:rsidRPr="00505C9D" w:rsidRDefault="0086707B" w:rsidP="00B148D5">
            <w:pPr>
              <w:pStyle w:val="Tables11pt"/>
              <w:rPr>
                <w:sz w:val="20"/>
                <w:szCs w:val="20"/>
              </w:rPr>
            </w:pPr>
            <w:r>
              <w:rPr>
                <w:sz w:val="20"/>
                <w:szCs w:val="20"/>
              </w:rPr>
              <w:t>[0.94]</w:t>
            </w:r>
          </w:p>
        </w:tc>
        <w:tc>
          <w:tcPr>
            <w:tcW w:w="1276" w:type="dxa"/>
            <w:tcBorders>
              <w:top w:val="nil"/>
              <w:left w:val="nil"/>
              <w:bottom w:val="nil"/>
              <w:right w:val="nil"/>
            </w:tcBorders>
            <w:vAlign w:val="bottom"/>
          </w:tcPr>
          <w:p w14:paraId="7F532FD8" w14:textId="77777777" w:rsidR="0086707B" w:rsidRDefault="0086707B" w:rsidP="00B148D5">
            <w:pPr>
              <w:pStyle w:val="Tables11pt"/>
              <w:rPr>
                <w:sz w:val="20"/>
                <w:szCs w:val="20"/>
              </w:rPr>
            </w:pPr>
          </w:p>
        </w:tc>
        <w:tc>
          <w:tcPr>
            <w:tcW w:w="1276" w:type="dxa"/>
            <w:tcBorders>
              <w:top w:val="nil"/>
              <w:left w:val="nil"/>
              <w:bottom w:val="nil"/>
              <w:right w:val="nil"/>
            </w:tcBorders>
          </w:tcPr>
          <w:p w14:paraId="355F6F33"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2939C993" w14:textId="77777777" w:rsidR="0086707B" w:rsidRPr="00505C9D" w:rsidRDefault="0086707B" w:rsidP="00B148D5">
            <w:pPr>
              <w:pStyle w:val="Tables11pt"/>
              <w:rPr>
                <w:sz w:val="20"/>
                <w:szCs w:val="20"/>
              </w:rPr>
            </w:pPr>
            <w:r>
              <w:rPr>
                <w:sz w:val="20"/>
                <w:szCs w:val="20"/>
              </w:rPr>
              <w:t>[0.40]</w:t>
            </w:r>
          </w:p>
        </w:tc>
      </w:tr>
      <w:tr w:rsidR="0086707B" w:rsidRPr="00505C9D" w14:paraId="6D4BB5C5" w14:textId="77777777" w:rsidTr="00B148D5">
        <w:trPr>
          <w:trHeight w:val="300"/>
        </w:trPr>
        <w:tc>
          <w:tcPr>
            <w:tcW w:w="2564" w:type="dxa"/>
            <w:tcBorders>
              <w:top w:val="nil"/>
              <w:left w:val="nil"/>
              <w:bottom w:val="nil"/>
              <w:right w:val="nil"/>
            </w:tcBorders>
            <w:shd w:val="clear" w:color="auto" w:fill="auto"/>
            <w:noWrap/>
            <w:vAlign w:val="bottom"/>
          </w:tcPr>
          <w:p w14:paraId="2253510D" w14:textId="77777777" w:rsidR="0086707B" w:rsidRDefault="0086707B" w:rsidP="00B148D5">
            <w:pPr>
              <w:pStyle w:val="Tables11pt"/>
              <w:rPr>
                <w:sz w:val="20"/>
                <w:szCs w:val="20"/>
              </w:rPr>
            </w:pPr>
            <w:r w:rsidRPr="00505C9D">
              <w:rPr>
                <w:sz w:val="20"/>
                <w:szCs w:val="20"/>
              </w:rPr>
              <w:t xml:space="preserve">Legal Origin </w:t>
            </w:r>
            <w:r w:rsidRPr="00505C9D">
              <w:rPr>
                <w:rFonts w:ascii="MS Gothic" w:eastAsia="MS Gothic" w:hAnsi="MS Gothic"/>
                <w:sz w:val="20"/>
                <w:szCs w:val="20"/>
              </w:rPr>
              <w:t>×</w:t>
            </w:r>
            <w:r>
              <w:rPr>
                <w:sz w:val="20"/>
                <w:szCs w:val="20"/>
              </w:rPr>
              <w:t xml:space="preserve">Kyoto 97     </w:t>
            </w:r>
          </w:p>
        </w:tc>
        <w:tc>
          <w:tcPr>
            <w:tcW w:w="1417" w:type="dxa"/>
            <w:tcBorders>
              <w:top w:val="nil"/>
              <w:left w:val="nil"/>
              <w:bottom w:val="nil"/>
              <w:right w:val="nil"/>
            </w:tcBorders>
            <w:shd w:val="clear" w:color="auto" w:fill="auto"/>
            <w:noWrap/>
            <w:vAlign w:val="bottom"/>
          </w:tcPr>
          <w:p w14:paraId="71592D58"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052D9012" w14:textId="77777777" w:rsidR="0086707B" w:rsidRPr="00505C9D" w:rsidRDefault="0086707B" w:rsidP="00B148D5">
            <w:pPr>
              <w:pStyle w:val="Tables11pt"/>
              <w:rPr>
                <w:sz w:val="20"/>
                <w:szCs w:val="20"/>
              </w:rPr>
            </w:pPr>
            <w:r>
              <w:rPr>
                <w:sz w:val="20"/>
                <w:szCs w:val="20"/>
              </w:rPr>
              <w:t>-0.771***</w:t>
            </w:r>
          </w:p>
        </w:tc>
        <w:tc>
          <w:tcPr>
            <w:tcW w:w="1276" w:type="dxa"/>
            <w:tcBorders>
              <w:top w:val="nil"/>
              <w:left w:val="nil"/>
              <w:bottom w:val="nil"/>
              <w:right w:val="nil"/>
            </w:tcBorders>
            <w:vAlign w:val="bottom"/>
          </w:tcPr>
          <w:p w14:paraId="3FFCA2D5" w14:textId="77777777" w:rsidR="0086707B" w:rsidRDefault="0086707B" w:rsidP="00B148D5">
            <w:pPr>
              <w:pStyle w:val="Tables11pt"/>
              <w:rPr>
                <w:sz w:val="20"/>
                <w:szCs w:val="20"/>
              </w:rPr>
            </w:pPr>
          </w:p>
        </w:tc>
        <w:tc>
          <w:tcPr>
            <w:tcW w:w="1276" w:type="dxa"/>
            <w:tcBorders>
              <w:top w:val="nil"/>
              <w:left w:val="nil"/>
              <w:bottom w:val="nil"/>
              <w:right w:val="nil"/>
            </w:tcBorders>
          </w:tcPr>
          <w:p w14:paraId="59FFAA3B"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40328601" w14:textId="77777777" w:rsidR="0086707B" w:rsidRPr="00505C9D" w:rsidRDefault="0086707B" w:rsidP="00B148D5">
            <w:pPr>
              <w:pStyle w:val="Tables11pt"/>
              <w:rPr>
                <w:sz w:val="20"/>
                <w:szCs w:val="20"/>
              </w:rPr>
            </w:pPr>
            <w:r>
              <w:rPr>
                <w:sz w:val="20"/>
                <w:szCs w:val="20"/>
              </w:rPr>
              <w:t>-0.770***</w:t>
            </w:r>
          </w:p>
        </w:tc>
      </w:tr>
      <w:tr w:rsidR="0086707B" w:rsidRPr="00505C9D" w14:paraId="7F7CFFCF" w14:textId="77777777" w:rsidTr="00B148D5">
        <w:trPr>
          <w:trHeight w:val="300"/>
        </w:trPr>
        <w:tc>
          <w:tcPr>
            <w:tcW w:w="2564" w:type="dxa"/>
            <w:tcBorders>
              <w:top w:val="nil"/>
              <w:left w:val="nil"/>
              <w:bottom w:val="nil"/>
              <w:right w:val="nil"/>
            </w:tcBorders>
            <w:shd w:val="clear" w:color="auto" w:fill="auto"/>
            <w:noWrap/>
            <w:vAlign w:val="bottom"/>
          </w:tcPr>
          <w:p w14:paraId="0C892581" w14:textId="77777777" w:rsidR="0086707B"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04707EBD"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6ABAC6F7" w14:textId="77777777" w:rsidR="0086707B" w:rsidRPr="00505C9D" w:rsidRDefault="0086707B" w:rsidP="00B148D5">
            <w:pPr>
              <w:pStyle w:val="Tables11pt"/>
              <w:rPr>
                <w:sz w:val="20"/>
                <w:szCs w:val="20"/>
              </w:rPr>
            </w:pPr>
            <w:r>
              <w:rPr>
                <w:sz w:val="20"/>
                <w:szCs w:val="20"/>
              </w:rPr>
              <w:t>[2.67]</w:t>
            </w:r>
          </w:p>
        </w:tc>
        <w:tc>
          <w:tcPr>
            <w:tcW w:w="1276" w:type="dxa"/>
            <w:tcBorders>
              <w:top w:val="nil"/>
              <w:left w:val="nil"/>
              <w:bottom w:val="nil"/>
              <w:right w:val="nil"/>
            </w:tcBorders>
            <w:vAlign w:val="bottom"/>
          </w:tcPr>
          <w:p w14:paraId="1A6FD550" w14:textId="77777777" w:rsidR="0086707B" w:rsidRDefault="0086707B" w:rsidP="00B148D5">
            <w:pPr>
              <w:pStyle w:val="Tables11pt"/>
              <w:rPr>
                <w:sz w:val="20"/>
                <w:szCs w:val="20"/>
              </w:rPr>
            </w:pPr>
          </w:p>
        </w:tc>
        <w:tc>
          <w:tcPr>
            <w:tcW w:w="1276" w:type="dxa"/>
            <w:tcBorders>
              <w:top w:val="nil"/>
              <w:left w:val="nil"/>
              <w:bottom w:val="nil"/>
              <w:right w:val="nil"/>
            </w:tcBorders>
          </w:tcPr>
          <w:p w14:paraId="4F5720E6"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5C95F24B" w14:textId="77777777" w:rsidR="0086707B" w:rsidRPr="00505C9D" w:rsidRDefault="0086707B" w:rsidP="00B148D5">
            <w:pPr>
              <w:pStyle w:val="Tables11pt"/>
              <w:rPr>
                <w:sz w:val="20"/>
                <w:szCs w:val="20"/>
              </w:rPr>
            </w:pPr>
            <w:r>
              <w:rPr>
                <w:sz w:val="20"/>
                <w:szCs w:val="20"/>
              </w:rPr>
              <w:t>[2.66]</w:t>
            </w:r>
          </w:p>
        </w:tc>
      </w:tr>
      <w:tr w:rsidR="0086707B" w:rsidRPr="00505C9D" w14:paraId="4683ACCB" w14:textId="77777777" w:rsidTr="00B148D5">
        <w:trPr>
          <w:trHeight w:val="300"/>
        </w:trPr>
        <w:tc>
          <w:tcPr>
            <w:tcW w:w="2564" w:type="dxa"/>
            <w:tcBorders>
              <w:top w:val="nil"/>
              <w:left w:val="nil"/>
              <w:bottom w:val="nil"/>
              <w:right w:val="nil"/>
            </w:tcBorders>
            <w:shd w:val="clear" w:color="auto" w:fill="auto"/>
            <w:noWrap/>
            <w:vAlign w:val="bottom"/>
          </w:tcPr>
          <w:p w14:paraId="796E9CDC" w14:textId="77777777" w:rsidR="0086707B" w:rsidRPr="00505C9D" w:rsidRDefault="0086707B" w:rsidP="00B148D5">
            <w:pPr>
              <w:pStyle w:val="Tables11pt"/>
              <w:rPr>
                <w:sz w:val="20"/>
                <w:szCs w:val="20"/>
              </w:rPr>
            </w:pPr>
            <w:r>
              <w:rPr>
                <w:sz w:val="20"/>
                <w:szCs w:val="20"/>
              </w:rPr>
              <w:t>Kyoto 05</w:t>
            </w:r>
          </w:p>
        </w:tc>
        <w:tc>
          <w:tcPr>
            <w:tcW w:w="1417" w:type="dxa"/>
            <w:tcBorders>
              <w:top w:val="nil"/>
              <w:left w:val="nil"/>
              <w:bottom w:val="nil"/>
              <w:right w:val="nil"/>
            </w:tcBorders>
            <w:shd w:val="clear" w:color="auto" w:fill="auto"/>
            <w:noWrap/>
            <w:vAlign w:val="bottom"/>
          </w:tcPr>
          <w:p w14:paraId="23849D15"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318AFD88"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3C2D0826" w14:textId="77777777" w:rsidR="0086707B" w:rsidRPr="00505C9D" w:rsidRDefault="0086707B" w:rsidP="00B148D5">
            <w:pPr>
              <w:pStyle w:val="Tables11pt"/>
              <w:rPr>
                <w:sz w:val="20"/>
                <w:szCs w:val="20"/>
              </w:rPr>
            </w:pPr>
            <w:r>
              <w:rPr>
                <w:sz w:val="20"/>
                <w:szCs w:val="20"/>
              </w:rPr>
              <w:t>-0.392</w:t>
            </w:r>
          </w:p>
        </w:tc>
        <w:tc>
          <w:tcPr>
            <w:tcW w:w="1276" w:type="dxa"/>
            <w:tcBorders>
              <w:top w:val="nil"/>
              <w:left w:val="nil"/>
              <w:bottom w:val="nil"/>
              <w:right w:val="nil"/>
            </w:tcBorders>
          </w:tcPr>
          <w:p w14:paraId="269E670F"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25E46858" w14:textId="77777777" w:rsidR="0086707B" w:rsidRPr="00505C9D" w:rsidRDefault="0086707B" w:rsidP="00B148D5">
            <w:pPr>
              <w:pStyle w:val="Tables11pt"/>
              <w:rPr>
                <w:sz w:val="20"/>
                <w:szCs w:val="20"/>
              </w:rPr>
            </w:pPr>
          </w:p>
        </w:tc>
      </w:tr>
      <w:tr w:rsidR="0086707B" w:rsidRPr="00505C9D" w14:paraId="7508DE22" w14:textId="77777777" w:rsidTr="00B148D5">
        <w:trPr>
          <w:trHeight w:val="300"/>
        </w:trPr>
        <w:tc>
          <w:tcPr>
            <w:tcW w:w="2564" w:type="dxa"/>
            <w:tcBorders>
              <w:top w:val="nil"/>
              <w:left w:val="nil"/>
              <w:bottom w:val="nil"/>
              <w:right w:val="nil"/>
            </w:tcBorders>
            <w:shd w:val="clear" w:color="auto" w:fill="auto"/>
            <w:noWrap/>
            <w:vAlign w:val="bottom"/>
          </w:tcPr>
          <w:p w14:paraId="4488C3C2"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4DCAC56A"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77044879"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7A5D4968" w14:textId="77777777" w:rsidR="0086707B" w:rsidRPr="00505C9D" w:rsidRDefault="0086707B" w:rsidP="00B148D5">
            <w:pPr>
              <w:pStyle w:val="Tables11pt"/>
              <w:rPr>
                <w:sz w:val="20"/>
                <w:szCs w:val="20"/>
              </w:rPr>
            </w:pPr>
            <w:r>
              <w:rPr>
                <w:sz w:val="20"/>
                <w:szCs w:val="20"/>
              </w:rPr>
              <w:t>[0.75]</w:t>
            </w:r>
          </w:p>
        </w:tc>
        <w:tc>
          <w:tcPr>
            <w:tcW w:w="1276" w:type="dxa"/>
            <w:tcBorders>
              <w:top w:val="nil"/>
              <w:left w:val="nil"/>
              <w:bottom w:val="nil"/>
              <w:right w:val="nil"/>
            </w:tcBorders>
          </w:tcPr>
          <w:p w14:paraId="67D619EF"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1BADC91B" w14:textId="77777777" w:rsidR="0086707B" w:rsidRPr="00505C9D" w:rsidRDefault="0086707B" w:rsidP="00B148D5">
            <w:pPr>
              <w:pStyle w:val="Tables11pt"/>
              <w:rPr>
                <w:sz w:val="20"/>
                <w:szCs w:val="20"/>
              </w:rPr>
            </w:pPr>
          </w:p>
        </w:tc>
      </w:tr>
      <w:tr w:rsidR="0086707B" w:rsidRPr="00505C9D" w14:paraId="74E1F323" w14:textId="77777777" w:rsidTr="00B148D5">
        <w:trPr>
          <w:trHeight w:val="300"/>
        </w:trPr>
        <w:tc>
          <w:tcPr>
            <w:tcW w:w="2564" w:type="dxa"/>
            <w:tcBorders>
              <w:top w:val="nil"/>
              <w:left w:val="nil"/>
              <w:bottom w:val="nil"/>
              <w:right w:val="nil"/>
            </w:tcBorders>
            <w:shd w:val="clear" w:color="auto" w:fill="auto"/>
            <w:noWrap/>
            <w:vAlign w:val="bottom"/>
          </w:tcPr>
          <w:p w14:paraId="703EA992" w14:textId="77777777" w:rsidR="0086707B" w:rsidRPr="00B11BF3" w:rsidRDefault="0086707B" w:rsidP="00B148D5">
            <w:pPr>
              <w:pStyle w:val="Tables11pt"/>
              <w:rPr>
                <w:rFonts w:asciiTheme="majorHAnsi" w:hAnsiTheme="majorHAnsi"/>
                <w:sz w:val="20"/>
                <w:szCs w:val="20"/>
              </w:rPr>
            </w:pPr>
            <w:r>
              <w:rPr>
                <w:sz w:val="20"/>
                <w:szCs w:val="20"/>
              </w:rPr>
              <w:t>Legal Origin</w:t>
            </w:r>
            <w:r w:rsidRPr="00505C9D">
              <w:rPr>
                <w:rFonts w:ascii="MS Gothic" w:eastAsia="MS Gothic" w:hAnsi="MS Gothic"/>
                <w:sz w:val="20"/>
                <w:szCs w:val="20"/>
              </w:rPr>
              <w:t>×</w:t>
            </w:r>
            <w:r>
              <w:rPr>
                <w:rFonts w:asciiTheme="majorHAnsi" w:eastAsia="MS Gothic" w:hAnsiTheme="majorHAnsi"/>
                <w:sz w:val="20"/>
                <w:szCs w:val="20"/>
              </w:rPr>
              <w:t>Kyoto 05</w:t>
            </w:r>
          </w:p>
        </w:tc>
        <w:tc>
          <w:tcPr>
            <w:tcW w:w="1417" w:type="dxa"/>
            <w:tcBorders>
              <w:top w:val="nil"/>
              <w:left w:val="nil"/>
              <w:bottom w:val="nil"/>
              <w:right w:val="nil"/>
            </w:tcBorders>
            <w:shd w:val="clear" w:color="auto" w:fill="auto"/>
            <w:noWrap/>
            <w:vAlign w:val="bottom"/>
          </w:tcPr>
          <w:p w14:paraId="2EFC438C"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1EB80EEE"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1621755D" w14:textId="77777777" w:rsidR="0086707B" w:rsidRPr="00505C9D" w:rsidRDefault="0086707B" w:rsidP="00B148D5">
            <w:pPr>
              <w:pStyle w:val="Tables11pt"/>
              <w:rPr>
                <w:sz w:val="20"/>
                <w:szCs w:val="20"/>
              </w:rPr>
            </w:pPr>
            <w:r>
              <w:rPr>
                <w:sz w:val="20"/>
                <w:szCs w:val="20"/>
              </w:rPr>
              <w:t>-0.609</w:t>
            </w:r>
          </w:p>
        </w:tc>
        <w:tc>
          <w:tcPr>
            <w:tcW w:w="1276" w:type="dxa"/>
            <w:tcBorders>
              <w:top w:val="nil"/>
              <w:left w:val="nil"/>
              <w:bottom w:val="nil"/>
              <w:right w:val="nil"/>
            </w:tcBorders>
          </w:tcPr>
          <w:p w14:paraId="1CA02D68"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47FAA03C" w14:textId="77777777" w:rsidR="0086707B" w:rsidRPr="00505C9D" w:rsidRDefault="0086707B" w:rsidP="00B148D5">
            <w:pPr>
              <w:pStyle w:val="Tables11pt"/>
              <w:rPr>
                <w:sz w:val="20"/>
                <w:szCs w:val="20"/>
              </w:rPr>
            </w:pPr>
          </w:p>
        </w:tc>
      </w:tr>
      <w:tr w:rsidR="0086707B" w:rsidRPr="00505C9D" w14:paraId="1184C935" w14:textId="77777777" w:rsidTr="00B148D5">
        <w:trPr>
          <w:trHeight w:val="300"/>
        </w:trPr>
        <w:tc>
          <w:tcPr>
            <w:tcW w:w="2564" w:type="dxa"/>
            <w:tcBorders>
              <w:top w:val="nil"/>
              <w:left w:val="nil"/>
              <w:bottom w:val="nil"/>
              <w:right w:val="nil"/>
            </w:tcBorders>
            <w:shd w:val="clear" w:color="auto" w:fill="auto"/>
            <w:noWrap/>
            <w:vAlign w:val="bottom"/>
          </w:tcPr>
          <w:p w14:paraId="1B3981A6"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082F8191"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218A5D5C" w14:textId="77777777" w:rsidR="0086707B" w:rsidRPr="00505C9D" w:rsidRDefault="0086707B" w:rsidP="00B148D5">
            <w:pPr>
              <w:pStyle w:val="Tables11pt"/>
              <w:rPr>
                <w:sz w:val="20"/>
                <w:szCs w:val="20"/>
              </w:rPr>
            </w:pPr>
          </w:p>
        </w:tc>
        <w:tc>
          <w:tcPr>
            <w:tcW w:w="1276" w:type="dxa"/>
            <w:tcBorders>
              <w:top w:val="nil"/>
              <w:left w:val="nil"/>
              <w:bottom w:val="nil"/>
              <w:right w:val="nil"/>
            </w:tcBorders>
            <w:vAlign w:val="bottom"/>
          </w:tcPr>
          <w:p w14:paraId="542C696A" w14:textId="77777777" w:rsidR="0086707B" w:rsidRPr="00505C9D" w:rsidRDefault="0086707B" w:rsidP="00B148D5">
            <w:pPr>
              <w:pStyle w:val="Tables11pt"/>
              <w:rPr>
                <w:sz w:val="20"/>
                <w:szCs w:val="20"/>
              </w:rPr>
            </w:pPr>
            <w:r>
              <w:rPr>
                <w:sz w:val="20"/>
                <w:szCs w:val="20"/>
              </w:rPr>
              <w:t>[1.17]</w:t>
            </w:r>
          </w:p>
        </w:tc>
        <w:tc>
          <w:tcPr>
            <w:tcW w:w="1276" w:type="dxa"/>
            <w:tcBorders>
              <w:top w:val="nil"/>
              <w:left w:val="nil"/>
              <w:bottom w:val="nil"/>
              <w:right w:val="nil"/>
            </w:tcBorders>
          </w:tcPr>
          <w:p w14:paraId="46D4DCED"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6F2C4CA2" w14:textId="77777777" w:rsidR="0086707B" w:rsidRPr="00505C9D" w:rsidRDefault="0086707B" w:rsidP="00B148D5">
            <w:pPr>
              <w:pStyle w:val="Tables11pt"/>
              <w:rPr>
                <w:sz w:val="20"/>
                <w:szCs w:val="20"/>
              </w:rPr>
            </w:pPr>
          </w:p>
        </w:tc>
      </w:tr>
      <w:tr w:rsidR="0086707B" w:rsidRPr="00505C9D" w14:paraId="5EF19564" w14:textId="77777777" w:rsidTr="00B148D5">
        <w:trPr>
          <w:trHeight w:val="300"/>
        </w:trPr>
        <w:tc>
          <w:tcPr>
            <w:tcW w:w="2564" w:type="dxa"/>
            <w:tcBorders>
              <w:top w:val="nil"/>
              <w:left w:val="nil"/>
              <w:bottom w:val="nil"/>
              <w:right w:val="nil"/>
            </w:tcBorders>
            <w:shd w:val="clear" w:color="auto" w:fill="auto"/>
            <w:noWrap/>
            <w:vAlign w:val="bottom"/>
          </w:tcPr>
          <w:p w14:paraId="2E27AE87" w14:textId="77777777" w:rsidR="0086707B" w:rsidRPr="00505C9D" w:rsidRDefault="0086707B" w:rsidP="00B148D5">
            <w:pPr>
              <w:pStyle w:val="Tables11pt"/>
              <w:rPr>
                <w:sz w:val="20"/>
                <w:szCs w:val="20"/>
              </w:rPr>
            </w:pPr>
            <w:r>
              <w:rPr>
                <w:sz w:val="20"/>
                <w:szCs w:val="20"/>
              </w:rPr>
              <w:t>GDPPC</w:t>
            </w:r>
          </w:p>
        </w:tc>
        <w:tc>
          <w:tcPr>
            <w:tcW w:w="1417" w:type="dxa"/>
            <w:tcBorders>
              <w:top w:val="nil"/>
              <w:left w:val="nil"/>
              <w:bottom w:val="nil"/>
              <w:right w:val="nil"/>
            </w:tcBorders>
            <w:shd w:val="clear" w:color="auto" w:fill="auto"/>
            <w:noWrap/>
            <w:vAlign w:val="bottom"/>
          </w:tcPr>
          <w:p w14:paraId="435F3454" w14:textId="77777777" w:rsidR="0086707B" w:rsidRPr="00505C9D" w:rsidRDefault="0086707B" w:rsidP="00B148D5">
            <w:pPr>
              <w:pStyle w:val="Tables11pt"/>
              <w:rPr>
                <w:sz w:val="20"/>
                <w:szCs w:val="20"/>
              </w:rPr>
            </w:pPr>
            <w:r>
              <w:rPr>
                <w:sz w:val="20"/>
                <w:szCs w:val="20"/>
              </w:rPr>
              <w:t>0.427***</w:t>
            </w:r>
          </w:p>
        </w:tc>
        <w:tc>
          <w:tcPr>
            <w:tcW w:w="1417" w:type="dxa"/>
            <w:tcBorders>
              <w:top w:val="nil"/>
              <w:left w:val="nil"/>
              <w:bottom w:val="nil"/>
              <w:right w:val="nil"/>
            </w:tcBorders>
            <w:shd w:val="clear" w:color="auto" w:fill="auto"/>
            <w:noWrap/>
            <w:vAlign w:val="bottom"/>
          </w:tcPr>
          <w:p w14:paraId="366758B4" w14:textId="77777777" w:rsidR="0086707B" w:rsidRPr="00505C9D" w:rsidRDefault="0086707B" w:rsidP="00B148D5">
            <w:pPr>
              <w:pStyle w:val="Tables11pt"/>
              <w:rPr>
                <w:sz w:val="20"/>
                <w:szCs w:val="20"/>
              </w:rPr>
            </w:pPr>
            <w:r>
              <w:rPr>
                <w:sz w:val="20"/>
                <w:szCs w:val="20"/>
              </w:rPr>
              <w:t>0.427***</w:t>
            </w:r>
          </w:p>
        </w:tc>
        <w:tc>
          <w:tcPr>
            <w:tcW w:w="1276" w:type="dxa"/>
            <w:tcBorders>
              <w:top w:val="nil"/>
              <w:left w:val="nil"/>
              <w:bottom w:val="nil"/>
              <w:right w:val="nil"/>
            </w:tcBorders>
            <w:vAlign w:val="bottom"/>
          </w:tcPr>
          <w:p w14:paraId="35C2B13B" w14:textId="77777777" w:rsidR="0086707B" w:rsidRDefault="0086707B" w:rsidP="00B148D5">
            <w:pPr>
              <w:pStyle w:val="Tables11pt"/>
              <w:rPr>
                <w:sz w:val="20"/>
                <w:szCs w:val="20"/>
              </w:rPr>
            </w:pPr>
            <w:r>
              <w:rPr>
                <w:sz w:val="20"/>
                <w:szCs w:val="20"/>
              </w:rPr>
              <w:t>0.427***</w:t>
            </w:r>
          </w:p>
        </w:tc>
        <w:tc>
          <w:tcPr>
            <w:tcW w:w="1276" w:type="dxa"/>
            <w:tcBorders>
              <w:top w:val="nil"/>
              <w:left w:val="nil"/>
              <w:bottom w:val="nil"/>
              <w:right w:val="nil"/>
            </w:tcBorders>
          </w:tcPr>
          <w:p w14:paraId="0915F4FC"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2A642524" w14:textId="77777777" w:rsidR="0086707B" w:rsidRPr="00505C9D" w:rsidRDefault="0086707B" w:rsidP="00B148D5">
            <w:pPr>
              <w:pStyle w:val="Tables11pt"/>
              <w:rPr>
                <w:sz w:val="20"/>
                <w:szCs w:val="20"/>
              </w:rPr>
            </w:pPr>
            <w:r>
              <w:rPr>
                <w:sz w:val="20"/>
                <w:szCs w:val="20"/>
              </w:rPr>
              <w:t>0.426***</w:t>
            </w:r>
          </w:p>
        </w:tc>
      </w:tr>
      <w:tr w:rsidR="0086707B" w:rsidRPr="00505C9D" w14:paraId="690DAD0E" w14:textId="77777777" w:rsidTr="00B148D5">
        <w:trPr>
          <w:trHeight w:val="300"/>
        </w:trPr>
        <w:tc>
          <w:tcPr>
            <w:tcW w:w="2564" w:type="dxa"/>
            <w:tcBorders>
              <w:top w:val="nil"/>
              <w:left w:val="nil"/>
              <w:bottom w:val="nil"/>
              <w:right w:val="nil"/>
            </w:tcBorders>
            <w:shd w:val="clear" w:color="auto" w:fill="auto"/>
            <w:noWrap/>
            <w:vAlign w:val="bottom"/>
          </w:tcPr>
          <w:p w14:paraId="74FD09D2"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2A6EBE18" w14:textId="77777777" w:rsidR="0086707B" w:rsidRPr="00505C9D" w:rsidRDefault="0086707B" w:rsidP="00B148D5">
            <w:pPr>
              <w:pStyle w:val="Tables11pt"/>
              <w:rPr>
                <w:sz w:val="20"/>
                <w:szCs w:val="20"/>
              </w:rPr>
            </w:pPr>
            <w:r>
              <w:rPr>
                <w:sz w:val="20"/>
                <w:szCs w:val="20"/>
              </w:rPr>
              <w:t>[32.78]</w:t>
            </w:r>
          </w:p>
        </w:tc>
        <w:tc>
          <w:tcPr>
            <w:tcW w:w="1417" w:type="dxa"/>
            <w:tcBorders>
              <w:top w:val="nil"/>
              <w:left w:val="nil"/>
              <w:bottom w:val="nil"/>
              <w:right w:val="nil"/>
            </w:tcBorders>
            <w:shd w:val="clear" w:color="auto" w:fill="auto"/>
            <w:noWrap/>
            <w:vAlign w:val="bottom"/>
          </w:tcPr>
          <w:p w14:paraId="757F5B7C" w14:textId="77777777" w:rsidR="0086707B" w:rsidRPr="00505C9D" w:rsidRDefault="0086707B" w:rsidP="00B148D5">
            <w:pPr>
              <w:pStyle w:val="Tables11pt"/>
              <w:rPr>
                <w:sz w:val="20"/>
                <w:szCs w:val="20"/>
              </w:rPr>
            </w:pPr>
            <w:r>
              <w:rPr>
                <w:sz w:val="20"/>
                <w:szCs w:val="20"/>
              </w:rPr>
              <w:t>[32.79]</w:t>
            </w:r>
          </w:p>
        </w:tc>
        <w:tc>
          <w:tcPr>
            <w:tcW w:w="1276" w:type="dxa"/>
            <w:tcBorders>
              <w:top w:val="nil"/>
              <w:left w:val="nil"/>
              <w:bottom w:val="nil"/>
              <w:right w:val="nil"/>
            </w:tcBorders>
            <w:vAlign w:val="bottom"/>
          </w:tcPr>
          <w:p w14:paraId="31E589CD" w14:textId="77777777" w:rsidR="0086707B" w:rsidRDefault="0086707B" w:rsidP="00B148D5">
            <w:pPr>
              <w:pStyle w:val="Tables11pt"/>
              <w:rPr>
                <w:sz w:val="20"/>
                <w:szCs w:val="20"/>
              </w:rPr>
            </w:pPr>
            <w:r>
              <w:rPr>
                <w:sz w:val="20"/>
                <w:szCs w:val="20"/>
              </w:rPr>
              <w:t>[32.70]</w:t>
            </w:r>
          </w:p>
        </w:tc>
        <w:tc>
          <w:tcPr>
            <w:tcW w:w="1276" w:type="dxa"/>
            <w:tcBorders>
              <w:top w:val="nil"/>
              <w:left w:val="nil"/>
              <w:bottom w:val="nil"/>
              <w:right w:val="nil"/>
            </w:tcBorders>
          </w:tcPr>
          <w:p w14:paraId="4DE44AB9"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4A137F76" w14:textId="77777777" w:rsidR="0086707B" w:rsidRPr="00505C9D" w:rsidRDefault="0086707B" w:rsidP="00B148D5">
            <w:pPr>
              <w:pStyle w:val="Tables11pt"/>
              <w:rPr>
                <w:sz w:val="20"/>
                <w:szCs w:val="20"/>
              </w:rPr>
            </w:pPr>
            <w:r>
              <w:rPr>
                <w:sz w:val="20"/>
                <w:szCs w:val="20"/>
              </w:rPr>
              <w:t>[32.78]</w:t>
            </w:r>
          </w:p>
        </w:tc>
      </w:tr>
      <w:tr w:rsidR="0086707B" w:rsidRPr="00505C9D" w14:paraId="4EA646DE" w14:textId="77777777" w:rsidTr="00B148D5">
        <w:trPr>
          <w:trHeight w:val="300"/>
        </w:trPr>
        <w:tc>
          <w:tcPr>
            <w:tcW w:w="2564" w:type="dxa"/>
            <w:tcBorders>
              <w:top w:val="nil"/>
              <w:left w:val="nil"/>
              <w:bottom w:val="nil"/>
              <w:right w:val="nil"/>
            </w:tcBorders>
            <w:shd w:val="clear" w:color="auto" w:fill="auto"/>
            <w:noWrap/>
            <w:vAlign w:val="bottom"/>
          </w:tcPr>
          <w:p w14:paraId="4CB4CE19" w14:textId="77777777" w:rsidR="0086707B" w:rsidRPr="00505C9D" w:rsidRDefault="0086707B" w:rsidP="00B148D5">
            <w:pPr>
              <w:pStyle w:val="Tables11pt"/>
              <w:rPr>
                <w:sz w:val="20"/>
                <w:szCs w:val="20"/>
              </w:rPr>
            </w:pPr>
            <w:r w:rsidRPr="00505C9D">
              <w:rPr>
                <w:sz w:val="20"/>
                <w:szCs w:val="20"/>
              </w:rPr>
              <w:t>Year -effects</w:t>
            </w:r>
          </w:p>
        </w:tc>
        <w:tc>
          <w:tcPr>
            <w:tcW w:w="1417" w:type="dxa"/>
            <w:tcBorders>
              <w:top w:val="nil"/>
              <w:left w:val="nil"/>
              <w:bottom w:val="nil"/>
              <w:right w:val="nil"/>
            </w:tcBorders>
            <w:shd w:val="clear" w:color="auto" w:fill="auto"/>
            <w:noWrap/>
            <w:vAlign w:val="bottom"/>
          </w:tcPr>
          <w:p w14:paraId="4F537105" w14:textId="77777777" w:rsidR="0086707B" w:rsidRPr="00505C9D" w:rsidRDefault="0086707B" w:rsidP="00B148D5">
            <w:pPr>
              <w:pStyle w:val="Tables11pt"/>
              <w:rPr>
                <w:sz w:val="20"/>
                <w:szCs w:val="20"/>
              </w:rPr>
            </w:pPr>
            <w:r w:rsidRPr="00505C9D">
              <w:rPr>
                <w:sz w:val="20"/>
                <w:szCs w:val="20"/>
              </w:rPr>
              <w:t>Yes</w:t>
            </w:r>
          </w:p>
        </w:tc>
        <w:tc>
          <w:tcPr>
            <w:tcW w:w="1417" w:type="dxa"/>
            <w:tcBorders>
              <w:top w:val="nil"/>
              <w:left w:val="nil"/>
              <w:bottom w:val="nil"/>
              <w:right w:val="nil"/>
            </w:tcBorders>
            <w:shd w:val="clear" w:color="auto" w:fill="auto"/>
            <w:noWrap/>
            <w:vAlign w:val="bottom"/>
          </w:tcPr>
          <w:p w14:paraId="4F23A1C9" w14:textId="77777777" w:rsidR="0086707B" w:rsidRPr="00505C9D" w:rsidRDefault="0086707B" w:rsidP="00B148D5">
            <w:pPr>
              <w:pStyle w:val="Tables11pt"/>
              <w:rPr>
                <w:sz w:val="20"/>
                <w:szCs w:val="20"/>
              </w:rPr>
            </w:pPr>
            <w:r w:rsidRPr="00505C9D">
              <w:rPr>
                <w:sz w:val="20"/>
                <w:szCs w:val="20"/>
              </w:rPr>
              <w:t>Yes</w:t>
            </w:r>
          </w:p>
        </w:tc>
        <w:tc>
          <w:tcPr>
            <w:tcW w:w="1276" w:type="dxa"/>
            <w:tcBorders>
              <w:top w:val="nil"/>
              <w:left w:val="nil"/>
              <w:bottom w:val="nil"/>
              <w:right w:val="nil"/>
            </w:tcBorders>
            <w:vAlign w:val="bottom"/>
          </w:tcPr>
          <w:p w14:paraId="2502751C" w14:textId="77777777" w:rsidR="0086707B" w:rsidRPr="00505C9D" w:rsidRDefault="0086707B" w:rsidP="00B148D5">
            <w:pPr>
              <w:pStyle w:val="Tables11pt"/>
              <w:rPr>
                <w:sz w:val="20"/>
                <w:szCs w:val="20"/>
              </w:rPr>
            </w:pPr>
            <w:r w:rsidRPr="00505C9D">
              <w:rPr>
                <w:sz w:val="20"/>
                <w:szCs w:val="20"/>
              </w:rPr>
              <w:t>Yes</w:t>
            </w:r>
          </w:p>
        </w:tc>
        <w:tc>
          <w:tcPr>
            <w:tcW w:w="1276" w:type="dxa"/>
            <w:tcBorders>
              <w:top w:val="nil"/>
              <w:left w:val="nil"/>
              <w:bottom w:val="nil"/>
              <w:right w:val="nil"/>
            </w:tcBorders>
          </w:tcPr>
          <w:p w14:paraId="6A538BE2"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222A5FB4" w14:textId="77777777" w:rsidR="0086707B" w:rsidRPr="00505C9D" w:rsidRDefault="0086707B" w:rsidP="00B148D5">
            <w:pPr>
              <w:pStyle w:val="Tables11pt"/>
              <w:rPr>
                <w:sz w:val="20"/>
                <w:szCs w:val="20"/>
              </w:rPr>
            </w:pPr>
            <w:r w:rsidRPr="00505C9D">
              <w:rPr>
                <w:sz w:val="20"/>
                <w:szCs w:val="20"/>
              </w:rPr>
              <w:t>Yes</w:t>
            </w:r>
          </w:p>
        </w:tc>
      </w:tr>
      <w:tr w:rsidR="0086707B" w:rsidRPr="00505C9D" w14:paraId="1723FC03" w14:textId="77777777" w:rsidTr="00B148D5">
        <w:trPr>
          <w:trHeight w:val="300"/>
        </w:trPr>
        <w:tc>
          <w:tcPr>
            <w:tcW w:w="2564" w:type="dxa"/>
            <w:tcBorders>
              <w:top w:val="nil"/>
              <w:left w:val="nil"/>
              <w:bottom w:val="nil"/>
              <w:right w:val="nil"/>
            </w:tcBorders>
            <w:shd w:val="clear" w:color="auto" w:fill="auto"/>
            <w:noWrap/>
            <w:vAlign w:val="bottom"/>
          </w:tcPr>
          <w:p w14:paraId="5BF9A19E" w14:textId="77777777" w:rsidR="0086707B" w:rsidRPr="00505C9D" w:rsidRDefault="0086707B" w:rsidP="00B148D5">
            <w:pPr>
              <w:pStyle w:val="Tables11pt"/>
              <w:rPr>
                <w:sz w:val="20"/>
                <w:szCs w:val="20"/>
              </w:rPr>
            </w:pPr>
            <w:r w:rsidRPr="00505C9D">
              <w:rPr>
                <w:sz w:val="20"/>
                <w:szCs w:val="20"/>
              </w:rPr>
              <w:t>Intercept</w:t>
            </w:r>
          </w:p>
        </w:tc>
        <w:tc>
          <w:tcPr>
            <w:tcW w:w="1417" w:type="dxa"/>
            <w:tcBorders>
              <w:top w:val="nil"/>
              <w:left w:val="nil"/>
              <w:bottom w:val="nil"/>
              <w:right w:val="nil"/>
            </w:tcBorders>
            <w:shd w:val="clear" w:color="auto" w:fill="auto"/>
            <w:noWrap/>
            <w:vAlign w:val="bottom"/>
          </w:tcPr>
          <w:p w14:paraId="12BA049D" w14:textId="77777777" w:rsidR="0086707B" w:rsidRPr="00505C9D" w:rsidRDefault="0086707B" w:rsidP="00B148D5">
            <w:pPr>
              <w:pStyle w:val="Tables11pt"/>
              <w:rPr>
                <w:sz w:val="20"/>
                <w:szCs w:val="20"/>
              </w:rPr>
            </w:pPr>
            <w:r>
              <w:rPr>
                <w:sz w:val="20"/>
                <w:szCs w:val="20"/>
              </w:rPr>
              <w:t>1.400</w:t>
            </w:r>
            <w:r w:rsidRPr="00505C9D">
              <w:rPr>
                <w:sz w:val="20"/>
                <w:szCs w:val="20"/>
              </w:rPr>
              <w:t>***</w:t>
            </w:r>
          </w:p>
        </w:tc>
        <w:tc>
          <w:tcPr>
            <w:tcW w:w="1417" w:type="dxa"/>
            <w:tcBorders>
              <w:top w:val="nil"/>
              <w:left w:val="nil"/>
              <w:bottom w:val="nil"/>
              <w:right w:val="nil"/>
            </w:tcBorders>
            <w:shd w:val="clear" w:color="auto" w:fill="auto"/>
            <w:noWrap/>
            <w:vAlign w:val="bottom"/>
          </w:tcPr>
          <w:p w14:paraId="054FC930" w14:textId="77777777" w:rsidR="0086707B" w:rsidRPr="00505C9D" w:rsidRDefault="0086707B" w:rsidP="00B148D5">
            <w:pPr>
              <w:pStyle w:val="Tables11pt"/>
              <w:rPr>
                <w:sz w:val="20"/>
                <w:szCs w:val="20"/>
              </w:rPr>
            </w:pPr>
            <w:r>
              <w:rPr>
                <w:sz w:val="20"/>
                <w:szCs w:val="20"/>
              </w:rPr>
              <w:t>2.075</w:t>
            </w:r>
            <w:r w:rsidRPr="00505C9D">
              <w:rPr>
                <w:sz w:val="20"/>
                <w:szCs w:val="20"/>
              </w:rPr>
              <w:t>***</w:t>
            </w:r>
          </w:p>
        </w:tc>
        <w:tc>
          <w:tcPr>
            <w:tcW w:w="1276" w:type="dxa"/>
            <w:tcBorders>
              <w:top w:val="nil"/>
              <w:left w:val="nil"/>
              <w:bottom w:val="nil"/>
              <w:right w:val="nil"/>
            </w:tcBorders>
            <w:vAlign w:val="bottom"/>
          </w:tcPr>
          <w:p w14:paraId="60E5FB38" w14:textId="77777777" w:rsidR="0086707B" w:rsidRDefault="0086707B" w:rsidP="00B148D5">
            <w:pPr>
              <w:pStyle w:val="Tables11pt"/>
              <w:rPr>
                <w:sz w:val="20"/>
                <w:szCs w:val="20"/>
              </w:rPr>
            </w:pPr>
            <w:r>
              <w:rPr>
                <w:sz w:val="20"/>
                <w:szCs w:val="20"/>
              </w:rPr>
              <w:t>2.15</w:t>
            </w:r>
            <w:r w:rsidRPr="00505C9D">
              <w:rPr>
                <w:sz w:val="20"/>
                <w:szCs w:val="20"/>
              </w:rPr>
              <w:t>5***</w:t>
            </w:r>
          </w:p>
        </w:tc>
        <w:tc>
          <w:tcPr>
            <w:tcW w:w="1276" w:type="dxa"/>
            <w:tcBorders>
              <w:top w:val="nil"/>
              <w:left w:val="nil"/>
              <w:bottom w:val="nil"/>
              <w:right w:val="nil"/>
            </w:tcBorders>
          </w:tcPr>
          <w:p w14:paraId="71E389CD" w14:textId="77777777" w:rsidR="0086707B"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412A8458" w14:textId="77777777" w:rsidR="0086707B" w:rsidRPr="00505C9D" w:rsidRDefault="0086707B" w:rsidP="00B148D5">
            <w:pPr>
              <w:pStyle w:val="Tables11pt"/>
              <w:rPr>
                <w:sz w:val="20"/>
                <w:szCs w:val="20"/>
              </w:rPr>
            </w:pPr>
            <w:r>
              <w:rPr>
                <w:sz w:val="20"/>
                <w:szCs w:val="20"/>
              </w:rPr>
              <w:t>1.463</w:t>
            </w:r>
            <w:r w:rsidRPr="00505C9D">
              <w:rPr>
                <w:sz w:val="20"/>
                <w:szCs w:val="20"/>
              </w:rPr>
              <w:t>***</w:t>
            </w:r>
          </w:p>
        </w:tc>
      </w:tr>
      <w:tr w:rsidR="0086707B" w:rsidRPr="00505C9D" w14:paraId="4E851420" w14:textId="77777777" w:rsidTr="00B148D5">
        <w:trPr>
          <w:trHeight w:val="300"/>
        </w:trPr>
        <w:tc>
          <w:tcPr>
            <w:tcW w:w="2564" w:type="dxa"/>
            <w:tcBorders>
              <w:top w:val="nil"/>
              <w:left w:val="nil"/>
              <w:bottom w:val="nil"/>
              <w:right w:val="nil"/>
            </w:tcBorders>
            <w:shd w:val="clear" w:color="auto" w:fill="auto"/>
            <w:noWrap/>
            <w:vAlign w:val="bottom"/>
          </w:tcPr>
          <w:p w14:paraId="5A87C2F9" w14:textId="77777777" w:rsidR="0086707B" w:rsidRPr="00505C9D" w:rsidRDefault="0086707B" w:rsidP="00B148D5">
            <w:pPr>
              <w:pStyle w:val="Tables11pt"/>
              <w:rPr>
                <w:sz w:val="20"/>
                <w:szCs w:val="20"/>
              </w:rPr>
            </w:pPr>
          </w:p>
        </w:tc>
        <w:tc>
          <w:tcPr>
            <w:tcW w:w="1417" w:type="dxa"/>
            <w:tcBorders>
              <w:top w:val="nil"/>
              <w:left w:val="nil"/>
              <w:bottom w:val="nil"/>
              <w:right w:val="nil"/>
            </w:tcBorders>
            <w:shd w:val="clear" w:color="auto" w:fill="auto"/>
            <w:noWrap/>
            <w:vAlign w:val="bottom"/>
          </w:tcPr>
          <w:p w14:paraId="254FBA07" w14:textId="77777777" w:rsidR="0086707B" w:rsidRPr="00505C9D" w:rsidRDefault="0086707B" w:rsidP="00B148D5">
            <w:pPr>
              <w:pStyle w:val="Tables11pt"/>
              <w:rPr>
                <w:sz w:val="20"/>
                <w:szCs w:val="20"/>
              </w:rPr>
            </w:pPr>
            <w:r>
              <w:rPr>
                <w:sz w:val="20"/>
                <w:szCs w:val="20"/>
              </w:rPr>
              <w:t>[5.05</w:t>
            </w:r>
            <w:r w:rsidRPr="00505C9D">
              <w:rPr>
                <w:sz w:val="20"/>
                <w:szCs w:val="20"/>
              </w:rPr>
              <w:t>]</w:t>
            </w:r>
          </w:p>
        </w:tc>
        <w:tc>
          <w:tcPr>
            <w:tcW w:w="1417" w:type="dxa"/>
            <w:tcBorders>
              <w:top w:val="nil"/>
              <w:left w:val="nil"/>
              <w:bottom w:val="nil"/>
              <w:right w:val="nil"/>
            </w:tcBorders>
            <w:shd w:val="clear" w:color="auto" w:fill="auto"/>
            <w:noWrap/>
            <w:vAlign w:val="bottom"/>
          </w:tcPr>
          <w:p w14:paraId="7EA063C6" w14:textId="77777777" w:rsidR="0086707B" w:rsidRPr="00505C9D" w:rsidRDefault="0086707B" w:rsidP="00B148D5">
            <w:pPr>
              <w:pStyle w:val="Tables11pt"/>
              <w:rPr>
                <w:sz w:val="20"/>
                <w:szCs w:val="20"/>
              </w:rPr>
            </w:pPr>
            <w:r w:rsidRPr="00505C9D">
              <w:rPr>
                <w:sz w:val="20"/>
                <w:szCs w:val="20"/>
              </w:rPr>
              <w:t>[</w:t>
            </w:r>
            <w:r>
              <w:rPr>
                <w:sz w:val="20"/>
                <w:szCs w:val="20"/>
              </w:rPr>
              <w:t>5.61</w:t>
            </w:r>
            <w:r w:rsidRPr="00505C9D">
              <w:rPr>
                <w:sz w:val="20"/>
                <w:szCs w:val="20"/>
              </w:rPr>
              <w:t>]</w:t>
            </w:r>
          </w:p>
        </w:tc>
        <w:tc>
          <w:tcPr>
            <w:tcW w:w="1276" w:type="dxa"/>
            <w:tcBorders>
              <w:top w:val="nil"/>
              <w:left w:val="nil"/>
              <w:bottom w:val="nil"/>
              <w:right w:val="nil"/>
            </w:tcBorders>
            <w:vAlign w:val="bottom"/>
          </w:tcPr>
          <w:p w14:paraId="6A209CD6" w14:textId="77777777" w:rsidR="0086707B" w:rsidRPr="00505C9D" w:rsidRDefault="0086707B" w:rsidP="00B148D5">
            <w:pPr>
              <w:pStyle w:val="Tables11pt"/>
              <w:rPr>
                <w:sz w:val="20"/>
                <w:szCs w:val="20"/>
              </w:rPr>
            </w:pPr>
            <w:r>
              <w:rPr>
                <w:sz w:val="20"/>
                <w:szCs w:val="20"/>
              </w:rPr>
              <w:t>[5.78</w:t>
            </w:r>
            <w:r w:rsidRPr="00505C9D">
              <w:rPr>
                <w:sz w:val="20"/>
                <w:szCs w:val="20"/>
              </w:rPr>
              <w:t>]</w:t>
            </w:r>
          </w:p>
        </w:tc>
        <w:tc>
          <w:tcPr>
            <w:tcW w:w="1276" w:type="dxa"/>
            <w:tcBorders>
              <w:top w:val="nil"/>
              <w:left w:val="nil"/>
              <w:bottom w:val="nil"/>
              <w:right w:val="nil"/>
            </w:tcBorders>
          </w:tcPr>
          <w:p w14:paraId="002DABF7" w14:textId="77777777" w:rsidR="0086707B" w:rsidRPr="00505C9D" w:rsidRDefault="0086707B" w:rsidP="00B148D5">
            <w:pPr>
              <w:pStyle w:val="Tables11pt"/>
              <w:rPr>
                <w:sz w:val="20"/>
                <w:szCs w:val="20"/>
              </w:rPr>
            </w:pPr>
          </w:p>
        </w:tc>
        <w:tc>
          <w:tcPr>
            <w:tcW w:w="1276" w:type="dxa"/>
            <w:tcBorders>
              <w:top w:val="nil"/>
              <w:left w:val="nil"/>
              <w:bottom w:val="nil"/>
              <w:right w:val="nil"/>
            </w:tcBorders>
            <w:shd w:val="clear" w:color="auto" w:fill="auto"/>
            <w:noWrap/>
            <w:vAlign w:val="bottom"/>
          </w:tcPr>
          <w:p w14:paraId="732ADD9F" w14:textId="77777777" w:rsidR="0086707B" w:rsidRPr="00505C9D" w:rsidRDefault="0086707B" w:rsidP="00B148D5">
            <w:pPr>
              <w:pStyle w:val="Tables11pt"/>
              <w:rPr>
                <w:sz w:val="20"/>
                <w:szCs w:val="20"/>
              </w:rPr>
            </w:pPr>
            <w:r w:rsidRPr="00505C9D">
              <w:rPr>
                <w:sz w:val="20"/>
                <w:szCs w:val="20"/>
              </w:rPr>
              <w:t>[</w:t>
            </w:r>
            <w:r>
              <w:rPr>
                <w:sz w:val="20"/>
                <w:szCs w:val="20"/>
              </w:rPr>
              <w:t>5.28</w:t>
            </w:r>
            <w:r w:rsidRPr="00505C9D">
              <w:rPr>
                <w:sz w:val="20"/>
                <w:szCs w:val="20"/>
              </w:rPr>
              <w:t>]</w:t>
            </w:r>
          </w:p>
        </w:tc>
      </w:tr>
      <w:tr w:rsidR="0086707B" w:rsidRPr="00505C9D" w14:paraId="6BEFE013" w14:textId="77777777" w:rsidTr="00B148D5">
        <w:trPr>
          <w:trHeight w:val="300"/>
        </w:trPr>
        <w:tc>
          <w:tcPr>
            <w:tcW w:w="2564" w:type="dxa"/>
            <w:tcBorders>
              <w:top w:val="nil"/>
              <w:left w:val="nil"/>
              <w:right w:val="nil"/>
            </w:tcBorders>
            <w:shd w:val="clear" w:color="auto" w:fill="auto"/>
            <w:noWrap/>
            <w:vAlign w:val="bottom"/>
          </w:tcPr>
          <w:p w14:paraId="6261DF1F" w14:textId="77777777" w:rsidR="0086707B" w:rsidRPr="00505C9D" w:rsidRDefault="0086707B" w:rsidP="00B148D5">
            <w:pPr>
              <w:pStyle w:val="Tables11pt"/>
              <w:rPr>
                <w:sz w:val="20"/>
                <w:szCs w:val="20"/>
              </w:rPr>
            </w:pPr>
          </w:p>
          <w:p w14:paraId="5FB99DBF" w14:textId="77777777" w:rsidR="0086707B" w:rsidRPr="00505C9D" w:rsidRDefault="0086707B" w:rsidP="00B148D5">
            <w:pPr>
              <w:pStyle w:val="Tables11pt"/>
              <w:rPr>
                <w:sz w:val="20"/>
                <w:szCs w:val="20"/>
              </w:rPr>
            </w:pPr>
            <w:r w:rsidRPr="00505C9D">
              <w:rPr>
                <w:sz w:val="20"/>
                <w:szCs w:val="20"/>
              </w:rPr>
              <w:t>N</w:t>
            </w:r>
          </w:p>
        </w:tc>
        <w:tc>
          <w:tcPr>
            <w:tcW w:w="1417" w:type="dxa"/>
            <w:tcBorders>
              <w:top w:val="nil"/>
              <w:left w:val="nil"/>
              <w:right w:val="nil"/>
            </w:tcBorders>
            <w:shd w:val="clear" w:color="auto" w:fill="auto"/>
            <w:noWrap/>
            <w:vAlign w:val="bottom"/>
          </w:tcPr>
          <w:p w14:paraId="6EE5A165" w14:textId="77777777" w:rsidR="0086707B" w:rsidRPr="00505C9D" w:rsidRDefault="0086707B" w:rsidP="00B148D5">
            <w:pPr>
              <w:pStyle w:val="Tables11pt"/>
              <w:rPr>
                <w:sz w:val="20"/>
                <w:szCs w:val="20"/>
              </w:rPr>
            </w:pPr>
            <w:r>
              <w:rPr>
                <w:sz w:val="20"/>
                <w:szCs w:val="20"/>
              </w:rPr>
              <w:t>5671</w:t>
            </w:r>
          </w:p>
        </w:tc>
        <w:tc>
          <w:tcPr>
            <w:tcW w:w="1417" w:type="dxa"/>
            <w:tcBorders>
              <w:top w:val="nil"/>
              <w:left w:val="nil"/>
              <w:right w:val="nil"/>
            </w:tcBorders>
            <w:shd w:val="clear" w:color="auto" w:fill="auto"/>
            <w:noWrap/>
            <w:vAlign w:val="bottom"/>
          </w:tcPr>
          <w:p w14:paraId="7A6D86F0" w14:textId="77777777" w:rsidR="0086707B" w:rsidRPr="00505C9D" w:rsidRDefault="0086707B" w:rsidP="00B148D5">
            <w:pPr>
              <w:pStyle w:val="Tables11pt"/>
              <w:rPr>
                <w:sz w:val="20"/>
                <w:szCs w:val="20"/>
              </w:rPr>
            </w:pPr>
            <w:r>
              <w:rPr>
                <w:sz w:val="20"/>
                <w:szCs w:val="20"/>
              </w:rPr>
              <w:t>5671</w:t>
            </w:r>
          </w:p>
        </w:tc>
        <w:tc>
          <w:tcPr>
            <w:tcW w:w="1276" w:type="dxa"/>
            <w:tcBorders>
              <w:top w:val="nil"/>
              <w:left w:val="nil"/>
              <w:right w:val="nil"/>
            </w:tcBorders>
            <w:vAlign w:val="bottom"/>
          </w:tcPr>
          <w:p w14:paraId="56DEB114" w14:textId="77777777" w:rsidR="0086707B" w:rsidRDefault="0086707B" w:rsidP="00B148D5">
            <w:pPr>
              <w:pStyle w:val="Tables11pt"/>
              <w:rPr>
                <w:sz w:val="20"/>
                <w:szCs w:val="20"/>
              </w:rPr>
            </w:pPr>
            <w:r>
              <w:rPr>
                <w:sz w:val="20"/>
                <w:szCs w:val="20"/>
              </w:rPr>
              <w:t>5671</w:t>
            </w:r>
          </w:p>
        </w:tc>
        <w:tc>
          <w:tcPr>
            <w:tcW w:w="1276" w:type="dxa"/>
            <w:tcBorders>
              <w:top w:val="nil"/>
              <w:left w:val="nil"/>
              <w:right w:val="nil"/>
            </w:tcBorders>
          </w:tcPr>
          <w:p w14:paraId="383C2AE7" w14:textId="77777777" w:rsidR="0086707B" w:rsidRDefault="0086707B" w:rsidP="00B148D5">
            <w:pPr>
              <w:pStyle w:val="Tables11pt"/>
              <w:rPr>
                <w:sz w:val="20"/>
                <w:szCs w:val="20"/>
              </w:rPr>
            </w:pPr>
          </w:p>
        </w:tc>
        <w:tc>
          <w:tcPr>
            <w:tcW w:w="1276" w:type="dxa"/>
            <w:tcBorders>
              <w:top w:val="nil"/>
              <w:left w:val="nil"/>
              <w:right w:val="nil"/>
            </w:tcBorders>
            <w:shd w:val="clear" w:color="auto" w:fill="auto"/>
            <w:noWrap/>
            <w:vAlign w:val="bottom"/>
          </w:tcPr>
          <w:p w14:paraId="7746A333" w14:textId="77777777" w:rsidR="0086707B" w:rsidRPr="00505C9D" w:rsidRDefault="0086707B" w:rsidP="00B148D5">
            <w:pPr>
              <w:pStyle w:val="Tables11pt"/>
              <w:rPr>
                <w:sz w:val="20"/>
                <w:szCs w:val="20"/>
              </w:rPr>
            </w:pPr>
            <w:r>
              <w:rPr>
                <w:sz w:val="20"/>
                <w:szCs w:val="20"/>
              </w:rPr>
              <w:t>5671</w:t>
            </w:r>
          </w:p>
        </w:tc>
      </w:tr>
      <w:tr w:rsidR="0086707B" w:rsidRPr="00505C9D" w14:paraId="5594F0B7" w14:textId="77777777" w:rsidTr="00B148D5">
        <w:trPr>
          <w:trHeight w:val="300"/>
        </w:trPr>
        <w:tc>
          <w:tcPr>
            <w:tcW w:w="2564" w:type="dxa"/>
            <w:tcBorders>
              <w:top w:val="nil"/>
              <w:left w:val="nil"/>
              <w:bottom w:val="single" w:sz="4" w:space="0" w:color="auto"/>
              <w:right w:val="nil"/>
            </w:tcBorders>
            <w:shd w:val="clear" w:color="auto" w:fill="auto"/>
            <w:noWrap/>
            <w:vAlign w:val="bottom"/>
          </w:tcPr>
          <w:p w14:paraId="6C741F2D" w14:textId="77777777" w:rsidR="0086707B" w:rsidRPr="00505C9D" w:rsidRDefault="0086707B" w:rsidP="00B148D5">
            <w:pPr>
              <w:pStyle w:val="Tables11pt"/>
              <w:rPr>
                <w:sz w:val="20"/>
                <w:szCs w:val="20"/>
              </w:rPr>
            </w:pPr>
            <w:r w:rsidRPr="00505C9D">
              <w:rPr>
                <w:sz w:val="20"/>
                <w:szCs w:val="20"/>
              </w:rPr>
              <w:t>Adjusted R</w:t>
            </w:r>
            <w:r w:rsidRPr="00505C9D">
              <w:rPr>
                <w:sz w:val="20"/>
                <w:szCs w:val="20"/>
                <w:vertAlign w:val="superscript"/>
              </w:rPr>
              <w:t>2</w:t>
            </w:r>
          </w:p>
        </w:tc>
        <w:tc>
          <w:tcPr>
            <w:tcW w:w="1417" w:type="dxa"/>
            <w:tcBorders>
              <w:top w:val="nil"/>
              <w:left w:val="nil"/>
              <w:bottom w:val="single" w:sz="4" w:space="0" w:color="auto"/>
              <w:right w:val="nil"/>
            </w:tcBorders>
            <w:shd w:val="clear" w:color="auto" w:fill="auto"/>
            <w:noWrap/>
            <w:vAlign w:val="bottom"/>
          </w:tcPr>
          <w:p w14:paraId="3DDCFF4D" w14:textId="77777777" w:rsidR="0086707B" w:rsidRPr="00505C9D" w:rsidRDefault="0086707B" w:rsidP="00B148D5">
            <w:pPr>
              <w:pStyle w:val="Tables11pt"/>
              <w:rPr>
                <w:sz w:val="20"/>
                <w:szCs w:val="20"/>
              </w:rPr>
            </w:pPr>
            <w:r>
              <w:rPr>
                <w:sz w:val="20"/>
                <w:szCs w:val="20"/>
              </w:rPr>
              <w:t>0.478</w:t>
            </w:r>
          </w:p>
        </w:tc>
        <w:tc>
          <w:tcPr>
            <w:tcW w:w="1417" w:type="dxa"/>
            <w:tcBorders>
              <w:top w:val="nil"/>
              <w:left w:val="nil"/>
              <w:bottom w:val="single" w:sz="4" w:space="0" w:color="auto"/>
              <w:right w:val="nil"/>
            </w:tcBorders>
            <w:shd w:val="clear" w:color="auto" w:fill="auto"/>
            <w:noWrap/>
            <w:vAlign w:val="bottom"/>
          </w:tcPr>
          <w:p w14:paraId="623B13D9" w14:textId="77777777" w:rsidR="0086707B" w:rsidRPr="00505C9D" w:rsidRDefault="0086707B" w:rsidP="00B148D5">
            <w:pPr>
              <w:pStyle w:val="Tables11pt"/>
              <w:rPr>
                <w:sz w:val="20"/>
                <w:szCs w:val="20"/>
              </w:rPr>
            </w:pPr>
            <w:r w:rsidRPr="00505C9D">
              <w:rPr>
                <w:sz w:val="20"/>
                <w:szCs w:val="20"/>
              </w:rPr>
              <w:t>0.</w:t>
            </w:r>
            <w:r>
              <w:rPr>
                <w:sz w:val="20"/>
                <w:szCs w:val="20"/>
              </w:rPr>
              <w:t>479</w:t>
            </w:r>
          </w:p>
        </w:tc>
        <w:tc>
          <w:tcPr>
            <w:tcW w:w="1276" w:type="dxa"/>
            <w:tcBorders>
              <w:top w:val="nil"/>
              <w:left w:val="nil"/>
              <w:bottom w:val="single" w:sz="4" w:space="0" w:color="auto"/>
              <w:right w:val="nil"/>
            </w:tcBorders>
            <w:vAlign w:val="bottom"/>
          </w:tcPr>
          <w:p w14:paraId="0F7554BC" w14:textId="77777777" w:rsidR="0086707B" w:rsidRPr="00505C9D" w:rsidRDefault="0086707B" w:rsidP="00B148D5">
            <w:pPr>
              <w:pStyle w:val="Tables11pt"/>
              <w:rPr>
                <w:sz w:val="20"/>
                <w:szCs w:val="20"/>
              </w:rPr>
            </w:pPr>
            <w:r w:rsidRPr="00505C9D">
              <w:rPr>
                <w:sz w:val="20"/>
                <w:szCs w:val="20"/>
              </w:rPr>
              <w:t>0.</w:t>
            </w:r>
            <w:r>
              <w:rPr>
                <w:sz w:val="20"/>
                <w:szCs w:val="20"/>
              </w:rPr>
              <w:t>479</w:t>
            </w:r>
          </w:p>
        </w:tc>
        <w:tc>
          <w:tcPr>
            <w:tcW w:w="1276" w:type="dxa"/>
            <w:tcBorders>
              <w:top w:val="nil"/>
              <w:left w:val="nil"/>
              <w:bottom w:val="single" w:sz="4" w:space="0" w:color="auto"/>
              <w:right w:val="nil"/>
            </w:tcBorders>
          </w:tcPr>
          <w:p w14:paraId="23406F2A" w14:textId="77777777" w:rsidR="0086707B" w:rsidRPr="00505C9D" w:rsidRDefault="0086707B" w:rsidP="00B148D5">
            <w:pPr>
              <w:pStyle w:val="Tables11pt"/>
              <w:rPr>
                <w:sz w:val="20"/>
                <w:szCs w:val="20"/>
              </w:rPr>
            </w:pPr>
          </w:p>
        </w:tc>
        <w:tc>
          <w:tcPr>
            <w:tcW w:w="1276" w:type="dxa"/>
            <w:tcBorders>
              <w:top w:val="nil"/>
              <w:left w:val="nil"/>
              <w:bottom w:val="single" w:sz="4" w:space="0" w:color="auto"/>
              <w:right w:val="nil"/>
            </w:tcBorders>
            <w:shd w:val="clear" w:color="auto" w:fill="auto"/>
            <w:noWrap/>
            <w:vAlign w:val="bottom"/>
          </w:tcPr>
          <w:p w14:paraId="79F560F1" w14:textId="77777777" w:rsidR="0086707B" w:rsidRPr="00505C9D" w:rsidRDefault="0086707B" w:rsidP="00B148D5">
            <w:pPr>
              <w:pStyle w:val="Tables11pt"/>
              <w:rPr>
                <w:sz w:val="20"/>
                <w:szCs w:val="20"/>
              </w:rPr>
            </w:pPr>
            <w:r w:rsidRPr="00505C9D">
              <w:rPr>
                <w:sz w:val="20"/>
                <w:szCs w:val="20"/>
              </w:rPr>
              <w:t>0.</w:t>
            </w:r>
            <w:r>
              <w:rPr>
                <w:sz w:val="20"/>
                <w:szCs w:val="20"/>
              </w:rPr>
              <w:t>478</w:t>
            </w:r>
          </w:p>
        </w:tc>
      </w:tr>
    </w:tbl>
    <w:p w14:paraId="4DE37D5D" w14:textId="77777777" w:rsidR="0086707B" w:rsidRPr="009D3C21" w:rsidRDefault="0086707B" w:rsidP="0086707B">
      <w:pPr>
        <w:ind w:firstLine="0"/>
        <w:jc w:val="both"/>
        <w:rPr>
          <w:sz w:val="20"/>
          <w:szCs w:val="20"/>
        </w:rPr>
      </w:pPr>
      <w:r w:rsidRPr="00A25889">
        <w:rPr>
          <w:sz w:val="20"/>
          <w:szCs w:val="20"/>
        </w:rPr>
        <w:t>*, **, *** refers to 10, 5 and 1 percent significance level</w:t>
      </w:r>
      <w:r w:rsidRPr="009D3C21">
        <w:rPr>
          <w:sz w:val="20"/>
          <w:szCs w:val="20"/>
        </w:rPr>
        <w:t xml:space="preserve"> respectively.  Figures in parentheses are het</w:t>
      </w:r>
      <w:r>
        <w:rPr>
          <w:sz w:val="20"/>
          <w:szCs w:val="20"/>
        </w:rPr>
        <w:t>e</w:t>
      </w:r>
      <w:r w:rsidRPr="009D3C21">
        <w:rPr>
          <w:sz w:val="20"/>
          <w:szCs w:val="20"/>
        </w:rPr>
        <w:t>rosceda</w:t>
      </w:r>
      <w:r>
        <w:rPr>
          <w:sz w:val="20"/>
          <w:szCs w:val="20"/>
        </w:rPr>
        <w:t>sticity</w:t>
      </w:r>
      <w:r w:rsidRPr="009D3C21">
        <w:rPr>
          <w:sz w:val="20"/>
          <w:szCs w:val="20"/>
        </w:rPr>
        <w:t xml:space="preserve">-robust t-values. </w:t>
      </w:r>
    </w:p>
    <w:p w14:paraId="2B4D2D4E" w14:textId="77777777" w:rsidR="0086707B" w:rsidRDefault="0086707B" w:rsidP="0086707B">
      <w:pPr>
        <w:spacing w:line="480" w:lineRule="auto"/>
        <w:jc w:val="both"/>
      </w:pPr>
    </w:p>
    <w:p w14:paraId="4ACFDEFB" w14:textId="77777777" w:rsidR="0086707B" w:rsidRPr="003A0195" w:rsidRDefault="0086707B" w:rsidP="0086707B">
      <w:pPr>
        <w:widowControl/>
        <w:ind w:firstLine="0"/>
        <w:rPr>
          <w:b/>
        </w:rPr>
      </w:pPr>
      <w:r>
        <w:rPr>
          <w:b/>
        </w:rPr>
        <w:br w:type="page"/>
      </w:r>
    </w:p>
    <w:p w14:paraId="23AA0E44" w14:textId="77777777" w:rsidR="0086707B" w:rsidRDefault="0086707B" w:rsidP="0086707B">
      <w:pPr>
        <w:spacing w:line="480" w:lineRule="auto"/>
        <w:jc w:val="both"/>
      </w:pPr>
    </w:p>
    <w:p w14:paraId="4DF1FA54" w14:textId="77777777" w:rsidR="0086707B" w:rsidRDefault="0086707B" w:rsidP="0086707B">
      <w:pPr>
        <w:ind w:firstLine="0"/>
        <w:jc w:val="both"/>
        <w:rPr>
          <w:b/>
        </w:rPr>
      </w:pPr>
      <w:r>
        <w:rPr>
          <w:b/>
        </w:rPr>
        <w:t>Figure 1: Theoretical Model</w:t>
      </w:r>
    </w:p>
    <w:p w14:paraId="571D481F" w14:textId="77777777" w:rsidR="0086707B" w:rsidRDefault="0086707B" w:rsidP="0086707B">
      <w:pPr>
        <w:ind w:firstLine="0"/>
        <w:jc w:val="both"/>
        <w:rPr>
          <w:b/>
        </w:rPr>
      </w:pPr>
    </w:p>
    <w:p w14:paraId="1964C4C6" w14:textId="77777777" w:rsidR="0086707B" w:rsidRDefault="0086707B" w:rsidP="0086707B">
      <w:pPr>
        <w:ind w:firstLine="0"/>
        <w:jc w:val="both"/>
        <w:rPr>
          <w:b/>
        </w:rPr>
      </w:pPr>
    </w:p>
    <w:p w14:paraId="49DDAEE7" w14:textId="77777777" w:rsidR="0086707B" w:rsidRDefault="0086707B" w:rsidP="0086707B">
      <w:pPr>
        <w:ind w:firstLine="0"/>
        <w:jc w:val="both"/>
        <w:rPr>
          <w:sz w:val="20"/>
          <w:szCs w:val="20"/>
        </w:rPr>
      </w:pPr>
      <w:r w:rsidRPr="00CA731C">
        <w:rPr>
          <w:noProof/>
          <w:lang w:val="en-US"/>
        </w:rPr>
        <w:drawing>
          <wp:inline distT="0" distB="0" distL="0" distR="0" wp14:anchorId="3371C150" wp14:editId="2E11DB54">
            <wp:extent cx="5486400" cy="3312033"/>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3312033"/>
                    </a:xfrm>
                    <a:prstGeom prst="rect">
                      <a:avLst/>
                    </a:prstGeom>
                    <a:noFill/>
                    <a:ln>
                      <a:noFill/>
                    </a:ln>
                  </pic:spPr>
                </pic:pic>
              </a:graphicData>
            </a:graphic>
          </wp:inline>
        </w:drawing>
      </w:r>
    </w:p>
    <w:p w14:paraId="588BBEFD" w14:textId="77777777" w:rsidR="0086707B" w:rsidRPr="00E41F45" w:rsidRDefault="0086707B" w:rsidP="0086707B">
      <w:pPr>
        <w:ind w:firstLine="0"/>
        <w:jc w:val="both"/>
        <w:rPr>
          <w:sz w:val="20"/>
          <w:szCs w:val="20"/>
        </w:rPr>
      </w:pPr>
    </w:p>
    <w:p w14:paraId="042ADF68" w14:textId="77777777" w:rsidR="00D747F7" w:rsidRPr="0086707B" w:rsidRDefault="00D747F7" w:rsidP="0086707B">
      <w:pPr>
        <w:widowControl/>
        <w:ind w:firstLine="0"/>
      </w:pPr>
      <w:bookmarkStart w:id="0" w:name="_GoBack"/>
      <w:bookmarkEnd w:id="0"/>
    </w:p>
    <w:sectPr w:rsidR="00D747F7" w:rsidRPr="0086707B" w:rsidSect="001246AC">
      <w:headerReference w:type="default" r:id="rId24"/>
      <w:headerReference w:type="first" r:id="rId25"/>
      <w:pgSz w:w="12240" w:h="15840"/>
      <w:pgMar w:top="1440" w:right="1800" w:bottom="1440" w:left="1800" w:header="72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5DF64F" w14:textId="77777777" w:rsidR="0085074A" w:rsidRDefault="0085074A">
      <w:r>
        <w:separator/>
      </w:r>
    </w:p>
  </w:endnote>
  <w:endnote w:type="continuationSeparator" w:id="0">
    <w:p w14:paraId="7C051125" w14:textId="77777777" w:rsidR="0085074A" w:rsidRDefault="0085074A">
      <w:r>
        <w:continuationSeparator/>
      </w:r>
    </w:p>
  </w:endnote>
  <w:endnote w:id="1">
    <w:p w14:paraId="3EE7ECD8" w14:textId="77777777" w:rsidR="0086707B" w:rsidRPr="00505C9D" w:rsidRDefault="0086707B" w:rsidP="0086707B">
      <w:pPr>
        <w:pStyle w:val="EndnoteText"/>
        <w:rPr>
          <w:sz w:val="16"/>
          <w:szCs w:val="16"/>
        </w:rPr>
      </w:pPr>
      <w:r>
        <w:rPr>
          <w:rStyle w:val="EndnoteReference"/>
        </w:rPr>
        <w:endnoteRef/>
      </w:r>
      <w:r w:rsidRPr="00505C9D">
        <w:rPr>
          <w:sz w:val="16"/>
          <w:szCs w:val="16"/>
        </w:rPr>
        <w:t>Additive indices are widely used by empirical researchers (</w:t>
      </w:r>
      <w:r>
        <w:rPr>
          <w:sz w:val="16"/>
          <w:szCs w:val="16"/>
        </w:rPr>
        <w:t xml:space="preserve">e.g., </w:t>
      </w:r>
      <w:r w:rsidRPr="00505C9D">
        <w:rPr>
          <w:sz w:val="16"/>
          <w:szCs w:val="16"/>
        </w:rPr>
        <w:t>Gompers et al., 2003; Bebchuk et al., 2009).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charset w:val="81"/>
    <w:family w:val="roman"/>
    <w:pitch w:val="variable"/>
    <w:sig w:usb0="B00002AF" w:usb1="69D77CFB" w:usb2="00000030" w:usb3="00000000" w:csb0="0008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맑은 고딕">
    <w:altName w:val="굴림"/>
    <w:charset w:val="81"/>
    <w:family w:val="modern"/>
    <w:pitch w:val="variable"/>
    <w:sig w:usb0="9000002F" w:usb1="29D77CFB" w:usb2="00000012" w:usb3="00000000" w:csb0="00080001" w:csb1="00000000"/>
  </w:font>
  <w:font w:name="Calibri">
    <w:panose1 w:val="020F0502020204030204"/>
    <w:charset w:val="00"/>
    <w:family w:val="auto"/>
    <w:pitch w:val="variable"/>
    <w:sig w:usb0="E10002FF" w:usb1="4000ACFF" w:usb2="00000009" w:usb3="00000000" w:csb0="0000019F" w:csb1="00000000"/>
  </w:font>
  <w:font w:name="Verdana">
    <w:panose1 w:val="020B0604030504040204"/>
    <w:charset w:val="00"/>
    <w:family w:val="auto"/>
    <w:pitch w:val="variable"/>
    <w:sig w:usb0="A10006FF" w:usb1="4000205B" w:usb2="00000010" w:usb3="00000000" w:csb0="0000019F" w:csb1="00000000"/>
  </w:font>
  <w:font w:name="Tahoma">
    <w:panose1 w:val="020B0604030504040204"/>
    <w:charset w:val="00"/>
    <w:family w:val="auto"/>
    <w:pitch w:val="variable"/>
    <w:sig w:usb0="00000003" w:usb1="00000000" w:usb2="00000000" w:usb3="00000000" w:csb0="00000001" w:csb1="00000000"/>
  </w:font>
  <w:font w:name="Malgun Gothic">
    <w:panose1 w:val="00000000000000000000"/>
    <w:charset w:val="4D"/>
    <w:family w:val="roman"/>
    <w:notTrueType/>
    <w:pitch w:val="default"/>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Melior">
    <w:altName w:val="Cambria"/>
    <w:panose1 w:val="00000000000000000000"/>
    <w:charset w:val="00"/>
    <w:family w:val="roman"/>
    <w:notTrueType/>
    <w:pitch w:val="default"/>
    <w:sig w:usb0="00000003" w:usb1="00000000" w:usb2="00000000" w:usb3="00000000" w:csb0="00000001" w:csb1="00000000"/>
  </w:font>
  <w:font w:name="Melior-BoldItalic">
    <w:altName w:val="Cambria"/>
    <w:panose1 w:val="00000000000000000000"/>
    <w:charset w:val="00"/>
    <w:family w:val="roman"/>
    <w:notTrueType/>
    <w:pitch w:val="default"/>
    <w:sig w:usb0="00000003" w:usb1="00000000" w:usb2="00000000" w:usb3="00000000" w:csb0="00000001" w:csb1="00000000"/>
  </w:font>
  <w:font w:name="AdvTT6120e2aa">
    <w:altName w:val="Cambria"/>
    <w:panose1 w:val="00000000000000000000"/>
    <w:charset w:val="00"/>
    <w:family w:val="roman"/>
    <w:notTrueType/>
    <w:pitch w:val="default"/>
    <w:sig w:usb0="00000003" w:usb1="00000000" w:usb2="00000000" w:usb3="00000000" w:csb0="00000001" w:csb1="00000000"/>
  </w:font>
  <w:font w:name="MS Gothic">
    <w:altName w:val="ＭＳ ゴシック"/>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17E101" w14:textId="77777777" w:rsidR="0085074A" w:rsidRDefault="0085074A">
      <w:r>
        <w:separator/>
      </w:r>
    </w:p>
  </w:footnote>
  <w:footnote w:type="continuationSeparator" w:id="0">
    <w:p w14:paraId="64B1B4AD" w14:textId="77777777" w:rsidR="0085074A" w:rsidRDefault="0085074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BD9BAB" w14:textId="77777777" w:rsidR="0085074A" w:rsidRPr="00AF5012" w:rsidRDefault="008D1763" w:rsidP="000A3D01">
    <w:pPr>
      <w:pStyle w:val="Header"/>
      <w:tabs>
        <w:tab w:val="clear" w:pos="9026"/>
        <w:tab w:val="right" w:pos="8647"/>
      </w:tabs>
      <w:ind w:firstLine="0"/>
      <w:rPr>
        <w:sz w:val="22"/>
        <w:szCs w:val="22"/>
      </w:rPr>
    </w:pPr>
    <w:r w:rsidRPr="00AF5012">
      <w:rPr>
        <w:rStyle w:val="PageNumber"/>
        <w:sz w:val="22"/>
        <w:szCs w:val="22"/>
      </w:rPr>
      <w:fldChar w:fldCharType="begin"/>
    </w:r>
    <w:r w:rsidR="0085074A" w:rsidRPr="00AF5012">
      <w:rPr>
        <w:rStyle w:val="PageNumber"/>
        <w:sz w:val="22"/>
        <w:szCs w:val="22"/>
      </w:rPr>
      <w:instrText xml:space="preserve"> PAGE </w:instrText>
    </w:r>
    <w:r w:rsidRPr="00AF5012">
      <w:rPr>
        <w:rStyle w:val="PageNumber"/>
        <w:sz w:val="22"/>
        <w:szCs w:val="22"/>
      </w:rPr>
      <w:fldChar w:fldCharType="separate"/>
    </w:r>
    <w:r w:rsidR="0086707B">
      <w:rPr>
        <w:rStyle w:val="PageNumber"/>
        <w:noProof/>
        <w:sz w:val="22"/>
        <w:szCs w:val="22"/>
      </w:rPr>
      <w:t>2</w:t>
    </w:r>
    <w:r w:rsidRPr="00AF5012">
      <w:rPr>
        <w:rStyle w:val="PageNumber"/>
        <w:sz w:val="22"/>
        <w:szCs w:val="22"/>
      </w:rPr>
      <w:fldChar w:fldCharType="end"/>
    </w:r>
    <w:r w:rsidR="0085074A" w:rsidRPr="00AF5012">
      <w:rPr>
        <w:rStyle w:val="PageNumber"/>
        <w:sz w:val="22"/>
        <w:szCs w:val="22"/>
      </w:rPr>
      <w:tab/>
    </w:r>
    <w:r w:rsidR="0085074A" w:rsidRPr="00AF5012">
      <w:rPr>
        <w:rStyle w:val="PageNumber"/>
        <w:sz w:val="22"/>
        <w:szCs w:val="22"/>
      </w:rPr>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5D9549" w14:textId="77777777" w:rsidR="0085074A" w:rsidRPr="00AF5012" w:rsidRDefault="0085074A" w:rsidP="005607FA">
    <w:pPr>
      <w:pStyle w:val="Header"/>
      <w:tabs>
        <w:tab w:val="clear" w:pos="9026"/>
        <w:tab w:val="right" w:pos="8647"/>
      </w:tabs>
      <w:ind w:firstLine="0"/>
      <w:rPr>
        <w:sz w:val="22"/>
        <w:szCs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CB56299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Symbo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Symbo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5F40A4"/>
    <w:multiLevelType w:val="hybridMultilevel"/>
    <w:tmpl w:val="89F899E2"/>
    <w:lvl w:ilvl="0" w:tplc="DA663688">
      <w:numFmt w:val="bullet"/>
      <w:lvlText w:val="-"/>
      <w:lvlJc w:val="left"/>
      <w:pPr>
        <w:ind w:left="720" w:hanging="360"/>
      </w:pPr>
      <w:rPr>
        <w:rFonts w:ascii="Times New Roman" w:eastAsia="Batang"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A6C0ACD"/>
    <w:multiLevelType w:val="hybridMultilevel"/>
    <w:tmpl w:val="1A4C369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AE6861"/>
    <w:multiLevelType w:val="hybridMultilevel"/>
    <w:tmpl w:val="47B4553C"/>
    <w:lvl w:ilvl="0" w:tplc="F9BC25C4">
      <w:start w:val="5"/>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4E05AE"/>
    <w:multiLevelType w:val="hybridMultilevel"/>
    <w:tmpl w:val="5B8206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FB2A25"/>
    <w:multiLevelType w:val="hybridMultilevel"/>
    <w:tmpl w:val="FE0CDAD2"/>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2B9374BF"/>
    <w:multiLevelType w:val="multilevel"/>
    <w:tmpl w:val="26B2C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DC95022"/>
    <w:multiLevelType w:val="hybridMultilevel"/>
    <w:tmpl w:val="2240322E"/>
    <w:lvl w:ilvl="0" w:tplc="18C6A5E0">
      <w:start w:val="18"/>
      <w:numFmt w:val="bullet"/>
      <w:lvlText w:val="-"/>
      <w:lvlJc w:val="left"/>
      <w:pPr>
        <w:tabs>
          <w:tab w:val="num" w:pos="720"/>
        </w:tabs>
        <w:ind w:left="720" w:hanging="360"/>
      </w:pPr>
      <w:rPr>
        <w:rFonts w:ascii="Times New Roman" w:eastAsia="Times New Roman" w:hAnsi="Times New Roman" w:cs="Times New Roman" w:hint="default"/>
      </w:rPr>
    </w:lvl>
    <w:lvl w:ilvl="1" w:tplc="7B863F06">
      <w:start w:val="1"/>
      <w:numFmt w:val="bullet"/>
      <w:lvlText w:val=""/>
      <w:lvlJc w:val="left"/>
      <w:pPr>
        <w:tabs>
          <w:tab w:val="num" w:pos="1440"/>
        </w:tabs>
        <w:ind w:left="1440" w:hanging="360"/>
      </w:pPr>
      <w:rPr>
        <w:rFonts w:ascii="Wingdings" w:eastAsia="Times New Roman" w:hAnsi="Wingdings" w:cs="Times New Roman"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8">
    <w:nsid w:val="64944E4B"/>
    <w:multiLevelType w:val="hybridMultilevel"/>
    <w:tmpl w:val="9DCAFCF2"/>
    <w:lvl w:ilvl="0" w:tplc="7E12124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678C25C2"/>
    <w:multiLevelType w:val="hybridMultilevel"/>
    <w:tmpl w:val="627CC7EA"/>
    <w:lvl w:ilvl="0" w:tplc="AFC22B88">
      <w:start w:val="18"/>
      <w:numFmt w:val="bullet"/>
      <w:lvlText w:val="-"/>
      <w:lvlJc w:val="left"/>
      <w:pPr>
        <w:tabs>
          <w:tab w:val="num" w:pos="720"/>
        </w:tabs>
        <w:ind w:left="720" w:hanging="360"/>
      </w:pPr>
      <w:rPr>
        <w:rFonts w:ascii="Times New Roman" w:eastAsia="Times New Roman" w:hAnsi="Times New Roman" w:cs="Times New Roman"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0">
    <w:nsid w:val="79A7424A"/>
    <w:multiLevelType w:val="hybridMultilevel"/>
    <w:tmpl w:val="A1FE3C02"/>
    <w:lvl w:ilvl="0" w:tplc="EAA0B9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3"/>
  </w:num>
  <w:num w:numId="5">
    <w:abstractNumId w:val="0"/>
  </w:num>
  <w:num w:numId="6">
    <w:abstractNumId w:val="2"/>
  </w:num>
  <w:num w:numId="7">
    <w:abstractNumId w:val="10"/>
  </w:num>
  <w:num w:numId="8">
    <w:abstractNumId w:val="4"/>
  </w:num>
  <w:num w:numId="9">
    <w:abstractNumId w:val="1"/>
  </w:num>
  <w:num w:numId="10">
    <w:abstractNumId w:val="5"/>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E8A"/>
    <w:rsid w:val="00000FC4"/>
    <w:rsid w:val="00005DEB"/>
    <w:rsid w:val="00014807"/>
    <w:rsid w:val="00021550"/>
    <w:rsid w:val="00021B01"/>
    <w:rsid w:val="00023707"/>
    <w:rsid w:val="00025EB8"/>
    <w:rsid w:val="000325F1"/>
    <w:rsid w:val="0003353B"/>
    <w:rsid w:val="00033F3D"/>
    <w:rsid w:val="00033F50"/>
    <w:rsid w:val="00033FC1"/>
    <w:rsid w:val="000359E7"/>
    <w:rsid w:val="00036F08"/>
    <w:rsid w:val="00040435"/>
    <w:rsid w:val="000410FE"/>
    <w:rsid w:val="0004241D"/>
    <w:rsid w:val="000453C0"/>
    <w:rsid w:val="00051C5E"/>
    <w:rsid w:val="00053CF2"/>
    <w:rsid w:val="000603C7"/>
    <w:rsid w:val="00075227"/>
    <w:rsid w:val="00076E03"/>
    <w:rsid w:val="00076E65"/>
    <w:rsid w:val="000A1B1E"/>
    <w:rsid w:val="000A1E2E"/>
    <w:rsid w:val="000A2C0F"/>
    <w:rsid w:val="000A3552"/>
    <w:rsid w:val="000A3D01"/>
    <w:rsid w:val="000A40CA"/>
    <w:rsid w:val="000A635F"/>
    <w:rsid w:val="000A6F24"/>
    <w:rsid w:val="000A776A"/>
    <w:rsid w:val="000B1BB5"/>
    <w:rsid w:val="000B5FFE"/>
    <w:rsid w:val="000B7E16"/>
    <w:rsid w:val="000C75D5"/>
    <w:rsid w:val="000E040C"/>
    <w:rsid w:val="000E10A0"/>
    <w:rsid w:val="000E2E53"/>
    <w:rsid w:val="000E725F"/>
    <w:rsid w:val="000F03EB"/>
    <w:rsid w:val="000F228C"/>
    <w:rsid w:val="000F3365"/>
    <w:rsid w:val="000F3BEE"/>
    <w:rsid w:val="000F4F97"/>
    <w:rsid w:val="000F688B"/>
    <w:rsid w:val="000F749A"/>
    <w:rsid w:val="00106670"/>
    <w:rsid w:val="00106F05"/>
    <w:rsid w:val="00110AF3"/>
    <w:rsid w:val="00113274"/>
    <w:rsid w:val="00113981"/>
    <w:rsid w:val="00123F33"/>
    <w:rsid w:val="001246AC"/>
    <w:rsid w:val="0013012D"/>
    <w:rsid w:val="001326DB"/>
    <w:rsid w:val="00132E87"/>
    <w:rsid w:val="00136750"/>
    <w:rsid w:val="001458B9"/>
    <w:rsid w:val="00150AD1"/>
    <w:rsid w:val="001531FE"/>
    <w:rsid w:val="00153A88"/>
    <w:rsid w:val="001543F6"/>
    <w:rsid w:val="001545E0"/>
    <w:rsid w:val="00160365"/>
    <w:rsid w:val="0016265E"/>
    <w:rsid w:val="00171A6C"/>
    <w:rsid w:val="00172146"/>
    <w:rsid w:val="00177342"/>
    <w:rsid w:val="00177941"/>
    <w:rsid w:val="00180E87"/>
    <w:rsid w:val="0018251F"/>
    <w:rsid w:val="00183F2A"/>
    <w:rsid w:val="001964B8"/>
    <w:rsid w:val="001A63C8"/>
    <w:rsid w:val="001A6652"/>
    <w:rsid w:val="001B20C7"/>
    <w:rsid w:val="001C046E"/>
    <w:rsid w:val="001C4337"/>
    <w:rsid w:val="001C5321"/>
    <w:rsid w:val="001C7DCC"/>
    <w:rsid w:val="001D1382"/>
    <w:rsid w:val="001D4656"/>
    <w:rsid w:val="001D48AB"/>
    <w:rsid w:val="001E04D0"/>
    <w:rsid w:val="001E354D"/>
    <w:rsid w:val="001E4E61"/>
    <w:rsid w:val="001E62FE"/>
    <w:rsid w:val="001F0D28"/>
    <w:rsid w:val="001F1765"/>
    <w:rsid w:val="001F3683"/>
    <w:rsid w:val="001F4587"/>
    <w:rsid w:val="0020076B"/>
    <w:rsid w:val="00201E6A"/>
    <w:rsid w:val="0020403D"/>
    <w:rsid w:val="002044B3"/>
    <w:rsid w:val="002061DB"/>
    <w:rsid w:val="00207256"/>
    <w:rsid w:val="00207AFE"/>
    <w:rsid w:val="00212626"/>
    <w:rsid w:val="002146CF"/>
    <w:rsid w:val="00214B1A"/>
    <w:rsid w:val="002170C3"/>
    <w:rsid w:val="00220A4B"/>
    <w:rsid w:val="002235CE"/>
    <w:rsid w:val="0022486A"/>
    <w:rsid w:val="00227745"/>
    <w:rsid w:val="0024066E"/>
    <w:rsid w:val="00246A7D"/>
    <w:rsid w:val="002524B8"/>
    <w:rsid w:val="0025411D"/>
    <w:rsid w:val="00256A3B"/>
    <w:rsid w:val="002573C9"/>
    <w:rsid w:val="00260344"/>
    <w:rsid w:val="0026113F"/>
    <w:rsid w:val="00262E3B"/>
    <w:rsid w:val="002732BF"/>
    <w:rsid w:val="00274B3D"/>
    <w:rsid w:val="002819F7"/>
    <w:rsid w:val="0028450A"/>
    <w:rsid w:val="002873B3"/>
    <w:rsid w:val="00292523"/>
    <w:rsid w:val="002926C9"/>
    <w:rsid w:val="0029330F"/>
    <w:rsid w:val="0029626A"/>
    <w:rsid w:val="00297373"/>
    <w:rsid w:val="002A379E"/>
    <w:rsid w:val="002A71E0"/>
    <w:rsid w:val="002C1342"/>
    <w:rsid w:val="002C349C"/>
    <w:rsid w:val="002C409A"/>
    <w:rsid w:val="002C51AD"/>
    <w:rsid w:val="002D0203"/>
    <w:rsid w:val="002D770D"/>
    <w:rsid w:val="002E3F59"/>
    <w:rsid w:val="002F307E"/>
    <w:rsid w:val="002F3BC6"/>
    <w:rsid w:val="00301A1E"/>
    <w:rsid w:val="0030328F"/>
    <w:rsid w:val="00304645"/>
    <w:rsid w:val="003048B4"/>
    <w:rsid w:val="00312F78"/>
    <w:rsid w:val="00315BBA"/>
    <w:rsid w:val="00315FB1"/>
    <w:rsid w:val="00317E4C"/>
    <w:rsid w:val="00322CD6"/>
    <w:rsid w:val="00324139"/>
    <w:rsid w:val="003268BF"/>
    <w:rsid w:val="00327C66"/>
    <w:rsid w:val="0033274F"/>
    <w:rsid w:val="003342C2"/>
    <w:rsid w:val="00343CA8"/>
    <w:rsid w:val="003461B6"/>
    <w:rsid w:val="00347A12"/>
    <w:rsid w:val="00351B47"/>
    <w:rsid w:val="003529DD"/>
    <w:rsid w:val="00353DC0"/>
    <w:rsid w:val="0035622B"/>
    <w:rsid w:val="00361291"/>
    <w:rsid w:val="0036218C"/>
    <w:rsid w:val="00363FF9"/>
    <w:rsid w:val="00364D35"/>
    <w:rsid w:val="0036576C"/>
    <w:rsid w:val="00366298"/>
    <w:rsid w:val="00366B65"/>
    <w:rsid w:val="003732A6"/>
    <w:rsid w:val="00374BDC"/>
    <w:rsid w:val="00382579"/>
    <w:rsid w:val="0038277E"/>
    <w:rsid w:val="003840E7"/>
    <w:rsid w:val="00386A41"/>
    <w:rsid w:val="00395B9B"/>
    <w:rsid w:val="003A0195"/>
    <w:rsid w:val="003A2144"/>
    <w:rsid w:val="003A40BC"/>
    <w:rsid w:val="003B1D57"/>
    <w:rsid w:val="003C19CC"/>
    <w:rsid w:val="003C2115"/>
    <w:rsid w:val="003D582B"/>
    <w:rsid w:val="003D7504"/>
    <w:rsid w:val="003E1183"/>
    <w:rsid w:val="003E224D"/>
    <w:rsid w:val="003E31D2"/>
    <w:rsid w:val="003E5D65"/>
    <w:rsid w:val="003F2A23"/>
    <w:rsid w:val="003F2FF3"/>
    <w:rsid w:val="003F5A37"/>
    <w:rsid w:val="00400A7C"/>
    <w:rsid w:val="00407C7C"/>
    <w:rsid w:val="004102A2"/>
    <w:rsid w:val="004107BF"/>
    <w:rsid w:val="00410A2A"/>
    <w:rsid w:val="00411C37"/>
    <w:rsid w:val="00422091"/>
    <w:rsid w:val="0042228D"/>
    <w:rsid w:val="004228A8"/>
    <w:rsid w:val="004254EF"/>
    <w:rsid w:val="00425DD1"/>
    <w:rsid w:val="00426F00"/>
    <w:rsid w:val="00427178"/>
    <w:rsid w:val="00427B88"/>
    <w:rsid w:val="004304D7"/>
    <w:rsid w:val="00430931"/>
    <w:rsid w:val="00431081"/>
    <w:rsid w:val="00432BF8"/>
    <w:rsid w:val="00447F4C"/>
    <w:rsid w:val="0045302D"/>
    <w:rsid w:val="00453A19"/>
    <w:rsid w:val="00455A2D"/>
    <w:rsid w:val="00456697"/>
    <w:rsid w:val="004567E3"/>
    <w:rsid w:val="00456C2C"/>
    <w:rsid w:val="004579FA"/>
    <w:rsid w:val="004632EF"/>
    <w:rsid w:val="00467FBF"/>
    <w:rsid w:val="00470E16"/>
    <w:rsid w:val="004742D3"/>
    <w:rsid w:val="00474AE8"/>
    <w:rsid w:val="00481A26"/>
    <w:rsid w:val="004839FA"/>
    <w:rsid w:val="00484A14"/>
    <w:rsid w:val="00485CB5"/>
    <w:rsid w:val="00494F36"/>
    <w:rsid w:val="004B1722"/>
    <w:rsid w:val="004B184A"/>
    <w:rsid w:val="004B49C9"/>
    <w:rsid w:val="004B5706"/>
    <w:rsid w:val="004B7A80"/>
    <w:rsid w:val="004C0D61"/>
    <w:rsid w:val="004C1D11"/>
    <w:rsid w:val="004C42FE"/>
    <w:rsid w:val="004C59BC"/>
    <w:rsid w:val="004C5BFB"/>
    <w:rsid w:val="004D274A"/>
    <w:rsid w:val="004D501C"/>
    <w:rsid w:val="004E14C8"/>
    <w:rsid w:val="004E2454"/>
    <w:rsid w:val="004E60B7"/>
    <w:rsid w:val="004F03DB"/>
    <w:rsid w:val="004F3C4B"/>
    <w:rsid w:val="004F7991"/>
    <w:rsid w:val="00500D3C"/>
    <w:rsid w:val="00501292"/>
    <w:rsid w:val="0050198F"/>
    <w:rsid w:val="00505C9D"/>
    <w:rsid w:val="00510E34"/>
    <w:rsid w:val="0052333B"/>
    <w:rsid w:val="0052466C"/>
    <w:rsid w:val="00535D88"/>
    <w:rsid w:val="00541558"/>
    <w:rsid w:val="00543D11"/>
    <w:rsid w:val="005442D8"/>
    <w:rsid w:val="0054724C"/>
    <w:rsid w:val="00547D78"/>
    <w:rsid w:val="005500D4"/>
    <w:rsid w:val="00550EE0"/>
    <w:rsid w:val="005545E8"/>
    <w:rsid w:val="005548DA"/>
    <w:rsid w:val="00560076"/>
    <w:rsid w:val="005607FA"/>
    <w:rsid w:val="005706AB"/>
    <w:rsid w:val="00572187"/>
    <w:rsid w:val="00572479"/>
    <w:rsid w:val="00581948"/>
    <w:rsid w:val="00587517"/>
    <w:rsid w:val="00592E67"/>
    <w:rsid w:val="005964A5"/>
    <w:rsid w:val="00597E8A"/>
    <w:rsid w:val="005A0DD4"/>
    <w:rsid w:val="005A43CF"/>
    <w:rsid w:val="005A74F5"/>
    <w:rsid w:val="005B0D29"/>
    <w:rsid w:val="005B0ED0"/>
    <w:rsid w:val="005B156C"/>
    <w:rsid w:val="005B3875"/>
    <w:rsid w:val="005C6E00"/>
    <w:rsid w:val="005D034C"/>
    <w:rsid w:val="005D7AD3"/>
    <w:rsid w:val="005E0CA2"/>
    <w:rsid w:val="005E1A68"/>
    <w:rsid w:val="005F59E3"/>
    <w:rsid w:val="00602D1B"/>
    <w:rsid w:val="006032DC"/>
    <w:rsid w:val="0060490F"/>
    <w:rsid w:val="00605E84"/>
    <w:rsid w:val="00606EB0"/>
    <w:rsid w:val="006107BA"/>
    <w:rsid w:val="00612435"/>
    <w:rsid w:val="0061385D"/>
    <w:rsid w:val="0062403A"/>
    <w:rsid w:val="0062492B"/>
    <w:rsid w:val="00630D97"/>
    <w:rsid w:val="0063191A"/>
    <w:rsid w:val="00635E35"/>
    <w:rsid w:val="00637092"/>
    <w:rsid w:val="006407E3"/>
    <w:rsid w:val="006424E9"/>
    <w:rsid w:val="0064464D"/>
    <w:rsid w:val="00645032"/>
    <w:rsid w:val="00652A85"/>
    <w:rsid w:val="00653947"/>
    <w:rsid w:val="00653B10"/>
    <w:rsid w:val="0066263D"/>
    <w:rsid w:val="00663D47"/>
    <w:rsid w:val="00667736"/>
    <w:rsid w:val="00670553"/>
    <w:rsid w:val="0067126F"/>
    <w:rsid w:val="00672F35"/>
    <w:rsid w:val="006733F2"/>
    <w:rsid w:val="00677674"/>
    <w:rsid w:val="00686C5E"/>
    <w:rsid w:val="006879C0"/>
    <w:rsid w:val="00691F7A"/>
    <w:rsid w:val="006940A0"/>
    <w:rsid w:val="00695263"/>
    <w:rsid w:val="006A1874"/>
    <w:rsid w:val="006B07DA"/>
    <w:rsid w:val="006B3C46"/>
    <w:rsid w:val="006B5E3E"/>
    <w:rsid w:val="006B7FDE"/>
    <w:rsid w:val="006C40DD"/>
    <w:rsid w:val="006C4EF9"/>
    <w:rsid w:val="006C6A79"/>
    <w:rsid w:val="006D0A4A"/>
    <w:rsid w:val="006D46E1"/>
    <w:rsid w:val="006D4FFB"/>
    <w:rsid w:val="006E5B20"/>
    <w:rsid w:val="006F0956"/>
    <w:rsid w:val="006F1F93"/>
    <w:rsid w:val="006F380A"/>
    <w:rsid w:val="006F50E9"/>
    <w:rsid w:val="006F7E41"/>
    <w:rsid w:val="007004C5"/>
    <w:rsid w:val="00700ADD"/>
    <w:rsid w:val="00701C39"/>
    <w:rsid w:val="007021C0"/>
    <w:rsid w:val="00702D61"/>
    <w:rsid w:val="007130C5"/>
    <w:rsid w:val="00713490"/>
    <w:rsid w:val="00716708"/>
    <w:rsid w:val="00720A80"/>
    <w:rsid w:val="00721786"/>
    <w:rsid w:val="007249ED"/>
    <w:rsid w:val="00724EFE"/>
    <w:rsid w:val="0072583B"/>
    <w:rsid w:val="00727603"/>
    <w:rsid w:val="00736FBE"/>
    <w:rsid w:val="00745DF8"/>
    <w:rsid w:val="00746F9C"/>
    <w:rsid w:val="00751B92"/>
    <w:rsid w:val="0075455A"/>
    <w:rsid w:val="0077005B"/>
    <w:rsid w:val="00770203"/>
    <w:rsid w:val="00772C2C"/>
    <w:rsid w:val="0077524B"/>
    <w:rsid w:val="00776516"/>
    <w:rsid w:val="0078122F"/>
    <w:rsid w:val="007820FC"/>
    <w:rsid w:val="00783D53"/>
    <w:rsid w:val="00795A00"/>
    <w:rsid w:val="00797C90"/>
    <w:rsid w:val="007A4363"/>
    <w:rsid w:val="007A5281"/>
    <w:rsid w:val="007A7D5B"/>
    <w:rsid w:val="007B0F84"/>
    <w:rsid w:val="007B1161"/>
    <w:rsid w:val="007B2E96"/>
    <w:rsid w:val="007B56CE"/>
    <w:rsid w:val="007C416B"/>
    <w:rsid w:val="007D33FA"/>
    <w:rsid w:val="007D6CB7"/>
    <w:rsid w:val="007F33C4"/>
    <w:rsid w:val="007F5B37"/>
    <w:rsid w:val="00804657"/>
    <w:rsid w:val="00805CD1"/>
    <w:rsid w:val="00806607"/>
    <w:rsid w:val="008068E6"/>
    <w:rsid w:val="00806B84"/>
    <w:rsid w:val="00810782"/>
    <w:rsid w:val="0081672F"/>
    <w:rsid w:val="00820DB5"/>
    <w:rsid w:val="00821770"/>
    <w:rsid w:val="00824519"/>
    <w:rsid w:val="00825269"/>
    <w:rsid w:val="0083200B"/>
    <w:rsid w:val="00832823"/>
    <w:rsid w:val="008332CA"/>
    <w:rsid w:val="00840E70"/>
    <w:rsid w:val="00841E36"/>
    <w:rsid w:val="0085074A"/>
    <w:rsid w:val="0086707B"/>
    <w:rsid w:val="008702EA"/>
    <w:rsid w:val="0087292F"/>
    <w:rsid w:val="00872996"/>
    <w:rsid w:val="008745DD"/>
    <w:rsid w:val="00876CA6"/>
    <w:rsid w:val="00881C6C"/>
    <w:rsid w:val="00881E96"/>
    <w:rsid w:val="008864C0"/>
    <w:rsid w:val="00886540"/>
    <w:rsid w:val="0088725F"/>
    <w:rsid w:val="0089204D"/>
    <w:rsid w:val="00893EC1"/>
    <w:rsid w:val="00895490"/>
    <w:rsid w:val="008A03C5"/>
    <w:rsid w:val="008A37F8"/>
    <w:rsid w:val="008B06EE"/>
    <w:rsid w:val="008B19E9"/>
    <w:rsid w:val="008B38A0"/>
    <w:rsid w:val="008B75E1"/>
    <w:rsid w:val="008C552E"/>
    <w:rsid w:val="008C603E"/>
    <w:rsid w:val="008C681B"/>
    <w:rsid w:val="008D0435"/>
    <w:rsid w:val="008D0B76"/>
    <w:rsid w:val="008D1763"/>
    <w:rsid w:val="008D44FA"/>
    <w:rsid w:val="008D4A84"/>
    <w:rsid w:val="008D62F3"/>
    <w:rsid w:val="008E1488"/>
    <w:rsid w:val="008E2355"/>
    <w:rsid w:val="008F3BB4"/>
    <w:rsid w:val="00902D32"/>
    <w:rsid w:val="00906F79"/>
    <w:rsid w:val="00914CBD"/>
    <w:rsid w:val="009201EE"/>
    <w:rsid w:val="00920FD6"/>
    <w:rsid w:val="00930FE4"/>
    <w:rsid w:val="00931B4F"/>
    <w:rsid w:val="009378D3"/>
    <w:rsid w:val="00940D5D"/>
    <w:rsid w:val="0094165C"/>
    <w:rsid w:val="00946449"/>
    <w:rsid w:val="00951800"/>
    <w:rsid w:val="00953222"/>
    <w:rsid w:val="00953811"/>
    <w:rsid w:val="00953E64"/>
    <w:rsid w:val="00955D5A"/>
    <w:rsid w:val="00957454"/>
    <w:rsid w:val="00961CF4"/>
    <w:rsid w:val="0098426A"/>
    <w:rsid w:val="0098537D"/>
    <w:rsid w:val="00986545"/>
    <w:rsid w:val="009952EF"/>
    <w:rsid w:val="00996E36"/>
    <w:rsid w:val="009B6184"/>
    <w:rsid w:val="009B6DA5"/>
    <w:rsid w:val="009C0E17"/>
    <w:rsid w:val="009C4A40"/>
    <w:rsid w:val="009D00DA"/>
    <w:rsid w:val="009D0547"/>
    <w:rsid w:val="009D3C21"/>
    <w:rsid w:val="009D5BDB"/>
    <w:rsid w:val="009D710A"/>
    <w:rsid w:val="009E3B07"/>
    <w:rsid w:val="009E6506"/>
    <w:rsid w:val="009F480B"/>
    <w:rsid w:val="009F7586"/>
    <w:rsid w:val="00A009CC"/>
    <w:rsid w:val="00A05C24"/>
    <w:rsid w:val="00A06A52"/>
    <w:rsid w:val="00A11D05"/>
    <w:rsid w:val="00A12ABA"/>
    <w:rsid w:val="00A1468E"/>
    <w:rsid w:val="00A20718"/>
    <w:rsid w:val="00A2107F"/>
    <w:rsid w:val="00A223E0"/>
    <w:rsid w:val="00A22EF1"/>
    <w:rsid w:val="00A2357C"/>
    <w:rsid w:val="00A25889"/>
    <w:rsid w:val="00A2642E"/>
    <w:rsid w:val="00A322FE"/>
    <w:rsid w:val="00A3764C"/>
    <w:rsid w:val="00A37826"/>
    <w:rsid w:val="00A40275"/>
    <w:rsid w:val="00A467E5"/>
    <w:rsid w:val="00A526ED"/>
    <w:rsid w:val="00A526F3"/>
    <w:rsid w:val="00A5302E"/>
    <w:rsid w:val="00A5436B"/>
    <w:rsid w:val="00A612CC"/>
    <w:rsid w:val="00A667C8"/>
    <w:rsid w:val="00A729FF"/>
    <w:rsid w:val="00A8195B"/>
    <w:rsid w:val="00A81D00"/>
    <w:rsid w:val="00A8204D"/>
    <w:rsid w:val="00A823BD"/>
    <w:rsid w:val="00A82907"/>
    <w:rsid w:val="00A968CE"/>
    <w:rsid w:val="00A96AB2"/>
    <w:rsid w:val="00AA3CE0"/>
    <w:rsid w:val="00AA5250"/>
    <w:rsid w:val="00AB1D6C"/>
    <w:rsid w:val="00AB5CE9"/>
    <w:rsid w:val="00AC307A"/>
    <w:rsid w:val="00AC3BB6"/>
    <w:rsid w:val="00AC6CC5"/>
    <w:rsid w:val="00AD2016"/>
    <w:rsid w:val="00AE09D7"/>
    <w:rsid w:val="00AE1062"/>
    <w:rsid w:val="00AE17D6"/>
    <w:rsid w:val="00AE4E87"/>
    <w:rsid w:val="00AF20B5"/>
    <w:rsid w:val="00AF5012"/>
    <w:rsid w:val="00AF52DE"/>
    <w:rsid w:val="00B00E50"/>
    <w:rsid w:val="00B01899"/>
    <w:rsid w:val="00B025BD"/>
    <w:rsid w:val="00B0640A"/>
    <w:rsid w:val="00B074C3"/>
    <w:rsid w:val="00B106C5"/>
    <w:rsid w:val="00B11BF3"/>
    <w:rsid w:val="00B169C4"/>
    <w:rsid w:val="00B16C0B"/>
    <w:rsid w:val="00B20F7C"/>
    <w:rsid w:val="00B22F0C"/>
    <w:rsid w:val="00B233F6"/>
    <w:rsid w:val="00B23866"/>
    <w:rsid w:val="00B27266"/>
    <w:rsid w:val="00B31329"/>
    <w:rsid w:val="00B3215C"/>
    <w:rsid w:val="00B33E7B"/>
    <w:rsid w:val="00B354CE"/>
    <w:rsid w:val="00B41093"/>
    <w:rsid w:val="00B45502"/>
    <w:rsid w:val="00B4759E"/>
    <w:rsid w:val="00B51BEE"/>
    <w:rsid w:val="00B55724"/>
    <w:rsid w:val="00B62492"/>
    <w:rsid w:val="00B70FAF"/>
    <w:rsid w:val="00B72DB8"/>
    <w:rsid w:val="00B817E3"/>
    <w:rsid w:val="00B87BE5"/>
    <w:rsid w:val="00B9472E"/>
    <w:rsid w:val="00B97427"/>
    <w:rsid w:val="00BA24E0"/>
    <w:rsid w:val="00BA2A95"/>
    <w:rsid w:val="00BA382D"/>
    <w:rsid w:val="00BB19E9"/>
    <w:rsid w:val="00BC3F17"/>
    <w:rsid w:val="00BC4CF6"/>
    <w:rsid w:val="00BC6FAB"/>
    <w:rsid w:val="00BD0059"/>
    <w:rsid w:val="00BD10EB"/>
    <w:rsid w:val="00BD2F59"/>
    <w:rsid w:val="00BD328F"/>
    <w:rsid w:val="00BD7AEE"/>
    <w:rsid w:val="00BE1BE5"/>
    <w:rsid w:val="00BE345A"/>
    <w:rsid w:val="00BE5898"/>
    <w:rsid w:val="00BE622D"/>
    <w:rsid w:val="00BE6C08"/>
    <w:rsid w:val="00BF477B"/>
    <w:rsid w:val="00BF5CC9"/>
    <w:rsid w:val="00BF74FC"/>
    <w:rsid w:val="00BF7C7D"/>
    <w:rsid w:val="00C05BAA"/>
    <w:rsid w:val="00C13B95"/>
    <w:rsid w:val="00C141DC"/>
    <w:rsid w:val="00C1661B"/>
    <w:rsid w:val="00C16AEE"/>
    <w:rsid w:val="00C24F82"/>
    <w:rsid w:val="00C266C0"/>
    <w:rsid w:val="00C35867"/>
    <w:rsid w:val="00C3673F"/>
    <w:rsid w:val="00C3699D"/>
    <w:rsid w:val="00C37F48"/>
    <w:rsid w:val="00C408B0"/>
    <w:rsid w:val="00C41DDA"/>
    <w:rsid w:val="00C56C7C"/>
    <w:rsid w:val="00C61DFC"/>
    <w:rsid w:val="00C718B6"/>
    <w:rsid w:val="00C73ADD"/>
    <w:rsid w:val="00C82CEB"/>
    <w:rsid w:val="00C92945"/>
    <w:rsid w:val="00C93E84"/>
    <w:rsid w:val="00C9634A"/>
    <w:rsid w:val="00C96CAE"/>
    <w:rsid w:val="00CA25A5"/>
    <w:rsid w:val="00CA2FB0"/>
    <w:rsid w:val="00CB1F7D"/>
    <w:rsid w:val="00CC0874"/>
    <w:rsid w:val="00CC194F"/>
    <w:rsid w:val="00CD276F"/>
    <w:rsid w:val="00CD48AD"/>
    <w:rsid w:val="00CE0586"/>
    <w:rsid w:val="00CE3C32"/>
    <w:rsid w:val="00CE48E5"/>
    <w:rsid w:val="00CF1A6F"/>
    <w:rsid w:val="00CF47F7"/>
    <w:rsid w:val="00CF4815"/>
    <w:rsid w:val="00CF6FF0"/>
    <w:rsid w:val="00D06FCE"/>
    <w:rsid w:val="00D0720B"/>
    <w:rsid w:val="00D07411"/>
    <w:rsid w:val="00D105CB"/>
    <w:rsid w:val="00D11FF9"/>
    <w:rsid w:val="00D12C21"/>
    <w:rsid w:val="00D151E8"/>
    <w:rsid w:val="00D20AD9"/>
    <w:rsid w:val="00D21A10"/>
    <w:rsid w:val="00D22706"/>
    <w:rsid w:val="00D30163"/>
    <w:rsid w:val="00D30D18"/>
    <w:rsid w:val="00D31246"/>
    <w:rsid w:val="00D3442C"/>
    <w:rsid w:val="00D34E45"/>
    <w:rsid w:val="00D362F1"/>
    <w:rsid w:val="00D413FE"/>
    <w:rsid w:val="00D4433F"/>
    <w:rsid w:val="00D448A8"/>
    <w:rsid w:val="00D44EEE"/>
    <w:rsid w:val="00D47178"/>
    <w:rsid w:val="00D519D8"/>
    <w:rsid w:val="00D52DF5"/>
    <w:rsid w:val="00D5362C"/>
    <w:rsid w:val="00D62B20"/>
    <w:rsid w:val="00D65FAF"/>
    <w:rsid w:val="00D6641A"/>
    <w:rsid w:val="00D708B2"/>
    <w:rsid w:val="00D73220"/>
    <w:rsid w:val="00D747F7"/>
    <w:rsid w:val="00D862B4"/>
    <w:rsid w:val="00D87980"/>
    <w:rsid w:val="00D903CD"/>
    <w:rsid w:val="00D94A6A"/>
    <w:rsid w:val="00D96CB9"/>
    <w:rsid w:val="00DA1BE7"/>
    <w:rsid w:val="00DA38C1"/>
    <w:rsid w:val="00DA6650"/>
    <w:rsid w:val="00DA6BD4"/>
    <w:rsid w:val="00DB023F"/>
    <w:rsid w:val="00DB1537"/>
    <w:rsid w:val="00DB4B3A"/>
    <w:rsid w:val="00DC070F"/>
    <w:rsid w:val="00DC64FB"/>
    <w:rsid w:val="00DD2848"/>
    <w:rsid w:val="00DD463D"/>
    <w:rsid w:val="00DD7062"/>
    <w:rsid w:val="00DE7877"/>
    <w:rsid w:val="00DF2ACC"/>
    <w:rsid w:val="00DF425D"/>
    <w:rsid w:val="00E0223E"/>
    <w:rsid w:val="00E043DD"/>
    <w:rsid w:val="00E0648D"/>
    <w:rsid w:val="00E10693"/>
    <w:rsid w:val="00E127F3"/>
    <w:rsid w:val="00E12B79"/>
    <w:rsid w:val="00E130AC"/>
    <w:rsid w:val="00E16E8A"/>
    <w:rsid w:val="00E176D2"/>
    <w:rsid w:val="00E20188"/>
    <w:rsid w:val="00E20347"/>
    <w:rsid w:val="00E212F9"/>
    <w:rsid w:val="00E2231B"/>
    <w:rsid w:val="00E22AA3"/>
    <w:rsid w:val="00E24A4D"/>
    <w:rsid w:val="00E26068"/>
    <w:rsid w:val="00E26C2A"/>
    <w:rsid w:val="00E27D3A"/>
    <w:rsid w:val="00E344BF"/>
    <w:rsid w:val="00E34945"/>
    <w:rsid w:val="00E35134"/>
    <w:rsid w:val="00E40D8E"/>
    <w:rsid w:val="00E41F45"/>
    <w:rsid w:val="00E53F58"/>
    <w:rsid w:val="00E5654E"/>
    <w:rsid w:val="00E6149C"/>
    <w:rsid w:val="00E61B01"/>
    <w:rsid w:val="00E75C9A"/>
    <w:rsid w:val="00E7729A"/>
    <w:rsid w:val="00E86E25"/>
    <w:rsid w:val="00E87A97"/>
    <w:rsid w:val="00E90C0B"/>
    <w:rsid w:val="00E9226F"/>
    <w:rsid w:val="00EA17E3"/>
    <w:rsid w:val="00EA1CDD"/>
    <w:rsid w:val="00EA3347"/>
    <w:rsid w:val="00EA74C3"/>
    <w:rsid w:val="00EB6983"/>
    <w:rsid w:val="00EB7295"/>
    <w:rsid w:val="00EB79B2"/>
    <w:rsid w:val="00EC09F3"/>
    <w:rsid w:val="00EC5AF8"/>
    <w:rsid w:val="00ED0C78"/>
    <w:rsid w:val="00ED1381"/>
    <w:rsid w:val="00ED6650"/>
    <w:rsid w:val="00ED7280"/>
    <w:rsid w:val="00EE0C54"/>
    <w:rsid w:val="00EF036F"/>
    <w:rsid w:val="00EF354C"/>
    <w:rsid w:val="00EF796D"/>
    <w:rsid w:val="00F004BC"/>
    <w:rsid w:val="00F07B48"/>
    <w:rsid w:val="00F1635D"/>
    <w:rsid w:val="00F30D48"/>
    <w:rsid w:val="00F33163"/>
    <w:rsid w:val="00F35241"/>
    <w:rsid w:val="00F35497"/>
    <w:rsid w:val="00F364BE"/>
    <w:rsid w:val="00F367B5"/>
    <w:rsid w:val="00F42D07"/>
    <w:rsid w:val="00F46034"/>
    <w:rsid w:val="00F51C57"/>
    <w:rsid w:val="00F52610"/>
    <w:rsid w:val="00F56AA5"/>
    <w:rsid w:val="00F608D1"/>
    <w:rsid w:val="00F61127"/>
    <w:rsid w:val="00F74540"/>
    <w:rsid w:val="00F75C2A"/>
    <w:rsid w:val="00F77707"/>
    <w:rsid w:val="00F82420"/>
    <w:rsid w:val="00F8558D"/>
    <w:rsid w:val="00F857E5"/>
    <w:rsid w:val="00F8592D"/>
    <w:rsid w:val="00F9284B"/>
    <w:rsid w:val="00FA1404"/>
    <w:rsid w:val="00FA66EF"/>
    <w:rsid w:val="00FA7863"/>
    <w:rsid w:val="00FB4215"/>
    <w:rsid w:val="00FC04AA"/>
    <w:rsid w:val="00FC73C9"/>
    <w:rsid w:val="00FE14AC"/>
    <w:rsid w:val="00FE3C35"/>
    <w:rsid w:val="00FE7448"/>
    <w:rsid w:val="00FF001A"/>
    <w:rsid w:val="00FF0088"/>
    <w:rsid w:val="00FF219D"/>
    <w:rsid w:val="00FF36BD"/>
    <w:rsid w:val="00FF5C69"/>
    <w:rsid w:val="00FF7F04"/>
  </w:rsids>
  <m:mathPr>
    <m:mathFont m:val="Cambria Math"/>
    <m:brkBin m:val="before"/>
    <m:brkBinSub m:val="--"/>
    <m:smallFrac/>
    <m:dispDef/>
    <m:lMargin m:val="0"/>
    <m:rMargin m:val="0"/>
    <m:defJc m:val="centerGroup"/>
    <m:wrapRight/>
    <m:intLim m:val="subSup"/>
    <m:naryLim m:val="subSup"/>
  </m:mathPr>
  <w:themeFontLang w:val="en-AU"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EBCE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footnote text" w:uiPriority="99"/>
    <w:lsdException w:name="annotation text" w:uiPriority="99"/>
    <w:lsdException w:name="header" w:uiPriority="99"/>
    <w:lsdException w:name="footer" w:uiPriority="99"/>
    <w:lsdException w:name="annotation reference" w:uiPriority="99"/>
    <w:lsdException w:name="Date" w:uiPriority="99"/>
    <w:lsdException w:name="Hyperlink" w:uiPriority="99"/>
    <w:lsdException w:name="Strong" w:uiPriority="22" w:qFormat="1"/>
    <w:lsdException w:name="Emphasis" w:uiPriority="20" w:qFormat="1"/>
    <w:lsdException w:name="Normal (Web)" w:uiPriority="99"/>
    <w:lsdException w:name="annotation subject" w:uiPriority="99"/>
    <w:lsdException w:name="No List" w:uiPriority="99"/>
    <w:lsdException w:name="Balloon Text" w:uiPriority="99"/>
    <w:lsdException w:name="List Paragraph" w:uiPriority="72"/>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2492B"/>
    <w:pPr>
      <w:widowControl w:val="0"/>
      <w:ind w:firstLine="720"/>
    </w:pPr>
    <w:rPr>
      <w:rFonts w:ascii="Times New Roman" w:eastAsia="Times New Roman" w:hAnsi="Times New Roman" w:cs="Times New Roman"/>
      <w:lang w:val="en-AU"/>
    </w:rPr>
  </w:style>
  <w:style w:type="paragraph" w:styleId="Heading1">
    <w:name w:val="heading 1"/>
    <w:basedOn w:val="Normal"/>
    <w:next w:val="Normal"/>
    <w:link w:val="Heading1Char"/>
    <w:uiPriority w:val="9"/>
    <w:qFormat/>
    <w:rsid w:val="00051C5E"/>
    <w:pPr>
      <w:keepNext/>
      <w:keepLines/>
      <w:spacing w:before="240" w:after="240"/>
      <w:ind w:firstLine="0"/>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iPriority w:val="9"/>
    <w:unhideWhenUsed/>
    <w:qFormat/>
    <w:rsid w:val="00A3764C"/>
    <w:pPr>
      <w:keepNext/>
      <w:keepLines/>
      <w:spacing w:before="240" w:after="240"/>
      <w:outlineLvl w:val="1"/>
    </w:pPr>
    <w:rPr>
      <w:rFonts w:asciiTheme="majorHAnsi" w:eastAsiaTheme="majorEastAsia" w:hAnsiTheme="majorHAnsi" w:cstheme="majorBidi"/>
      <w:b/>
      <w:bCs/>
      <w:sz w:val="26"/>
      <w:szCs w:val="26"/>
    </w:rPr>
  </w:style>
  <w:style w:type="paragraph" w:styleId="Heading3">
    <w:name w:val="heading 3"/>
    <w:basedOn w:val="Normal"/>
    <w:link w:val="Heading3Char"/>
    <w:uiPriority w:val="9"/>
    <w:qFormat/>
    <w:rsid w:val="00D708B2"/>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yps">
    <w:name w:val="hyps"/>
    <w:basedOn w:val="Normal"/>
    <w:qFormat/>
    <w:rsid w:val="004742D3"/>
    <w:pPr>
      <w:spacing w:before="120" w:after="120" w:line="360" w:lineRule="auto"/>
      <w:ind w:left="720" w:right="720" w:firstLine="0"/>
      <w:jc w:val="both"/>
    </w:pPr>
    <w:rPr>
      <w:i/>
      <w:sz w:val="22"/>
    </w:rPr>
  </w:style>
  <w:style w:type="character" w:customStyle="1" w:styleId="Heading1Char">
    <w:name w:val="Heading 1 Char"/>
    <w:basedOn w:val="DefaultParagraphFont"/>
    <w:link w:val="Heading1"/>
    <w:uiPriority w:val="9"/>
    <w:rsid w:val="00051C5E"/>
    <w:rPr>
      <w:rFonts w:asciiTheme="majorHAnsi" w:eastAsiaTheme="majorEastAsia" w:hAnsiTheme="majorHAnsi" w:cstheme="majorBidi"/>
      <w:b/>
      <w:bCs/>
      <w:sz w:val="32"/>
      <w:szCs w:val="32"/>
      <w:lang w:val="en-AU"/>
    </w:rPr>
  </w:style>
  <w:style w:type="character" w:customStyle="1" w:styleId="Heading2Char">
    <w:name w:val="Heading 2 Char"/>
    <w:basedOn w:val="DefaultParagraphFont"/>
    <w:link w:val="Heading2"/>
    <w:uiPriority w:val="9"/>
    <w:rsid w:val="00A3764C"/>
    <w:rPr>
      <w:rFonts w:asciiTheme="majorHAnsi" w:eastAsiaTheme="majorEastAsia" w:hAnsiTheme="majorHAnsi" w:cstheme="majorBidi"/>
      <w:b/>
      <w:bCs/>
      <w:sz w:val="26"/>
      <w:szCs w:val="26"/>
      <w:lang w:val="en-AU"/>
    </w:rPr>
  </w:style>
  <w:style w:type="character" w:customStyle="1" w:styleId="Heading3Char">
    <w:name w:val="Heading 3 Char"/>
    <w:basedOn w:val="DefaultParagraphFont"/>
    <w:link w:val="Heading3"/>
    <w:uiPriority w:val="9"/>
    <w:rsid w:val="00D708B2"/>
    <w:rPr>
      <w:rFonts w:ascii="Times New Roman" w:eastAsia="Times New Roman" w:hAnsi="Times New Roman" w:cs="Times New Roman"/>
      <w:b/>
      <w:bCs/>
      <w:sz w:val="27"/>
      <w:szCs w:val="27"/>
      <w:lang w:val="en-AU"/>
    </w:rPr>
  </w:style>
  <w:style w:type="paragraph" w:styleId="FootnoteText">
    <w:name w:val="footnote text"/>
    <w:basedOn w:val="Normal"/>
    <w:link w:val="FootnoteTextChar"/>
    <w:uiPriority w:val="99"/>
    <w:semiHidden/>
    <w:rsid w:val="00D708B2"/>
    <w:rPr>
      <w:rFonts w:eastAsia="Batang"/>
      <w:sz w:val="20"/>
      <w:szCs w:val="20"/>
    </w:rPr>
  </w:style>
  <w:style w:type="character" w:customStyle="1" w:styleId="FootnoteTextChar">
    <w:name w:val="Footnote Text Char"/>
    <w:basedOn w:val="DefaultParagraphFont"/>
    <w:link w:val="FootnoteText"/>
    <w:uiPriority w:val="99"/>
    <w:semiHidden/>
    <w:rsid w:val="00D708B2"/>
    <w:rPr>
      <w:rFonts w:ascii="Times New Roman" w:eastAsia="Batang" w:hAnsi="Times New Roman" w:cs="Times New Roman"/>
      <w:sz w:val="20"/>
      <w:szCs w:val="20"/>
      <w:lang w:val="en-AU"/>
    </w:rPr>
  </w:style>
  <w:style w:type="character" w:customStyle="1" w:styleId="body1">
    <w:name w:val="body1"/>
    <w:rsid w:val="00D708B2"/>
    <w:rPr>
      <w:rFonts w:ascii="Verdana" w:hAnsi="Verdana" w:hint="default"/>
      <w:b w:val="0"/>
      <w:bCs w:val="0"/>
      <w:color w:val="000000"/>
      <w:sz w:val="19"/>
      <w:szCs w:val="19"/>
    </w:rPr>
  </w:style>
  <w:style w:type="character" w:styleId="FootnoteReference">
    <w:name w:val="footnote reference"/>
    <w:semiHidden/>
    <w:rsid w:val="00D708B2"/>
    <w:rPr>
      <w:vertAlign w:val="superscript"/>
    </w:rPr>
  </w:style>
  <w:style w:type="character" w:styleId="Hyperlink">
    <w:name w:val="Hyperlink"/>
    <w:uiPriority w:val="99"/>
    <w:rsid w:val="00D708B2"/>
    <w:rPr>
      <w:color w:val="0000FF"/>
      <w:u w:val="single"/>
    </w:rPr>
  </w:style>
  <w:style w:type="paragraph" w:styleId="BalloonText">
    <w:name w:val="Balloon Text"/>
    <w:basedOn w:val="Normal"/>
    <w:link w:val="BalloonTextChar"/>
    <w:uiPriority w:val="99"/>
    <w:semiHidden/>
    <w:unhideWhenUsed/>
    <w:rsid w:val="00D708B2"/>
    <w:rPr>
      <w:rFonts w:ascii="Tahoma" w:hAnsi="Tahoma"/>
      <w:sz w:val="16"/>
      <w:szCs w:val="16"/>
    </w:rPr>
  </w:style>
  <w:style w:type="character" w:customStyle="1" w:styleId="BalloonTextChar">
    <w:name w:val="Balloon Text Char"/>
    <w:basedOn w:val="DefaultParagraphFont"/>
    <w:link w:val="BalloonText"/>
    <w:uiPriority w:val="99"/>
    <w:semiHidden/>
    <w:rsid w:val="00D708B2"/>
    <w:rPr>
      <w:rFonts w:ascii="Tahoma" w:eastAsia="Times New Roman" w:hAnsi="Tahoma" w:cs="Times New Roman"/>
      <w:sz w:val="16"/>
      <w:szCs w:val="16"/>
      <w:lang w:val="en-AU"/>
    </w:rPr>
  </w:style>
  <w:style w:type="paragraph" w:styleId="NormalWeb">
    <w:name w:val="Normal (Web)"/>
    <w:basedOn w:val="Normal"/>
    <w:uiPriority w:val="99"/>
    <w:unhideWhenUsed/>
    <w:rsid w:val="00D708B2"/>
    <w:pPr>
      <w:spacing w:before="100" w:beforeAutospacing="1" w:after="100" w:afterAutospacing="1"/>
    </w:pPr>
    <w:rPr>
      <w:lang w:eastAsia="ko-KR"/>
    </w:rPr>
  </w:style>
  <w:style w:type="character" w:styleId="Strong">
    <w:name w:val="Strong"/>
    <w:uiPriority w:val="22"/>
    <w:qFormat/>
    <w:rsid w:val="00D708B2"/>
    <w:rPr>
      <w:b/>
      <w:bCs/>
    </w:rPr>
  </w:style>
  <w:style w:type="character" w:styleId="Emphasis">
    <w:name w:val="Emphasis"/>
    <w:uiPriority w:val="20"/>
    <w:qFormat/>
    <w:rsid w:val="00D708B2"/>
    <w:rPr>
      <w:i/>
      <w:iCs/>
    </w:rPr>
  </w:style>
  <w:style w:type="paragraph" w:styleId="Header">
    <w:name w:val="header"/>
    <w:basedOn w:val="Normal"/>
    <w:link w:val="HeaderChar"/>
    <w:uiPriority w:val="99"/>
    <w:unhideWhenUsed/>
    <w:rsid w:val="00D708B2"/>
    <w:pPr>
      <w:tabs>
        <w:tab w:val="center" w:pos="4513"/>
        <w:tab w:val="right" w:pos="9026"/>
      </w:tabs>
    </w:pPr>
  </w:style>
  <w:style w:type="character" w:customStyle="1" w:styleId="HeaderChar">
    <w:name w:val="Header Char"/>
    <w:basedOn w:val="DefaultParagraphFont"/>
    <w:link w:val="Header"/>
    <w:uiPriority w:val="99"/>
    <w:rsid w:val="00D708B2"/>
    <w:rPr>
      <w:rFonts w:ascii="Times New Roman" w:eastAsia="Times New Roman" w:hAnsi="Times New Roman" w:cs="Times New Roman"/>
      <w:lang w:val="en-AU"/>
    </w:rPr>
  </w:style>
  <w:style w:type="paragraph" w:styleId="Footer">
    <w:name w:val="footer"/>
    <w:basedOn w:val="Normal"/>
    <w:link w:val="FooterChar"/>
    <w:uiPriority w:val="99"/>
    <w:unhideWhenUsed/>
    <w:rsid w:val="00D708B2"/>
    <w:pPr>
      <w:tabs>
        <w:tab w:val="center" w:pos="4513"/>
        <w:tab w:val="right" w:pos="9026"/>
      </w:tabs>
    </w:pPr>
  </w:style>
  <w:style w:type="character" w:customStyle="1" w:styleId="FooterChar">
    <w:name w:val="Footer Char"/>
    <w:basedOn w:val="DefaultParagraphFont"/>
    <w:link w:val="Footer"/>
    <w:uiPriority w:val="99"/>
    <w:rsid w:val="00D708B2"/>
    <w:rPr>
      <w:rFonts w:ascii="Times New Roman" w:eastAsia="Times New Roman" w:hAnsi="Times New Roman" w:cs="Times New Roman"/>
      <w:lang w:val="en-AU"/>
    </w:rPr>
  </w:style>
  <w:style w:type="paragraph" w:customStyle="1" w:styleId="Default">
    <w:name w:val="Default"/>
    <w:rsid w:val="00D708B2"/>
    <w:pPr>
      <w:autoSpaceDE w:val="0"/>
      <w:autoSpaceDN w:val="0"/>
      <w:adjustRightInd w:val="0"/>
    </w:pPr>
    <w:rPr>
      <w:rFonts w:ascii="Times New Roman" w:eastAsia="Malgun Gothic" w:hAnsi="Times New Roman" w:cs="Times New Roman"/>
      <w:color w:val="000000"/>
      <w:lang w:val="en-AU" w:eastAsia="ko-KR"/>
    </w:rPr>
  </w:style>
  <w:style w:type="paragraph" w:styleId="Date">
    <w:name w:val="Date"/>
    <w:basedOn w:val="Normal"/>
    <w:next w:val="Normal"/>
    <w:link w:val="DateChar"/>
    <w:uiPriority w:val="99"/>
    <w:semiHidden/>
    <w:unhideWhenUsed/>
    <w:rsid w:val="00D708B2"/>
  </w:style>
  <w:style w:type="character" w:customStyle="1" w:styleId="DateChar">
    <w:name w:val="Date Char"/>
    <w:basedOn w:val="DefaultParagraphFont"/>
    <w:link w:val="Date"/>
    <w:uiPriority w:val="99"/>
    <w:semiHidden/>
    <w:rsid w:val="00D708B2"/>
    <w:rPr>
      <w:rFonts w:ascii="Times New Roman" w:eastAsia="Times New Roman" w:hAnsi="Times New Roman" w:cs="Times New Roman"/>
      <w:lang w:val="en-AU"/>
    </w:rPr>
  </w:style>
  <w:style w:type="character" w:styleId="CommentReference">
    <w:name w:val="annotation reference"/>
    <w:uiPriority w:val="99"/>
    <w:semiHidden/>
    <w:unhideWhenUsed/>
    <w:rsid w:val="00D708B2"/>
    <w:rPr>
      <w:sz w:val="16"/>
      <w:szCs w:val="16"/>
    </w:rPr>
  </w:style>
  <w:style w:type="paragraph" w:styleId="CommentText">
    <w:name w:val="annotation text"/>
    <w:basedOn w:val="Normal"/>
    <w:link w:val="CommentTextChar"/>
    <w:uiPriority w:val="99"/>
    <w:semiHidden/>
    <w:unhideWhenUsed/>
    <w:rsid w:val="00D708B2"/>
    <w:rPr>
      <w:sz w:val="20"/>
      <w:szCs w:val="20"/>
    </w:rPr>
  </w:style>
  <w:style w:type="character" w:customStyle="1" w:styleId="CommentTextChar">
    <w:name w:val="Comment Text Char"/>
    <w:basedOn w:val="DefaultParagraphFont"/>
    <w:link w:val="CommentText"/>
    <w:uiPriority w:val="99"/>
    <w:semiHidden/>
    <w:rsid w:val="00D708B2"/>
    <w:rPr>
      <w:rFonts w:ascii="Times New Roman" w:eastAsia="Times New Roman" w:hAnsi="Times New Roman"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D708B2"/>
    <w:rPr>
      <w:b/>
      <w:bCs/>
    </w:rPr>
  </w:style>
  <w:style w:type="character" w:customStyle="1" w:styleId="CommentSubjectChar">
    <w:name w:val="Comment Subject Char"/>
    <w:basedOn w:val="CommentTextChar"/>
    <w:link w:val="CommentSubject"/>
    <w:uiPriority w:val="99"/>
    <w:semiHidden/>
    <w:rsid w:val="00D708B2"/>
    <w:rPr>
      <w:rFonts w:ascii="Times New Roman" w:eastAsia="Times New Roman" w:hAnsi="Times New Roman" w:cs="Times New Roman"/>
      <w:b/>
      <w:bCs/>
      <w:sz w:val="20"/>
      <w:szCs w:val="20"/>
      <w:lang w:val="en-AU"/>
    </w:rPr>
  </w:style>
  <w:style w:type="paragraph" w:styleId="ListParagraph">
    <w:name w:val="List Paragraph"/>
    <w:basedOn w:val="Normal"/>
    <w:uiPriority w:val="72"/>
    <w:rsid w:val="00D708B2"/>
    <w:pPr>
      <w:ind w:left="720"/>
      <w:contextualSpacing/>
    </w:pPr>
  </w:style>
  <w:style w:type="paragraph" w:customStyle="1" w:styleId="ref">
    <w:name w:val="ref"/>
    <w:basedOn w:val="Default"/>
    <w:rsid w:val="00D708B2"/>
    <w:pPr>
      <w:widowControl w:val="0"/>
      <w:suppressAutoHyphens/>
      <w:autoSpaceDE/>
      <w:autoSpaceDN/>
      <w:adjustRightInd/>
      <w:ind w:left="720" w:hanging="720"/>
      <w:jc w:val="both"/>
    </w:pPr>
    <w:rPr>
      <w:rFonts w:eastAsia="PMingLiU"/>
      <w:color w:val="auto"/>
      <w:lang w:val="de-DE" w:eastAsia="ar-SA"/>
    </w:rPr>
  </w:style>
  <w:style w:type="paragraph" w:customStyle="1" w:styleId="Tables">
    <w:name w:val="Tables"/>
    <w:basedOn w:val="Normal"/>
    <w:qFormat/>
    <w:rsid w:val="007B56CE"/>
    <w:pPr>
      <w:ind w:firstLine="0"/>
    </w:pPr>
    <w:rPr>
      <w:rFonts w:ascii="Calibri" w:hAnsi="Calibri"/>
      <w:color w:val="000000"/>
      <w:sz w:val="16"/>
      <w:szCs w:val="16"/>
      <w:lang w:eastAsia="ko-KR"/>
    </w:rPr>
  </w:style>
  <w:style w:type="paragraph" w:customStyle="1" w:styleId="Tables9pt">
    <w:name w:val="Tables 9pt"/>
    <w:basedOn w:val="Tables"/>
    <w:qFormat/>
    <w:rsid w:val="003E1183"/>
    <w:rPr>
      <w:sz w:val="18"/>
    </w:rPr>
  </w:style>
  <w:style w:type="paragraph" w:customStyle="1" w:styleId="Tables11pt">
    <w:name w:val="Tables 11pt"/>
    <w:basedOn w:val="Tables9pt"/>
    <w:qFormat/>
    <w:rsid w:val="003E1183"/>
    <w:rPr>
      <w:sz w:val="22"/>
    </w:rPr>
  </w:style>
  <w:style w:type="character" w:styleId="PageNumber">
    <w:name w:val="page number"/>
    <w:basedOn w:val="DefaultParagraphFont"/>
    <w:rsid w:val="000A3D01"/>
  </w:style>
  <w:style w:type="paragraph" w:customStyle="1" w:styleId="References">
    <w:name w:val="References"/>
    <w:basedOn w:val="Normal"/>
    <w:qFormat/>
    <w:rsid w:val="005E1A68"/>
    <w:pPr>
      <w:spacing w:before="60"/>
      <w:ind w:left="720" w:hanging="720"/>
      <w:jc w:val="both"/>
    </w:pPr>
    <w:rPr>
      <w:sz w:val="22"/>
    </w:rPr>
  </w:style>
  <w:style w:type="paragraph" w:customStyle="1" w:styleId="bodytextpaper">
    <w:name w:val="body text paper"/>
    <w:basedOn w:val="Normal"/>
    <w:qFormat/>
    <w:rsid w:val="008D62F3"/>
    <w:pPr>
      <w:spacing w:line="480" w:lineRule="auto"/>
      <w:jc w:val="both"/>
    </w:pPr>
    <w:rPr>
      <w:rFonts w:eastAsia="Batang"/>
      <w:lang w:eastAsia="ko-KR"/>
    </w:rPr>
  </w:style>
  <w:style w:type="paragraph" w:styleId="EndnoteText">
    <w:name w:val="endnote text"/>
    <w:basedOn w:val="Normal"/>
    <w:link w:val="EndnoteTextChar"/>
    <w:rsid w:val="00F35241"/>
    <w:rPr>
      <w:sz w:val="20"/>
      <w:szCs w:val="20"/>
    </w:rPr>
  </w:style>
  <w:style w:type="character" w:customStyle="1" w:styleId="EndnoteTextChar">
    <w:name w:val="Endnote Text Char"/>
    <w:basedOn w:val="DefaultParagraphFont"/>
    <w:link w:val="EndnoteText"/>
    <w:rsid w:val="00F35241"/>
    <w:rPr>
      <w:rFonts w:ascii="Times New Roman" w:eastAsia="Times New Roman" w:hAnsi="Times New Roman" w:cs="Times New Roman"/>
      <w:sz w:val="20"/>
      <w:szCs w:val="20"/>
      <w:lang w:val="en-AU"/>
    </w:rPr>
  </w:style>
  <w:style w:type="character" w:styleId="EndnoteReference">
    <w:name w:val="endnote reference"/>
    <w:basedOn w:val="DefaultParagraphFont"/>
    <w:rsid w:val="00F35241"/>
    <w:rPr>
      <w:vertAlign w:val="superscript"/>
    </w:rPr>
  </w:style>
  <w:style w:type="character" w:styleId="FollowedHyperlink">
    <w:name w:val="FollowedHyperlink"/>
    <w:basedOn w:val="DefaultParagraphFont"/>
    <w:rsid w:val="00597E8A"/>
    <w:rPr>
      <w:color w:val="800080" w:themeColor="followedHyperlink"/>
      <w:u w:val="single"/>
    </w:rPr>
  </w:style>
  <w:style w:type="paragraph" w:styleId="Revision">
    <w:name w:val="Revision"/>
    <w:hidden/>
    <w:rsid w:val="0086707B"/>
    <w:rPr>
      <w:rFonts w:ascii="Times New Roman" w:eastAsia="Times New Roman" w:hAnsi="Times New Roman" w:cs="Times New Roman"/>
      <w:lang w:val="en-AU"/>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footnote text" w:uiPriority="99"/>
    <w:lsdException w:name="annotation text" w:uiPriority="99"/>
    <w:lsdException w:name="header" w:uiPriority="99"/>
    <w:lsdException w:name="footer" w:uiPriority="99"/>
    <w:lsdException w:name="annotation reference" w:uiPriority="99"/>
    <w:lsdException w:name="Date" w:uiPriority="99"/>
    <w:lsdException w:name="Hyperlink" w:uiPriority="99"/>
    <w:lsdException w:name="Strong" w:uiPriority="22" w:qFormat="1"/>
    <w:lsdException w:name="Emphasis" w:uiPriority="20" w:qFormat="1"/>
    <w:lsdException w:name="Normal (Web)" w:uiPriority="99"/>
    <w:lsdException w:name="annotation subject" w:uiPriority="99"/>
    <w:lsdException w:name="No List" w:uiPriority="99"/>
    <w:lsdException w:name="Balloon Text" w:uiPriority="99"/>
    <w:lsdException w:name="List Paragraph" w:uiPriority="72"/>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2492B"/>
    <w:pPr>
      <w:widowControl w:val="0"/>
      <w:ind w:firstLine="720"/>
    </w:pPr>
    <w:rPr>
      <w:rFonts w:ascii="Times New Roman" w:eastAsia="Times New Roman" w:hAnsi="Times New Roman" w:cs="Times New Roman"/>
      <w:lang w:val="en-AU"/>
    </w:rPr>
  </w:style>
  <w:style w:type="paragraph" w:styleId="Heading1">
    <w:name w:val="heading 1"/>
    <w:basedOn w:val="Normal"/>
    <w:next w:val="Normal"/>
    <w:link w:val="Heading1Char"/>
    <w:uiPriority w:val="9"/>
    <w:qFormat/>
    <w:rsid w:val="00051C5E"/>
    <w:pPr>
      <w:keepNext/>
      <w:keepLines/>
      <w:spacing w:before="240" w:after="240"/>
      <w:ind w:firstLine="0"/>
      <w:outlineLvl w:val="0"/>
    </w:pPr>
    <w:rPr>
      <w:rFonts w:asciiTheme="majorHAnsi" w:eastAsiaTheme="majorEastAsia" w:hAnsiTheme="majorHAnsi" w:cstheme="majorBidi"/>
      <w:b/>
      <w:bCs/>
      <w:sz w:val="32"/>
      <w:szCs w:val="32"/>
    </w:rPr>
  </w:style>
  <w:style w:type="paragraph" w:styleId="Heading2">
    <w:name w:val="heading 2"/>
    <w:basedOn w:val="Normal"/>
    <w:next w:val="Normal"/>
    <w:link w:val="Heading2Char"/>
    <w:uiPriority w:val="9"/>
    <w:unhideWhenUsed/>
    <w:qFormat/>
    <w:rsid w:val="00A3764C"/>
    <w:pPr>
      <w:keepNext/>
      <w:keepLines/>
      <w:spacing w:before="240" w:after="240"/>
      <w:outlineLvl w:val="1"/>
    </w:pPr>
    <w:rPr>
      <w:rFonts w:asciiTheme="majorHAnsi" w:eastAsiaTheme="majorEastAsia" w:hAnsiTheme="majorHAnsi" w:cstheme="majorBidi"/>
      <w:b/>
      <w:bCs/>
      <w:sz w:val="26"/>
      <w:szCs w:val="26"/>
    </w:rPr>
  </w:style>
  <w:style w:type="paragraph" w:styleId="Heading3">
    <w:name w:val="heading 3"/>
    <w:basedOn w:val="Normal"/>
    <w:link w:val="Heading3Char"/>
    <w:uiPriority w:val="9"/>
    <w:qFormat/>
    <w:rsid w:val="00D708B2"/>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yps">
    <w:name w:val="hyps"/>
    <w:basedOn w:val="Normal"/>
    <w:qFormat/>
    <w:rsid w:val="004742D3"/>
    <w:pPr>
      <w:spacing w:before="120" w:after="120" w:line="360" w:lineRule="auto"/>
      <w:ind w:left="720" w:right="720" w:firstLine="0"/>
      <w:jc w:val="both"/>
    </w:pPr>
    <w:rPr>
      <w:i/>
      <w:sz w:val="22"/>
    </w:rPr>
  </w:style>
  <w:style w:type="character" w:customStyle="1" w:styleId="Heading1Char">
    <w:name w:val="Heading 1 Char"/>
    <w:basedOn w:val="DefaultParagraphFont"/>
    <w:link w:val="Heading1"/>
    <w:uiPriority w:val="9"/>
    <w:rsid w:val="00051C5E"/>
    <w:rPr>
      <w:rFonts w:asciiTheme="majorHAnsi" w:eastAsiaTheme="majorEastAsia" w:hAnsiTheme="majorHAnsi" w:cstheme="majorBidi"/>
      <w:b/>
      <w:bCs/>
      <w:sz w:val="32"/>
      <w:szCs w:val="32"/>
      <w:lang w:val="en-AU"/>
    </w:rPr>
  </w:style>
  <w:style w:type="character" w:customStyle="1" w:styleId="Heading2Char">
    <w:name w:val="Heading 2 Char"/>
    <w:basedOn w:val="DefaultParagraphFont"/>
    <w:link w:val="Heading2"/>
    <w:uiPriority w:val="9"/>
    <w:rsid w:val="00A3764C"/>
    <w:rPr>
      <w:rFonts w:asciiTheme="majorHAnsi" w:eastAsiaTheme="majorEastAsia" w:hAnsiTheme="majorHAnsi" w:cstheme="majorBidi"/>
      <w:b/>
      <w:bCs/>
      <w:sz w:val="26"/>
      <w:szCs w:val="26"/>
      <w:lang w:val="en-AU"/>
    </w:rPr>
  </w:style>
  <w:style w:type="character" w:customStyle="1" w:styleId="Heading3Char">
    <w:name w:val="Heading 3 Char"/>
    <w:basedOn w:val="DefaultParagraphFont"/>
    <w:link w:val="Heading3"/>
    <w:uiPriority w:val="9"/>
    <w:rsid w:val="00D708B2"/>
    <w:rPr>
      <w:rFonts w:ascii="Times New Roman" w:eastAsia="Times New Roman" w:hAnsi="Times New Roman" w:cs="Times New Roman"/>
      <w:b/>
      <w:bCs/>
      <w:sz w:val="27"/>
      <w:szCs w:val="27"/>
      <w:lang w:val="en-AU"/>
    </w:rPr>
  </w:style>
  <w:style w:type="paragraph" w:styleId="FootnoteText">
    <w:name w:val="footnote text"/>
    <w:basedOn w:val="Normal"/>
    <w:link w:val="FootnoteTextChar"/>
    <w:uiPriority w:val="99"/>
    <w:semiHidden/>
    <w:rsid w:val="00D708B2"/>
    <w:rPr>
      <w:rFonts w:eastAsia="Batang"/>
      <w:sz w:val="20"/>
      <w:szCs w:val="20"/>
    </w:rPr>
  </w:style>
  <w:style w:type="character" w:customStyle="1" w:styleId="FootnoteTextChar">
    <w:name w:val="Footnote Text Char"/>
    <w:basedOn w:val="DefaultParagraphFont"/>
    <w:link w:val="FootnoteText"/>
    <w:uiPriority w:val="99"/>
    <w:semiHidden/>
    <w:rsid w:val="00D708B2"/>
    <w:rPr>
      <w:rFonts w:ascii="Times New Roman" w:eastAsia="Batang" w:hAnsi="Times New Roman" w:cs="Times New Roman"/>
      <w:sz w:val="20"/>
      <w:szCs w:val="20"/>
      <w:lang w:val="en-AU"/>
    </w:rPr>
  </w:style>
  <w:style w:type="character" w:customStyle="1" w:styleId="body1">
    <w:name w:val="body1"/>
    <w:rsid w:val="00D708B2"/>
    <w:rPr>
      <w:rFonts w:ascii="Verdana" w:hAnsi="Verdana" w:hint="default"/>
      <w:b w:val="0"/>
      <w:bCs w:val="0"/>
      <w:color w:val="000000"/>
      <w:sz w:val="19"/>
      <w:szCs w:val="19"/>
    </w:rPr>
  </w:style>
  <w:style w:type="character" w:styleId="FootnoteReference">
    <w:name w:val="footnote reference"/>
    <w:semiHidden/>
    <w:rsid w:val="00D708B2"/>
    <w:rPr>
      <w:vertAlign w:val="superscript"/>
    </w:rPr>
  </w:style>
  <w:style w:type="character" w:styleId="Hyperlink">
    <w:name w:val="Hyperlink"/>
    <w:uiPriority w:val="99"/>
    <w:rsid w:val="00D708B2"/>
    <w:rPr>
      <w:color w:val="0000FF"/>
      <w:u w:val="single"/>
    </w:rPr>
  </w:style>
  <w:style w:type="paragraph" w:styleId="BalloonText">
    <w:name w:val="Balloon Text"/>
    <w:basedOn w:val="Normal"/>
    <w:link w:val="BalloonTextChar"/>
    <w:uiPriority w:val="99"/>
    <w:semiHidden/>
    <w:unhideWhenUsed/>
    <w:rsid w:val="00D708B2"/>
    <w:rPr>
      <w:rFonts w:ascii="Tahoma" w:hAnsi="Tahoma"/>
      <w:sz w:val="16"/>
      <w:szCs w:val="16"/>
    </w:rPr>
  </w:style>
  <w:style w:type="character" w:customStyle="1" w:styleId="BalloonTextChar">
    <w:name w:val="Balloon Text Char"/>
    <w:basedOn w:val="DefaultParagraphFont"/>
    <w:link w:val="BalloonText"/>
    <w:uiPriority w:val="99"/>
    <w:semiHidden/>
    <w:rsid w:val="00D708B2"/>
    <w:rPr>
      <w:rFonts w:ascii="Tahoma" w:eastAsia="Times New Roman" w:hAnsi="Tahoma" w:cs="Times New Roman"/>
      <w:sz w:val="16"/>
      <w:szCs w:val="16"/>
      <w:lang w:val="en-AU"/>
    </w:rPr>
  </w:style>
  <w:style w:type="paragraph" w:styleId="NormalWeb">
    <w:name w:val="Normal (Web)"/>
    <w:basedOn w:val="Normal"/>
    <w:uiPriority w:val="99"/>
    <w:unhideWhenUsed/>
    <w:rsid w:val="00D708B2"/>
    <w:pPr>
      <w:spacing w:before="100" w:beforeAutospacing="1" w:after="100" w:afterAutospacing="1"/>
    </w:pPr>
    <w:rPr>
      <w:lang w:eastAsia="ko-KR"/>
    </w:rPr>
  </w:style>
  <w:style w:type="character" w:styleId="Strong">
    <w:name w:val="Strong"/>
    <w:uiPriority w:val="22"/>
    <w:qFormat/>
    <w:rsid w:val="00D708B2"/>
    <w:rPr>
      <w:b/>
      <w:bCs/>
    </w:rPr>
  </w:style>
  <w:style w:type="character" w:styleId="Emphasis">
    <w:name w:val="Emphasis"/>
    <w:uiPriority w:val="20"/>
    <w:qFormat/>
    <w:rsid w:val="00D708B2"/>
    <w:rPr>
      <w:i/>
      <w:iCs/>
    </w:rPr>
  </w:style>
  <w:style w:type="paragraph" w:styleId="Header">
    <w:name w:val="header"/>
    <w:basedOn w:val="Normal"/>
    <w:link w:val="HeaderChar"/>
    <w:uiPriority w:val="99"/>
    <w:unhideWhenUsed/>
    <w:rsid w:val="00D708B2"/>
    <w:pPr>
      <w:tabs>
        <w:tab w:val="center" w:pos="4513"/>
        <w:tab w:val="right" w:pos="9026"/>
      </w:tabs>
    </w:pPr>
  </w:style>
  <w:style w:type="character" w:customStyle="1" w:styleId="HeaderChar">
    <w:name w:val="Header Char"/>
    <w:basedOn w:val="DefaultParagraphFont"/>
    <w:link w:val="Header"/>
    <w:uiPriority w:val="99"/>
    <w:rsid w:val="00D708B2"/>
    <w:rPr>
      <w:rFonts w:ascii="Times New Roman" w:eastAsia="Times New Roman" w:hAnsi="Times New Roman" w:cs="Times New Roman"/>
      <w:lang w:val="en-AU"/>
    </w:rPr>
  </w:style>
  <w:style w:type="paragraph" w:styleId="Footer">
    <w:name w:val="footer"/>
    <w:basedOn w:val="Normal"/>
    <w:link w:val="FooterChar"/>
    <w:uiPriority w:val="99"/>
    <w:unhideWhenUsed/>
    <w:rsid w:val="00D708B2"/>
    <w:pPr>
      <w:tabs>
        <w:tab w:val="center" w:pos="4513"/>
        <w:tab w:val="right" w:pos="9026"/>
      </w:tabs>
    </w:pPr>
  </w:style>
  <w:style w:type="character" w:customStyle="1" w:styleId="FooterChar">
    <w:name w:val="Footer Char"/>
    <w:basedOn w:val="DefaultParagraphFont"/>
    <w:link w:val="Footer"/>
    <w:uiPriority w:val="99"/>
    <w:rsid w:val="00D708B2"/>
    <w:rPr>
      <w:rFonts w:ascii="Times New Roman" w:eastAsia="Times New Roman" w:hAnsi="Times New Roman" w:cs="Times New Roman"/>
      <w:lang w:val="en-AU"/>
    </w:rPr>
  </w:style>
  <w:style w:type="paragraph" w:customStyle="1" w:styleId="Default">
    <w:name w:val="Default"/>
    <w:rsid w:val="00D708B2"/>
    <w:pPr>
      <w:autoSpaceDE w:val="0"/>
      <w:autoSpaceDN w:val="0"/>
      <w:adjustRightInd w:val="0"/>
    </w:pPr>
    <w:rPr>
      <w:rFonts w:ascii="Times New Roman" w:eastAsia="Malgun Gothic" w:hAnsi="Times New Roman" w:cs="Times New Roman"/>
      <w:color w:val="000000"/>
      <w:lang w:val="en-AU" w:eastAsia="ko-KR"/>
    </w:rPr>
  </w:style>
  <w:style w:type="paragraph" w:styleId="Date">
    <w:name w:val="Date"/>
    <w:basedOn w:val="Normal"/>
    <w:next w:val="Normal"/>
    <w:link w:val="DateChar"/>
    <w:uiPriority w:val="99"/>
    <w:semiHidden/>
    <w:unhideWhenUsed/>
    <w:rsid w:val="00D708B2"/>
  </w:style>
  <w:style w:type="character" w:customStyle="1" w:styleId="DateChar">
    <w:name w:val="Date Char"/>
    <w:basedOn w:val="DefaultParagraphFont"/>
    <w:link w:val="Date"/>
    <w:uiPriority w:val="99"/>
    <w:semiHidden/>
    <w:rsid w:val="00D708B2"/>
    <w:rPr>
      <w:rFonts w:ascii="Times New Roman" w:eastAsia="Times New Roman" w:hAnsi="Times New Roman" w:cs="Times New Roman"/>
      <w:lang w:val="en-AU"/>
    </w:rPr>
  </w:style>
  <w:style w:type="character" w:styleId="CommentReference">
    <w:name w:val="annotation reference"/>
    <w:uiPriority w:val="99"/>
    <w:semiHidden/>
    <w:unhideWhenUsed/>
    <w:rsid w:val="00D708B2"/>
    <w:rPr>
      <w:sz w:val="16"/>
      <w:szCs w:val="16"/>
    </w:rPr>
  </w:style>
  <w:style w:type="paragraph" w:styleId="CommentText">
    <w:name w:val="annotation text"/>
    <w:basedOn w:val="Normal"/>
    <w:link w:val="CommentTextChar"/>
    <w:uiPriority w:val="99"/>
    <w:semiHidden/>
    <w:unhideWhenUsed/>
    <w:rsid w:val="00D708B2"/>
    <w:rPr>
      <w:sz w:val="20"/>
      <w:szCs w:val="20"/>
    </w:rPr>
  </w:style>
  <w:style w:type="character" w:customStyle="1" w:styleId="CommentTextChar">
    <w:name w:val="Comment Text Char"/>
    <w:basedOn w:val="DefaultParagraphFont"/>
    <w:link w:val="CommentText"/>
    <w:uiPriority w:val="99"/>
    <w:semiHidden/>
    <w:rsid w:val="00D708B2"/>
    <w:rPr>
      <w:rFonts w:ascii="Times New Roman" w:eastAsia="Times New Roman" w:hAnsi="Times New Roman"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D708B2"/>
    <w:rPr>
      <w:b/>
      <w:bCs/>
    </w:rPr>
  </w:style>
  <w:style w:type="character" w:customStyle="1" w:styleId="CommentSubjectChar">
    <w:name w:val="Comment Subject Char"/>
    <w:basedOn w:val="CommentTextChar"/>
    <w:link w:val="CommentSubject"/>
    <w:uiPriority w:val="99"/>
    <w:semiHidden/>
    <w:rsid w:val="00D708B2"/>
    <w:rPr>
      <w:rFonts w:ascii="Times New Roman" w:eastAsia="Times New Roman" w:hAnsi="Times New Roman" w:cs="Times New Roman"/>
      <w:b/>
      <w:bCs/>
      <w:sz w:val="20"/>
      <w:szCs w:val="20"/>
      <w:lang w:val="en-AU"/>
    </w:rPr>
  </w:style>
  <w:style w:type="paragraph" w:styleId="ListParagraph">
    <w:name w:val="List Paragraph"/>
    <w:basedOn w:val="Normal"/>
    <w:uiPriority w:val="72"/>
    <w:rsid w:val="00D708B2"/>
    <w:pPr>
      <w:ind w:left="720"/>
      <w:contextualSpacing/>
    </w:pPr>
  </w:style>
  <w:style w:type="paragraph" w:customStyle="1" w:styleId="ref">
    <w:name w:val="ref"/>
    <w:basedOn w:val="Default"/>
    <w:rsid w:val="00D708B2"/>
    <w:pPr>
      <w:widowControl w:val="0"/>
      <w:suppressAutoHyphens/>
      <w:autoSpaceDE/>
      <w:autoSpaceDN/>
      <w:adjustRightInd/>
      <w:ind w:left="720" w:hanging="720"/>
      <w:jc w:val="both"/>
    </w:pPr>
    <w:rPr>
      <w:rFonts w:eastAsia="PMingLiU"/>
      <w:color w:val="auto"/>
      <w:lang w:val="de-DE" w:eastAsia="ar-SA"/>
    </w:rPr>
  </w:style>
  <w:style w:type="paragraph" w:customStyle="1" w:styleId="Tables">
    <w:name w:val="Tables"/>
    <w:basedOn w:val="Normal"/>
    <w:qFormat/>
    <w:rsid w:val="007B56CE"/>
    <w:pPr>
      <w:ind w:firstLine="0"/>
    </w:pPr>
    <w:rPr>
      <w:rFonts w:ascii="Calibri" w:hAnsi="Calibri"/>
      <w:color w:val="000000"/>
      <w:sz w:val="16"/>
      <w:szCs w:val="16"/>
      <w:lang w:eastAsia="ko-KR"/>
    </w:rPr>
  </w:style>
  <w:style w:type="paragraph" w:customStyle="1" w:styleId="Tables9pt">
    <w:name w:val="Tables 9pt"/>
    <w:basedOn w:val="Tables"/>
    <w:qFormat/>
    <w:rsid w:val="003E1183"/>
    <w:rPr>
      <w:sz w:val="18"/>
    </w:rPr>
  </w:style>
  <w:style w:type="paragraph" w:customStyle="1" w:styleId="Tables11pt">
    <w:name w:val="Tables 11pt"/>
    <w:basedOn w:val="Tables9pt"/>
    <w:qFormat/>
    <w:rsid w:val="003E1183"/>
    <w:rPr>
      <w:sz w:val="22"/>
    </w:rPr>
  </w:style>
  <w:style w:type="character" w:styleId="PageNumber">
    <w:name w:val="page number"/>
    <w:basedOn w:val="DefaultParagraphFont"/>
    <w:rsid w:val="000A3D01"/>
  </w:style>
  <w:style w:type="paragraph" w:customStyle="1" w:styleId="References">
    <w:name w:val="References"/>
    <w:basedOn w:val="Normal"/>
    <w:qFormat/>
    <w:rsid w:val="005E1A68"/>
    <w:pPr>
      <w:spacing w:before="60"/>
      <w:ind w:left="720" w:hanging="720"/>
      <w:jc w:val="both"/>
    </w:pPr>
    <w:rPr>
      <w:sz w:val="22"/>
    </w:rPr>
  </w:style>
  <w:style w:type="paragraph" w:customStyle="1" w:styleId="bodytextpaper">
    <w:name w:val="body text paper"/>
    <w:basedOn w:val="Normal"/>
    <w:qFormat/>
    <w:rsid w:val="008D62F3"/>
    <w:pPr>
      <w:spacing w:line="480" w:lineRule="auto"/>
      <w:jc w:val="both"/>
    </w:pPr>
    <w:rPr>
      <w:rFonts w:eastAsia="Batang"/>
      <w:lang w:eastAsia="ko-KR"/>
    </w:rPr>
  </w:style>
  <w:style w:type="paragraph" w:styleId="EndnoteText">
    <w:name w:val="endnote text"/>
    <w:basedOn w:val="Normal"/>
    <w:link w:val="EndnoteTextChar"/>
    <w:rsid w:val="00F35241"/>
    <w:rPr>
      <w:sz w:val="20"/>
      <w:szCs w:val="20"/>
    </w:rPr>
  </w:style>
  <w:style w:type="character" w:customStyle="1" w:styleId="EndnoteTextChar">
    <w:name w:val="Endnote Text Char"/>
    <w:basedOn w:val="DefaultParagraphFont"/>
    <w:link w:val="EndnoteText"/>
    <w:rsid w:val="00F35241"/>
    <w:rPr>
      <w:rFonts w:ascii="Times New Roman" w:eastAsia="Times New Roman" w:hAnsi="Times New Roman" w:cs="Times New Roman"/>
      <w:sz w:val="20"/>
      <w:szCs w:val="20"/>
      <w:lang w:val="en-AU"/>
    </w:rPr>
  </w:style>
  <w:style w:type="character" w:styleId="EndnoteReference">
    <w:name w:val="endnote reference"/>
    <w:basedOn w:val="DefaultParagraphFont"/>
    <w:rsid w:val="00F35241"/>
    <w:rPr>
      <w:vertAlign w:val="superscript"/>
    </w:rPr>
  </w:style>
  <w:style w:type="character" w:styleId="FollowedHyperlink">
    <w:name w:val="FollowedHyperlink"/>
    <w:basedOn w:val="DefaultParagraphFont"/>
    <w:rsid w:val="00597E8A"/>
    <w:rPr>
      <w:color w:val="800080" w:themeColor="followedHyperlink"/>
      <w:u w:val="single"/>
    </w:rPr>
  </w:style>
  <w:style w:type="paragraph" w:styleId="Revision">
    <w:name w:val="Revision"/>
    <w:hidden/>
    <w:rsid w:val="0086707B"/>
    <w:rPr>
      <w:rFonts w:ascii="Times New Roman" w:eastAsia="Times New Roman" w:hAnsi="Times New Roman" w:cs="Times New Roman"/>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984448">
      <w:bodyDiv w:val="1"/>
      <w:marLeft w:val="0"/>
      <w:marRight w:val="0"/>
      <w:marTop w:val="0"/>
      <w:marBottom w:val="0"/>
      <w:divBdr>
        <w:top w:val="none" w:sz="0" w:space="0" w:color="auto"/>
        <w:left w:val="none" w:sz="0" w:space="0" w:color="auto"/>
        <w:bottom w:val="none" w:sz="0" w:space="0" w:color="auto"/>
        <w:right w:val="none" w:sz="0" w:space="0" w:color="auto"/>
      </w:divBdr>
    </w:div>
    <w:div w:id="707952310">
      <w:bodyDiv w:val="1"/>
      <w:marLeft w:val="0"/>
      <w:marRight w:val="0"/>
      <w:marTop w:val="0"/>
      <w:marBottom w:val="0"/>
      <w:divBdr>
        <w:top w:val="none" w:sz="0" w:space="0" w:color="auto"/>
        <w:left w:val="none" w:sz="0" w:space="0" w:color="auto"/>
        <w:bottom w:val="none" w:sz="0" w:space="0" w:color="auto"/>
        <w:right w:val="none" w:sz="0" w:space="0" w:color="auto"/>
      </w:divBdr>
    </w:div>
    <w:div w:id="989988756">
      <w:bodyDiv w:val="1"/>
      <w:marLeft w:val="0"/>
      <w:marRight w:val="0"/>
      <w:marTop w:val="0"/>
      <w:marBottom w:val="0"/>
      <w:divBdr>
        <w:top w:val="none" w:sz="0" w:space="0" w:color="auto"/>
        <w:left w:val="none" w:sz="0" w:space="0" w:color="auto"/>
        <w:bottom w:val="none" w:sz="0" w:space="0" w:color="auto"/>
        <w:right w:val="none" w:sz="0" w:space="0" w:color="auto"/>
      </w:divBdr>
    </w:div>
    <w:div w:id="1396784081">
      <w:bodyDiv w:val="1"/>
      <w:marLeft w:val="0"/>
      <w:marRight w:val="0"/>
      <w:marTop w:val="0"/>
      <w:marBottom w:val="0"/>
      <w:divBdr>
        <w:top w:val="none" w:sz="0" w:space="0" w:color="auto"/>
        <w:left w:val="none" w:sz="0" w:space="0" w:color="auto"/>
        <w:bottom w:val="none" w:sz="0" w:space="0" w:color="auto"/>
        <w:right w:val="none" w:sz="0" w:space="0" w:color="auto"/>
      </w:divBdr>
    </w:div>
    <w:div w:id="1465658619">
      <w:bodyDiv w:val="1"/>
      <w:marLeft w:val="0"/>
      <w:marRight w:val="0"/>
      <w:marTop w:val="0"/>
      <w:marBottom w:val="0"/>
      <w:divBdr>
        <w:top w:val="none" w:sz="0" w:space="0" w:color="auto"/>
        <w:left w:val="none" w:sz="0" w:space="0" w:color="auto"/>
        <w:bottom w:val="none" w:sz="0" w:space="0" w:color="auto"/>
        <w:right w:val="none" w:sz="0" w:space="0" w:color="auto"/>
      </w:divBdr>
    </w:div>
    <w:div w:id="162353971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b.min@griffith.edu.au" TargetMode="External"/><Relationship Id="rId20" Type="http://schemas.openxmlformats.org/officeDocument/2006/relationships/hyperlink" Target="http://en.wikipedia.org/wiki/IPCC_Fourth_Assessment_Report" TargetMode="External"/><Relationship Id="rId21" Type="http://schemas.openxmlformats.org/officeDocument/2006/relationships/image" Target="media/image4.wmf"/><Relationship Id="rId22" Type="http://schemas.openxmlformats.org/officeDocument/2006/relationships/image" Target="media/image5.wmf"/><Relationship Id="rId23" Type="http://schemas.openxmlformats.org/officeDocument/2006/relationships/image" Target="media/image6.png"/><Relationship Id="rId24" Type="http://schemas.openxmlformats.org/officeDocument/2006/relationships/header" Target="header1.xml"/><Relationship Id="rId25" Type="http://schemas.openxmlformats.org/officeDocument/2006/relationships/header" Target="header2.xml"/><Relationship Id="rId26" Type="http://schemas.openxmlformats.org/officeDocument/2006/relationships/fontTable" Target="fontTable.xml"/><Relationship Id="rId27" Type="http://schemas.openxmlformats.org/officeDocument/2006/relationships/theme" Target="theme/theme1.xml"/><Relationship Id="rId10" Type="http://schemas.openxmlformats.org/officeDocument/2006/relationships/hyperlink" Target="Tel:915" TargetMode="External"/><Relationship Id="rId11" Type="http://schemas.openxmlformats.org/officeDocument/2006/relationships/image" Target="media/image1.wmf"/><Relationship Id="rId12" Type="http://schemas.openxmlformats.org/officeDocument/2006/relationships/image" Target="media/image2.wmf"/><Relationship Id="rId13" Type="http://schemas.openxmlformats.org/officeDocument/2006/relationships/image" Target="media/image3.wmf"/><Relationship Id="rId14" Type="http://schemas.openxmlformats.org/officeDocument/2006/relationships/hyperlink" Target="http://www2.epa.gov/toxics-release-inventory-tri-program/tri-program-timeline-" TargetMode="External"/><Relationship Id="rId15" Type="http://schemas.openxmlformats.org/officeDocument/2006/relationships/hyperlink" Target="http://www.env.go.jp/en/earth/cc/kptap.pdf" TargetMode="External"/><Relationship Id="rId16" Type="http://schemas.openxmlformats.org/officeDocument/2006/relationships/hyperlink" Target="http://www.env.go.jp/en/earth/cc/kptap.pdf" TargetMode="External"/><Relationship Id="rId17" Type="http://schemas.openxmlformats.org/officeDocument/2006/relationships/hyperlink" Target="http://ssrn.com/abstract=926968" TargetMode="External"/><Relationship Id="rId18" Type="http://schemas.openxmlformats.org/officeDocument/2006/relationships/hyperlink" Target="http://www.europeanvoice.com/article/imported/disappointment-in-doha/75964.aspx" TargetMode="External"/><Relationship Id="rId19" Type="http://schemas.openxmlformats.org/officeDocument/2006/relationships/hyperlink" Target="http://www.ipcc.ch/publications_and_data/ar4/wg1/en/contents.html"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CAC2D2-1877-444F-A763-26FFBE27D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12851</Words>
  <Characters>73253</Characters>
  <Application>Microsoft Macintosh Word</Application>
  <DocSecurity>0</DocSecurity>
  <Lines>610</Lines>
  <Paragraphs>171</Paragraphs>
  <ScaleCrop>false</ScaleCrop>
  <HeadingPairs>
    <vt:vector size="2" baseType="variant">
      <vt:variant>
        <vt:lpstr>Title</vt:lpstr>
      </vt:variant>
      <vt:variant>
        <vt:i4>1</vt:i4>
      </vt:variant>
    </vt:vector>
  </HeadingPairs>
  <TitlesOfParts>
    <vt:vector size="1" baseType="lpstr">
      <vt:lpstr/>
    </vt:vector>
  </TitlesOfParts>
  <Company>Instituto de Empresa</Company>
  <LinksUpToDate>false</LinksUpToDate>
  <CharactersWithSpaces>85933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Carl-Joachim Kock</dc:creator>
  <cp:lastModifiedBy>Carl-Joachim Kock</cp:lastModifiedBy>
  <cp:revision>3</cp:revision>
  <dcterms:created xsi:type="dcterms:W3CDTF">2015-03-17T12:58:00Z</dcterms:created>
  <dcterms:modified xsi:type="dcterms:W3CDTF">2015-03-17T13:01:00Z</dcterms:modified>
</cp:coreProperties>
</file>