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79C63F6" w14:textId="3C08019D" w:rsidR="00E95C9B" w:rsidRPr="00D8671A" w:rsidRDefault="00CB1AB9" w:rsidP="00D8671A">
      <w:pPr>
        <w:spacing w:after="0" w:line="240" w:lineRule="auto"/>
        <w:rPr>
          <w:rFonts w:asciiTheme="majorBidi" w:hAnsiTheme="majorBidi" w:cstheme="majorBidi"/>
          <w:b/>
          <w:bCs/>
          <w:smallCaps/>
          <w:spacing w:val="5"/>
          <w:sz w:val="32"/>
          <w:szCs w:val="32"/>
        </w:rPr>
      </w:pPr>
      <w:bookmarkStart w:id="0" w:name="_Toc250621143"/>
      <w:bookmarkStart w:id="1" w:name="_Toc251494087"/>
      <w:bookmarkStart w:id="2" w:name="_Toc251518902"/>
      <w:r w:rsidRPr="00D8671A">
        <w:rPr>
          <w:rStyle w:val="BookTitle"/>
          <w:rFonts w:asciiTheme="majorBidi" w:hAnsiTheme="majorBidi" w:cstheme="majorBidi"/>
          <w:smallCaps w:val="0"/>
          <w:sz w:val="32"/>
          <w:szCs w:val="32"/>
        </w:rPr>
        <w:t xml:space="preserve">The Modes </w:t>
      </w:r>
      <w:r w:rsidR="00D8671A" w:rsidRPr="00D8671A">
        <w:rPr>
          <w:rStyle w:val="BookTitle"/>
          <w:rFonts w:asciiTheme="majorBidi" w:hAnsiTheme="majorBidi" w:cstheme="majorBidi"/>
          <w:smallCaps w:val="0"/>
          <w:sz w:val="32"/>
          <w:szCs w:val="32"/>
        </w:rPr>
        <w:t xml:space="preserve">of </w:t>
      </w:r>
      <w:r w:rsidRPr="00D8671A">
        <w:rPr>
          <w:rStyle w:val="BookTitle"/>
          <w:rFonts w:asciiTheme="majorBidi" w:hAnsiTheme="majorBidi" w:cstheme="majorBidi"/>
          <w:smallCaps w:val="0"/>
          <w:sz w:val="32"/>
          <w:szCs w:val="32"/>
        </w:rPr>
        <w:t xml:space="preserve">Liability </w:t>
      </w:r>
      <w:r w:rsidR="00D8671A" w:rsidRPr="00D8671A">
        <w:rPr>
          <w:rStyle w:val="BookTitle"/>
          <w:rFonts w:asciiTheme="majorBidi" w:hAnsiTheme="majorBidi" w:cstheme="majorBidi"/>
          <w:smallCaps w:val="0"/>
          <w:sz w:val="32"/>
          <w:szCs w:val="32"/>
        </w:rPr>
        <w:t xml:space="preserve">at the </w:t>
      </w:r>
      <w:r w:rsidRPr="00D8671A">
        <w:rPr>
          <w:rStyle w:val="BookTitle"/>
          <w:rFonts w:asciiTheme="majorBidi" w:hAnsiTheme="majorBidi" w:cstheme="majorBidi"/>
          <w:smallCaps w:val="0"/>
          <w:sz w:val="32"/>
          <w:szCs w:val="32"/>
        </w:rPr>
        <w:t>ICC</w:t>
      </w:r>
      <w:r w:rsidR="00D8671A" w:rsidRPr="00D8671A">
        <w:rPr>
          <w:rStyle w:val="BookTitle"/>
          <w:rFonts w:asciiTheme="majorBidi" w:hAnsiTheme="majorBidi" w:cstheme="majorBidi"/>
          <w:smallCaps w:val="0"/>
          <w:sz w:val="32"/>
          <w:szCs w:val="32"/>
        </w:rPr>
        <w:t xml:space="preserve">: </w:t>
      </w:r>
      <w:r w:rsidRPr="00D8671A">
        <w:rPr>
          <w:rStyle w:val="BookTitle"/>
          <w:rFonts w:asciiTheme="majorBidi" w:hAnsiTheme="majorBidi" w:cstheme="majorBidi"/>
          <w:smallCaps w:val="0"/>
          <w:sz w:val="32"/>
          <w:szCs w:val="32"/>
        </w:rPr>
        <w:t>The Labels</w:t>
      </w:r>
      <w:r w:rsidR="00D8671A" w:rsidRPr="00D8671A">
        <w:rPr>
          <w:rStyle w:val="BookTitle"/>
          <w:rFonts w:asciiTheme="majorBidi" w:hAnsiTheme="majorBidi" w:cstheme="majorBidi"/>
          <w:smallCaps w:val="0"/>
          <w:sz w:val="32"/>
          <w:szCs w:val="32"/>
        </w:rPr>
        <w:t xml:space="preserve"> that Don’t </w:t>
      </w:r>
      <w:r w:rsidR="001E278C" w:rsidRPr="00D8671A">
        <w:rPr>
          <w:rStyle w:val="BookTitle"/>
          <w:rFonts w:asciiTheme="majorBidi" w:hAnsiTheme="majorBidi" w:cstheme="majorBidi"/>
          <w:smallCaps w:val="0"/>
          <w:sz w:val="32"/>
          <w:szCs w:val="32"/>
        </w:rPr>
        <w:t xml:space="preserve">Always </w:t>
      </w:r>
      <w:r w:rsidRPr="00D8671A">
        <w:rPr>
          <w:rStyle w:val="BookTitle"/>
          <w:rFonts w:asciiTheme="majorBidi" w:hAnsiTheme="majorBidi" w:cstheme="majorBidi"/>
          <w:smallCaps w:val="0"/>
          <w:sz w:val="32"/>
          <w:szCs w:val="32"/>
        </w:rPr>
        <w:t>Stick</w:t>
      </w:r>
    </w:p>
    <w:p w14:paraId="16D176A1" w14:textId="77777777" w:rsidR="00D8671A" w:rsidRDefault="00D8671A" w:rsidP="00D8671A">
      <w:pPr>
        <w:spacing w:after="0" w:line="240" w:lineRule="auto"/>
        <w:rPr>
          <w:rFonts w:asciiTheme="majorBidi" w:hAnsiTheme="majorBidi" w:cstheme="majorBidi"/>
          <w:b/>
        </w:rPr>
      </w:pPr>
    </w:p>
    <w:p w14:paraId="43A3090F" w14:textId="77777777" w:rsidR="00D8671A" w:rsidRPr="00D8671A" w:rsidRDefault="00D8671A" w:rsidP="00D8671A">
      <w:pPr>
        <w:widowControl w:val="0"/>
        <w:autoSpaceDE w:val="0"/>
        <w:autoSpaceDN w:val="0"/>
        <w:adjustRightInd w:val="0"/>
        <w:spacing w:after="0" w:line="240" w:lineRule="auto"/>
        <w:rPr>
          <w:rFonts w:ascii="Times New Roman" w:eastAsia="MS Mincho" w:hAnsi="Times New Roman" w:cs="Times New Roman"/>
          <w:bCs/>
          <w:sz w:val="28"/>
          <w:szCs w:val="28"/>
          <w:lang w:val="en-US"/>
        </w:rPr>
      </w:pPr>
    </w:p>
    <w:p w14:paraId="609F621C" w14:textId="6221B3B9" w:rsidR="00D8671A" w:rsidRPr="00D8671A" w:rsidRDefault="00D8671A" w:rsidP="00D8671A">
      <w:pPr>
        <w:widowControl w:val="0"/>
        <w:autoSpaceDE w:val="0"/>
        <w:autoSpaceDN w:val="0"/>
        <w:adjustRightInd w:val="0"/>
        <w:spacing w:after="0" w:line="240" w:lineRule="auto"/>
        <w:rPr>
          <w:rFonts w:ascii="Times New Roman" w:eastAsia="MS Mincho" w:hAnsi="Times New Roman" w:cs="Times New Roman"/>
          <w:bCs/>
          <w:i/>
          <w:iCs/>
          <w:sz w:val="24"/>
          <w:szCs w:val="24"/>
          <w:lang w:val="en-US"/>
        </w:rPr>
      </w:pPr>
      <w:r>
        <w:rPr>
          <w:rFonts w:ascii="Times New Roman" w:eastAsia="MS Mincho" w:hAnsi="Times New Roman" w:cs="Times New Roman"/>
          <w:bCs/>
          <w:i/>
          <w:iCs/>
          <w:sz w:val="24"/>
          <w:szCs w:val="24"/>
          <w:lang w:val="en-US"/>
        </w:rPr>
        <w:tab/>
      </w:r>
      <w:r w:rsidRPr="00D8671A">
        <w:rPr>
          <w:rFonts w:ascii="Times New Roman" w:eastAsia="MS Mincho" w:hAnsi="Times New Roman" w:cs="Times New Roman"/>
          <w:bCs/>
          <w:i/>
          <w:iCs/>
          <w:sz w:val="24"/>
          <w:szCs w:val="24"/>
          <w:lang w:val="en-US"/>
        </w:rPr>
        <w:t>Marina Aksenova</w:t>
      </w:r>
    </w:p>
    <w:p w14:paraId="683B328D" w14:textId="6F904827" w:rsidR="00D8671A" w:rsidRPr="00D8671A" w:rsidRDefault="00D8671A" w:rsidP="00D8671A">
      <w:pPr>
        <w:widowControl w:val="0"/>
        <w:autoSpaceDE w:val="0"/>
        <w:autoSpaceDN w:val="0"/>
        <w:adjustRightInd w:val="0"/>
        <w:spacing w:after="0" w:line="240" w:lineRule="auto"/>
        <w:ind w:left="284"/>
        <w:rPr>
          <w:rFonts w:ascii="Times New Roman" w:eastAsia="MS Mincho" w:hAnsi="Times New Roman" w:cs="Times New Roman"/>
          <w:sz w:val="20"/>
          <w:szCs w:val="20"/>
          <w:lang w:val="en-US"/>
        </w:rPr>
      </w:pPr>
      <w:r w:rsidRPr="00D8671A">
        <w:rPr>
          <w:rFonts w:ascii="Times New Roman" w:eastAsia="MS Mincho" w:hAnsi="Times New Roman" w:cs="Times New Roman"/>
          <w:sz w:val="20"/>
          <w:szCs w:val="20"/>
          <w:lang w:val="en-US"/>
        </w:rPr>
        <w:t>Post-doc,</w:t>
      </w:r>
      <w:r>
        <w:rPr>
          <w:rFonts w:ascii="Times New Roman" w:eastAsia="MS Mincho" w:hAnsi="Times New Roman" w:cs="Times New Roman"/>
          <w:sz w:val="20"/>
          <w:szCs w:val="20"/>
          <w:lang w:val="en-US"/>
        </w:rPr>
        <w:t xml:space="preserve"> </w:t>
      </w:r>
      <w:r w:rsidRPr="00D8671A">
        <w:rPr>
          <w:rFonts w:ascii="Times New Roman" w:eastAsia="MS Mincho" w:hAnsi="Times New Roman" w:cs="Times New Roman"/>
          <w:bCs/>
          <w:sz w:val="20"/>
          <w:szCs w:val="20"/>
          <w:lang w:val="en-US"/>
        </w:rPr>
        <w:t>Faculty of Law</w:t>
      </w:r>
      <w:r w:rsidRPr="00D8671A">
        <w:rPr>
          <w:rFonts w:ascii="Times New Roman" w:eastAsia="MS Mincho" w:hAnsi="Times New Roman" w:cs="Times New Roman"/>
          <w:sz w:val="20"/>
          <w:szCs w:val="20"/>
          <w:lang w:val="en-US"/>
        </w:rPr>
        <w:t>, iCourts, Centre for Exce</w:t>
      </w:r>
      <w:r w:rsidR="00C06148">
        <w:rPr>
          <w:rFonts w:ascii="Times New Roman" w:eastAsia="MS Mincho" w:hAnsi="Times New Roman" w:cs="Times New Roman"/>
          <w:sz w:val="20"/>
          <w:szCs w:val="20"/>
          <w:lang w:val="en-US"/>
        </w:rPr>
        <w:t>llence for International Courts,</w:t>
      </w:r>
      <w:r w:rsidRPr="00D8671A">
        <w:rPr>
          <w:rFonts w:ascii="Times New Roman" w:eastAsia="MS Mincho" w:hAnsi="Times New Roman" w:cs="Times New Roman"/>
          <w:sz w:val="20"/>
          <w:szCs w:val="20"/>
          <w:lang w:val="en-US"/>
        </w:rPr>
        <w:t xml:space="preserve"> University of Copenhagen, Copenhagen, Demark</w:t>
      </w:r>
    </w:p>
    <w:p w14:paraId="3C6ED0D9" w14:textId="77777777" w:rsidR="00D8671A" w:rsidRPr="00D8671A" w:rsidRDefault="00D8671A" w:rsidP="00D8671A">
      <w:pPr>
        <w:spacing w:after="0" w:line="240" w:lineRule="auto"/>
        <w:rPr>
          <w:rFonts w:asciiTheme="majorBidi" w:hAnsiTheme="majorBidi" w:cstheme="majorBidi"/>
          <w:bCs/>
          <w:sz w:val="24"/>
          <w:szCs w:val="24"/>
        </w:rPr>
      </w:pPr>
    </w:p>
    <w:p w14:paraId="7CC0AF30" w14:textId="77777777" w:rsidR="00D8671A" w:rsidRDefault="00D8671A" w:rsidP="00D8671A">
      <w:pPr>
        <w:spacing w:after="0" w:line="240" w:lineRule="auto"/>
        <w:ind w:firstLine="720"/>
        <w:rPr>
          <w:rFonts w:asciiTheme="majorBidi" w:hAnsiTheme="majorBidi" w:cstheme="majorBidi"/>
          <w:b/>
        </w:rPr>
      </w:pPr>
    </w:p>
    <w:p w14:paraId="17B0AB15" w14:textId="462AE2F3" w:rsidR="007B3F19" w:rsidRPr="00D8671A" w:rsidRDefault="00383D4E" w:rsidP="00D8671A">
      <w:pPr>
        <w:spacing w:after="0" w:line="240" w:lineRule="auto"/>
        <w:ind w:firstLine="720"/>
        <w:rPr>
          <w:rFonts w:asciiTheme="majorBidi" w:hAnsiTheme="majorBidi" w:cstheme="majorBidi"/>
          <w:b/>
        </w:rPr>
      </w:pPr>
      <w:r w:rsidRPr="00D8671A">
        <w:rPr>
          <w:rFonts w:asciiTheme="majorBidi" w:hAnsiTheme="majorBidi" w:cstheme="majorBidi"/>
          <w:b/>
        </w:rPr>
        <w:t>Abstract</w:t>
      </w:r>
    </w:p>
    <w:p w14:paraId="41F8BAF1" w14:textId="77777777" w:rsidR="00D8671A" w:rsidRDefault="00D8671A" w:rsidP="00D8671A">
      <w:pPr>
        <w:widowControl w:val="0"/>
        <w:autoSpaceDE w:val="0"/>
        <w:autoSpaceDN w:val="0"/>
        <w:adjustRightInd w:val="0"/>
        <w:spacing w:after="0" w:line="240" w:lineRule="auto"/>
        <w:ind w:right="-64"/>
        <w:rPr>
          <w:rFonts w:asciiTheme="majorBidi" w:hAnsiTheme="majorBidi" w:cstheme="majorBidi"/>
        </w:rPr>
      </w:pPr>
    </w:p>
    <w:p w14:paraId="5E42A634" w14:textId="126A8ACC" w:rsidR="00224E9B" w:rsidRPr="00D8671A" w:rsidRDefault="00A122EE" w:rsidP="00D8671A">
      <w:pPr>
        <w:widowControl w:val="0"/>
        <w:autoSpaceDE w:val="0"/>
        <w:autoSpaceDN w:val="0"/>
        <w:adjustRightInd w:val="0"/>
        <w:spacing w:after="0" w:line="240" w:lineRule="auto"/>
        <w:ind w:right="-64"/>
        <w:rPr>
          <w:rFonts w:asciiTheme="majorBidi" w:hAnsiTheme="majorBidi" w:cstheme="majorBidi"/>
        </w:rPr>
      </w:pPr>
      <w:r w:rsidRPr="00D8671A">
        <w:rPr>
          <w:rFonts w:asciiTheme="majorBidi" w:hAnsiTheme="majorBidi" w:cstheme="majorBidi"/>
        </w:rPr>
        <w:t xml:space="preserve">The </w:t>
      </w:r>
      <w:r w:rsidR="001A15BE" w:rsidRPr="00D8671A">
        <w:rPr>
          <w:rFonts w:asciiTheme="majorBidi" w:hAnsiTheme="majorBidi" w:cstheme="majorBidi"/>
        </w:rPr>
        <w:t xml:space="preserve">provision in the </w:t>
      </w:r>
      <w:r w:rsidRPr="00D8671A">
        <w:rPr>
          <w:rFonts w:asciiTheme="majorBidi" w:hAnsiTheme="majorBidi" w:cstheme="majorBidi"/>
        </w:rPr>
        <w:t xml:space="preserve">Rome Statute of the International Criminal Court (ICC) </w:t>
      </w:r>
      <w:r w:rsidR="001A15BE" w:rsidRPr="00D8671A">
        <w:rPr>
          <w:rFonts w:asciiTheme="majorBidi" w:hAnsiTheme="majorBidi" w:cstheme="majorBidi"/>
        </w:rPr>
        <w:t xml:space="preserve">on individual criminal responsibility can be considered </w:t>
      </w:r>
      <w:r w:rsidRPr="00D8671A">
        <w:rPr>
          <w:rFonts w:asciiTheme="majorBidi" w:hAnsiTheme="majorBidi" w:cstheme="majorBidi"/>
        </w:rPr>
        <w:t xml:space="preserve">sufficiently </w:t>
      </w:r>
      <w:r w:rsidR="00B60FBF" w:rsidRPr="00D8671A">
        <w:rPr>
          <w:rFonts w:asciiTheme="majorBidi" w:hAnsiTheme="majorBidi" w:cstheme="majorBidi"/>
        </w:rPr>
        <w:t>elaborated. The level of detail</w:t>
      </w:r>
      <w:r w:rsidRPr="00D8671A">
        <w:rPr>
          <w:rFonts w:asciiTheme="majorBidi" w:hAnsiTheme="majorBidi" w:cstheme="majorBidi"/>
        </w:rPr>
        <w:t xml:space="preserve"> </w:t>
      </w:r>
      <w:r w:rsidR="00B60FBF" w:rsidRPr="00D8671A">
        <w:rPr>
          <w:rFonts w:asciiTheme="majorBidi" w:hAnsiTheme="majorBidi" w:cstheme="majorBidi"/>
        </w:rPr>
        <w:t>of Article 25(3) does not</w:t>
      </w:r>
      <w:r w:rsidR="00723F1C" w:rsidRPr="00D8671A">
        <w:rPr>
          <w:rFonts w:asciiTheme="majorBidi" w:hAnsiTheme="majorBidi" w:cstheme="majorBidi"/>
        </w:rPr>
        <w:t>, however,</w:t>
      </w:r>
      <w:r w:rsidR="00B60FBF" w:rsidRPr="00D8671A">
        <w:rPr>
          <w:rFonts w:asciiTheme="majorBidi" w:hAnsiTheme="majorBidi" w:cstheme="majorBidi"/>
        </w:rPr>
        <w:t xml:space="preserve"> prevent</w:t>
      </w:r>
      <w:r w:rsidRPr="00D8671A">
        <w:rPr>
          <w:rFonts w:asciiTheme="majorBidi" w:hAnsiTheme="majorBidi" w:cstheme="majorBidi"/>
        </w:rPr>
        <w:t xml:space="preserve"> heated debates </w:t>
      </w:r>
      <w:r w:rsidR="00A35645" w:rsidRPr="00D8671A">
        <w:rPr>
          <w:rFonts w:asciiTheme="majorBidi" w:hAnsiTheme="majorBidi" w:cstheme="majorBidi"/>
        </w:rPr>
        <w:t>on its</w:t>
      </w:r>
      <w:r w:rsidRPr="00D8671A">
        <w:rPr>
          <w:rFonts w:asciiTheme="majorBidi" w:hAnsiTheme="majorBidi" w:cstheme="majorBidi"/>
        </w:rPr>
        <w:t xml:space="preserve"> practical application. </w:t>
      </w:r>
      <w:r w:rsidR="00C469AA" w:rsidRPr="00D8671A">
        <w:rPr>
          <w:rFonts w:asciiTheme="majorBidi" w:hAnsiTheme="majorBidi" w:cstheme="majorBidi"/>
        </w:rPr>
        <w:t>The Court initially leaned towards the expanded</w:t>
      </w:r>
      <w:r w:rsidR="00D5204E" w:rsidRPr="00D8671A">
        <w:rPr>
          <w:rFonts w:asciiTheme="majorBidi" w:hAnsiTheme="majorBidi" w:cstheme="majorBidi"/>
        </w:rPr>
        <w:t xml:space="preserve"> notion of </w:t>
      </w:r>
      <w:r w:rsidR="001C4963" w:rsidRPr="00D8671A">
        <w:rPr>
          <w:rFonts w:asciiTheme="majorBidi" w:hAnsiTheme="majorBidi" w:cstheme="majorBidi"/>
        </w:rPr>
        <w:t>“</w:t>
      </w:r>
      <w:r w:rsidR="00C469AA" w:rsidRPr="00D8671A">
        <w:rPr>
          <w:rFonts w:asciiTheme="majorBidi" w:hAnsiTheme="majorBidi" w:cstheme="majorBidi"/>
        </w:rPr>
        <w:t>commission</w:t>
      </w:r>
      <w:r w:rsidR="001C4963" w:rsidRPr="00D8671A">
        <w:rPr>
          <w:rFonts w:asciiTheme="majorBidi" w:hAnsiTheme="majorBidi" w:cstheme="majorBidi"/>
        </w:rPr>
        <w:t>”</w:t>
      </w:r>
      <w:r w:rsidR="008B5926" w:rsidRPr="00D8671A">
        <w:rPr>
          <w:rFonts w:asciiTheme="majorBidi" w:hAnsiTheme="majorBidi" w:cstheme="majorBidi"/>
        </w:rPr>
        <w:t>, interpreted to cover</w:t>
      </w:r>
      <w:r w:rsidR="00C469AA" w:rsidRPr="00D8671A">
        <w:rPr>
          <w:rFonts w:asciiTheme="majorBidi" w:hAnsiTheme="majorBidi" w:cstheme="majorBidi"/>
        </w:rPr>
        <w:t xml:space="preserve"> instances whe</w:t>
      </w:r>
      <w:r w:rsidR="00F722AF" w:rsidRPr="00D8671A">
        <w:rPr>
          <w:rFonts w:asciiTheme="majorBidi" w:hAnsiTheme="majorBidi" w:cstheme="majorBidi"/>
        </w:rPr>
        <w:t>re</w:t>
      </w:r>
      <w:r w:rsidR="00C469AA" w:rsidRPr="00D8671A">
        <w:rPr>
          <w:rFonts w:asciiTheme="majorBidi" w:hAnsiTheme="majorBidi" w:cstheme="majorBidi"/>
        </w:rPr>
        <w:t xml:space="preserve"> persons do not physically perpetrate the crime but </w:t>
      </w:r>
      <w:r w:rsidR="001A15BE" w:rsidRPr="00D8671A">
        <w:rPr>
          <w:rFonts w:asciiTheme="majorBidi" w:hAnsiTheme="majorBidi" w:cstheme="majorBidi"/>
        </w:rPr>
        <w:t xml:space="preserve">enjoy </w:t>
      </w:r>
      <w:r w:rsidR="00C469AA" w:rsidRPr="00D8671A">
        <w:rPr>
          <w:rFonts w:asciiTheme="majorBidi" w:hAnsiTheme="majorBidi" w:cstheme="majorBidi"/>
        </w:rPr>
        <w:t xml:space="preserve">certain degree of control over it. </w:t>
      </w:r>
      <w:r w:rsidR="00185897" w:rsidRPr="00D8671A">
        <w:rPr>
          <w:rFonts w:asciiTheme="majorBidi" w:hAnsiTheme="majorBidi" w:cstheme="majorBidi"/>
        </w:rPr>
        <w:t xml:space="preserve">Underlying </w:t>
      </w:r>
      <w:r w:rsidR="002A1FE4" w:rsidRPr="00D8671A">
        <w:rPr>
          <w:rFonts w:asciiTheme="majorBidi" w:hAnsiTheme="majorBidi" w:cstheme="majorBidi"/>
        </w:rPr>
        <w:t xml:space="preserve">this trend </w:t>
      </w:r>
      <w:r w:rsidR="00185897" w:rsidRPr="00D8671A">
        <w:rPr>
          <w:rFonts w:asciiTheme="majorBidi" w:hAnsiTheme="majorBidi" w:cstheme="majorBidi"/>
        </w:rPr>
        <w:t xml:space="preserve">was the premise that </w:t>
      </w:r>
      <w:r w:rsidR="00C704B2">
        <w:rPr>
          <w:rFonts w:asciiTheme="majorBidi" w:hAnsiTheme="majorBidi" w:cstheme="majorBidi"/>
        </w:rPr>
        <w:t>“</w:t>
      </w:r>
      <w:r w:rsidR="002A1FE4" w:rsidRPr="00D8671A">
        <w:rPr>
          <w:rFonts w:asciiTheme="majorBidi" w:hAnsiTheme="majorBidi" w:cstheme="majorBidi"/>
        </w:rPr>
        <w:t>commission</w:t>
      </w:r>
      <w:r w:rsidR="00C704B2">
        <w:rPr>
          <w:rFonts w:asciiTheme="majorBidi" w:hAnsiTheme="majorBidi" w:cstheme="majorBidi"/>
        </w:rPr>
        <w:t xml:space="preserve">” </w:t>
      </w:r>
      <w:r w:rsidR="00185897" w:rsidRPr="00D8671A">
        <w:rPr>
          <w:rFonts w:asciiTheme="majorBidi" w:hAnsiTheme="majorBidi" w:cstheme="majorBidi"/>
        </w:rPr>
        <w:t xml:space="preserve">denotes </w:t>
      </w:r>
      <w:r w:rsidR="002A1FE4" w:rsidRPr="00D8671A">
        <w:rPr>
          <w:rFonts w:asciiTheme="majorBidi" w:hAnsiTheme="majorBidi" w:cstheme="majorBidi"/>
        </w:rPr>
        <w:t xml:space="preserve">a </w:t>
      </w:r>
      <w:r w:rsidR="00185897" w:rsidRPr="00D8671A">
        <w:rPr>
          <w:rFonts w:asciiTheme="majorBidi" w:hAnsiTheme="majorBidi" w:cstheme="majorBidi"/>
        </w:rPr>
        <w:t>higher degree of blameworthiness, and is</w:t>
      </w:r>
      <w:r w:rsidR="001A15BE" w:rsidRPr="00D8671A">
        <w:rPr>
          <w:rFonts w:asciiTheme="majorBidi" w:hAnsiTheme="majorBidi" w:cstheme="majorBidi"/>
        </w:rPr>
        <w:t xml:space="preserve"> therefore more appropriate </w:t>
      </w:r>
      <w:r w:rsidR="00185897" w:rsidRPr="00D8671A">
        <w:rPr>
          <w:rFonts w:asciiTheme="majorBidi" w:hAnsiTheme="majorBidi" w:cstheme="majorBidi"/>
        </w:rPr>
        <w:t xml:space="preserve">to describe </w:t>
      </w:r>
      <w:r w:rsidR="003D6F60" w:rsidRPr="00D8671A">
        <w:rPr>
          <w:rFonts w:asciiTheme="majorBidi" w:hAnsiTheme="majorBidi" w:cstheme="majorBidi"/>
        </w:rPr>
        <w:t xml:space="preserve">involvement </w:t>
      </w:r>
      <w:r w:rsidR="00185897" w:rsidRPr="00D8671A">
        <w:rPr>
          <w:rFonts w:asciiTheme="majorBidi" w:hAnsiTheme="majorBidi" w:cstheme="majorBidi"/>
        </w:rPr>
        <w:t xml:space="preserve">in mass atrocities. </w:t>
      </w:r>
      <w:r w:rsidR="00D54CBD" w:rsidRPr="00D8671A">
        <w:rPr>
          <w:rFonts w:asciiTheme="majorBidi" w:hAnsiTheme="majorBidi" w:cstheme="majorBidi"/>
        </w:rPr>
        <w:t xml:space="preserve">In contrast, </w:t>
      </w:r>
      <w:r w:rsidR="002A1FE4" w:rsidRPr="00D8671A">
        <w:rPr>
          <w:rFonts w:asciiTheme="majorBidi" w:hAnsiTheme="majorBidi" w:cstheme="majorBidi"/>
        </w:rPr>
        <w:t xml:space="preserve">the </w:t>
      </w:r>
      <w:r w:rsidR="00C469AA" w:rsidRPr="00D8671A">
        <w:rPr>
          <w:rFonts w:asciiTheme="majorBidi" w:hAnsiTheme="majorBidi" w:cstheme="majorBidi"/>
          <w:i/>
        </w:rPr>
        <w:t xml:space="preserve">Katanga </w:t>
      </w:r>
      <w:r w:rsidR="00D54CBD" w:rsidRPr="00D8671A">
        <w:rPr>
          <w:rFonts w:asciiTheme="majorBidi" w:hAnsiTheme="majorBidi" w:cstheme="majorBidi"/>
        </w:rPr>
        <w:t xml:space="preserve">trial </w:t>
      </w:r>
      <w:r w:rsidR="002A1FE4" w:rsidRPr="00D8671A">
        <w:rPr>
          <w:rFonts w:asciiTheme="majorBidi" w:hAnsiTheme="majorBidi" w:cstheme="majorBidi"/>
        </w:rPr>
        <w:t>judgement</w:t>
      </w:r>
      <w:r w:rsidR="00D54CBD" w:rsidRPr="00D8671A">
        <w:rPr>
          <w:rFonts w:asciiTheme="majorBidi" w:hAnsiTheme="majorBidi" w:cstheme="majorBidi"/>
        </w:rPr>
        <w:t>, issued in March last year</w:t>
      </w:r>
      <w:r w:rsidR="002A1FE4" w:rsidRPr="00D8671A">
        <w:rPr>
          <w:rFonts w:asciiTheme="majorBidi" w:hAnsiTheme="majorBidi" w:cstheme="majorBidi"/>
        </w:rPr>
        <w:t>, undermined the conception of</w:t>
      </w:r>
      <w:r w:rsidR="000C2DC5" w:rsidRPr="00D8671A">
        <w:rPr>
          <w:rFonts w:asciiTheme="majorBidi" w:hAnsiTheme="majorBidi" w:cstheme="majorBidi"/>
        </w:rPr>
        <w:t xml:space="preserve"> perpetration a</w:t>
      </w:r>
      <w:r w:rsidR="002A1FE4" w:rsidRPr="00D8671A">
        <w:rPr>
          <w:rFonts w:asciiTheme="majorBidi" w:hAnsiTheme="majorBidi" w:cstheme="majorBidi"/>
        </w:rPr>
        <w:t xml:space="preserve">s a superior form of responsibility in international criminal law. </w:t>
      </w:r>
      <w:r w:rsidR="003D6F60" w:rsidRPr="00D8671A">
        <w:rPr>
          <w:rFonts w:asciiTheme="majorBidi" w:hAnsiTheme="majorBidi" w:cstheme="majorBidi"/>
        </w:rPr>
        <w:t xml:space="preserve">Which position will prevail </w:t>
      </w:r>
      <w:r w:rsidR="0077286F" w:rsidRPr="00D8671A">
        <w:rPr>
          <w:rFonts w:asciiTheme="majorBidi" w:hAnsiTheme="majorBidi" w:cstheme="majorBidi"/>
        </w:rPr>
        <w:t xml:space="preserve">in a long run? </w:t>
      </w:r>
      <w:r w:rsidR="002A1FE4" w:rsidRPr="00D8671A">
        <w:rPr>
          <w:rFonts w:asciiTheme="majorBidi" w:hAnsiTheme="majorBidi" w:cstheme="majorBidi"/>
        </w:rPr>
        <w:t>The article</w:t>
      </w:r>
      <w:r w:rsidR="00100654" w:rsidRPr="00D8671A">
        <w:rPr>
          <w:rFonts w:asciiTheme="majorBidi" w:hAnsiTheme="majorBidi" w:cstheme="majorBidi"/>
        </w:rPr>
        <w:t xml:space="preserve"> explores the two convictions rendered by the Court to date and</w:t>
      </w:r>
      <w:r w:rsidR="002A1FE4" w:rsidRPr="00D8671A">
        <w:rPr>
          <w:rFonts w:asciiTheme="majorBidi" w:hAnsiTheme="majorBidi" w:cstheme="majorBidi"/>
        </w:rPr>
        <w:t xml:space="preserve"> argues that t</w:t>
      </w:r>
      <w:r w:rsidR="0077286F" w:rsidRPr="00D8671A">
        <w:rPr>
          <w:rFonts w:asciiTheme="majorBidi" w:hAnsiTheme="majorBidi" w:cstheme="majorBidi"/>
        </w:rPr>
        <w:t>he answer to thi</w:t>
      </w:r>
      <w:r w:rsidR="008610D7" w:rsidRPr="00D8671A">
        <w:rPr>
          <w:rFonts w:asciiTheme="majorBidi" w:hAnsiTheme="majorBidi" w:cstheme="majorBidi"/>
        </w:rPr>
        <w:t xml:space="preserve">s question is </w:t>
      </w:r>
      <w:r w:rsidR="00AC172C">
        <w:rPr>
          <w:rFonts w:asciiTheme="majorBidi" w:hAnsiTheme="majorBidi" w:cstheme="majorBidi"/>
        </w:rPr>
        <w:t xml:space="preserve">still </w:t>
      </w:r>
      <w:r w:rsidR="00E874A3">
        <w:rPr>
          <w:rFonts w:asciiTheme="majorBidi" w:hAnsiTheme="majorBidi" w:cstheme="majorBidi"/>
        </w:rPr>
        <w:t>unclear.</w:t>
      </w:r>
      <w:r w:rsidR="008610D7" w:rsidRPr="00D8671A">
        <w:rPr>
          <w:rFonts w:asciiTheme="majorBidi" w:hAnsiTheme="majorBidi" w:cstheme="majorBidi"/>
        </w:rPr>
        <w:t xml:space="preserve"> </w:t>
      </w:r>
    </w:p>
    <w:p w14:paraId="7E287741" w14:textId="77777777" w:rsidR="00D8671A" w:rsidRDefault="00D8671A" w:rsidP="00D8671A">
      <w:pPr>
        <w:widowControl w:val="0"/>
        <w:autoSpaceDE w:val="0"/>
        <w:autoSpaceDN w:val="0"/>
        <w:adjustRightInd w:val="0"/>
        <w:spacing w:after="0" w:line="240" w:lineRule="auto"/>
        <w:ind w:right="-64" w:firstLine="720"/>
        <w:rPr>
          <w:rFonts w:asciiTheme="majorBidi" w:hAnsiTheme="majorBidi" w:cstheme="majorBidi"/>
          <w:b/>
        </w:rPr>
      </w:pPr>
    </w:p>
    <w:p w14:paraId="3BBF89C0" w14:textId="367A8193" w:rsidR="008C2F7E" w:rsidRPr="00D8671A" w:rsidRDefault="008C2F7E" w:rsidP="00D8671A">
      <w:pPr>
        <w:widowControl w:val="0"/>
        <w:autoSpaceDE w:val="0"/>
        <w:autoSpaceDN w:val="0"/>
        <w:adjustRightInd w:val="0"/>
        <w:spacing w:after="0" w:line="240" w:lineRule="auto"/>
        <w:ind w:right="-64" w:firstLine="720"/>
        <w:rPr>
          <w:rFonts w:asciiTheme="majorBidi" w:hAnsiTheme="majorBidi" w:cstheme="majorBidi"/>
          <w:b/>
        </w:rPr>
      </w:pPr>
      <w:r w:rsidRPr="00D8671A">
        <w:rPr>
          <w:rFonts w:asciiTheme="majorBidi" w:hAnsiTheme="majorBidi" w:cstheme="majorBidi"/>
          <w:b/>
        </w:rPr>
        <w:t>Keywords</w:t>
      </w:r>
    </w:p>
    <w:p w14:paraId="7173F24B" w14:textId="77777777" w:rsidR="00D8671A" w:rsidRDefault="00D8671A" w:rsidP="00D8671A">
      <w:pPr>
        <w:widowControl w:val="0"/>
        <w:autoSpaceDE w:val="0"/>
        <w:autoSpaceDN w:val="0"/>
        <w:adjustRightInd w:val="0"/>
        <w:spacing w:after="0" w:line="240" w:lineRule="auto"/>
        <w:ind w:right="-64"/>
        <w:rPr>
          <w:rFonts w:asciiTheme="majorBidi" w:hAnsiTheme="majorBidi" w:cstheme="majorBidi"/>
        </w:rPr>
      </w:pPr>
    </w:p>
    <w:p w14:paraId="6050894F" w14:textId="77E40125" w:rsidR="008C2F7E" w:rsidRDefault="00690053" w:rsidP="00D8671A">
      <w:pPr>
        <w:widowControl w:val="0"/>
        <w:autoSpaceDE w:val="0"/>
        <w:autoSpaceDN w:val="0"/>
        <w:adjustRightInd w:val="0"/>
        <w:spacing w:after="0" w:line="240" w:lineRule="auto"/>
        <w:ind w:right="-64"/>
        <w:rPr>
          <w:rFonts w:asciiTheme="majorBidi" w:hAnsiTheme="majorBidi" w:cstheme="majorBidi"/>
        </w:rPr>
      </w:pPr>
      <w:r w:rsidRPr="00D8671A">
        <w:rPr>
          <w:rFonts w:asciiTheme="majorBidi" w:hAnsiTheme="majorBidi" w:cstheme="majorBidi"/>
        </w:rPr>
        <w:t>f</w:t>
      </w:r>
      <w:r w:rsidR="0078731F" w:rsidRPr="00D8671A">
        <w:rPr>
          <w:rFonts w:asciiTheme="majorBidi" w:hAnsiTheme="majorBidi" w:cstheme="majorBidi"/>
        </w:rPr>
        <w:t>orms of responsibility – hierarchy – blameworthiness – control over crime</w:t>
      </w:r>
      <w:r w:rsidR="00826E0C" w:rsidRPr="00D8671A">
        <w:rPr>
          <w:rFonts w:asciiTheme="majorBidi" w:hAnsiTheme="majorBidi" w:cstheme="majorBidi"/>
        </w:rPr>
        <w:t xml:space="preserve"> – sources of law </w:t>
      </w:r>
      <w:r w:rsidR="00616799" w:rsidRPr="00D8671A">
        <w:rPr>
          <w:rFonts w:asciiTheme="majorBidi" w:hAnsiTheme="majorBidi" w:cstheme="majorBidi"/>
        </w:rPr>
        <w:t>– contribution to the crime</w:t>
      </w:r>
    </w:p>
    <w:p w14:paraId="01EF3091" w14:textId="77777777" w:rsidR="00D8671A" w:rsidRPr="00D8671A" w:rsidRDefault="00D8671A" w:rsidP="00D8671A">
      <w:pPr>
        <w:widowControl w:val="0"/>
        <w:autoSpaceDE w:val="0"/>
        <w:autoSpaceDN w:val="0"/>
        <w:adjustRightInd w:val="0"/>
        <w:spacing w:after="0" w:line="240" w:lineRule="auto"/>
        <w:ind w:right="-64"/>
        <w:rPr>
          <w:rFonts w:asciiTheme="majorBidi" w:hAnsiTheme="majorBidi" w:cstheme="majorBidi"/>
        </w:rPr>
      </w:pPr>
    </w:p>
    <w:p w14:paraId="0D1E90A2" w14:textId="00CADF8F" w:rsidR="00100B4D" w:rsidRPr="00D8671A" w:rsidRDefault="00CB1AB9" w:rsidP="00D8671A">
      <w:pPr>
        <w:pStyle w:val="Heading2"/>
        <w:spacing w:before="0" w:line="240" w:lineRule="auto"/>
        <w:ind w:hanging="1080"/>
        <w:rPr>
          <w:rFonts w:asciiTheme="majorBidi" w:hAnsiTheme="majorBidi"/>
          <w:color w:val="auto"/>
          <w:sz w:val="22"/>
          <w:szCs w:val="22"/>
        </w:rPr>
      </w:pPr>
      <w:r w:rsidRPr="00D8671A">
        <w:rPr>
          <w:rFonts w:asciiTheme="majorBidi" w:hAnsiTheme="majorBidi"/>
          <w:color w:val="auto"/>
          <w:sz w:val="22"/>
          <w:szCs w:val="22"/>
        </w:rPr>
        <w:t>Introduction</w:t>
      </w:r>
    </w:p>
    <w:p w14:paraId="0F72FF7C" w14:textId="77777777" w:rsidR="00D8671A" w:rsidRDefault="00D8671A" w:rsidP="00D8671A">
      <w:pPr>
        <w:spacing w:after="0" w:line="240" w:lineRule="auto"/>
        <w:rPr>
          <w:rFonts w:asciiTheme="majorBidi" w:hAnsiTheme="majorBidi" w:cstheme="majorBidi"/>
        </w:rPr>
      </w:pPr>
    </w:p>
    <w:p w14:paraId="40025895" w14:textId="67C3175E" w:rsidR="00321F87" w:rsidRPr="00D8671A" w:rsidRDefault="00321F87" w:rsidP="000D1761">
      <w:pPr>
        <w:spacing w:after="0" w:line="240" w:lineRule="auto"/>
        <w:rPr>
          <w:rFonts w:asciiTheme="majorBidi" w:hAnsiTheme="majorBidi" w:cstheme="majorBidi"/>
        </w:rPr>
      </w:pPr>
      <w:r w:rsidRPr="00D8671A">
        <w:rPr>
          <w:rFonts w:asciiTheme="majorBidi" w:hAnsiTheme="majorBidi" w:cstheme="majorBidi"/>
        </w:rPr>
        <w:t xml:space="preserve">Article 25(3) of the Rome Statute </w:t>
      </w:r>
      <w:r w:rsidR="00E06D9C" w:rsidRPr="00D8671A">
        <w:rPr>
          <w:rFonts w:asciiTheme="majorBidi" w:hAnsiTheme="majorBidi" w:cstheme="majorBidi"/>
        </w:rPr>
        <w:t>of the I</w:t>
      </w:r>
      <w:r w:rsidR="00DA2503" w:rsidRPr="00D8671A">
        <w:rPr>
          <w:rFonts w:asciiTheme="majorBidi" w:hAnsiTheme="majorBidi" w:cstheme="majorBidi"/>
        </w:rPr>
        <w:t xml:space="preserve">nternational Criminal Court </w:t>
      </w:r>
      <w:r w:rsidRPr="00D8671A">
        <w:rPr>
          <w:rFonts w:asciiTheme="majorBidi" w:hAnsiTheme="majorBidi" w:cstheme="majorBidi"/>
        </w:rPr>
        <w:t>contains the most comprehensive</w:t>
      </w:r>
      <w:r w:rsidR="00B64998" w:rsidRPr="00D8671A">
        <w:rPr>
          <w:rFonts w:asciiTheme="majorBidi" w:hAnsiTheme="majorBidi" w:cstheme="majorBidi"/>
        </w:rPr>
        <w:t xml:space="preserve"> and systematic</w:t>
      </w:r>
      <w:r w:rsidRPr="00D8671A">
        <w:rPr>
          <w:rFonts w:asciiTheme="majorBidi" w:hAnsiTheme="majorBidi" w:cstheme="majorBidi"/>
        </w:rPr>
        <w:t xml:space="preserve"> description of the </w:t>
      </w:r>
      <w:r w:rsidR="00BF48E6" w:rsidRPr="00D8671A">
        <w:rPr>
          <w:rFonts w:asciiTheme="majorBidi" w:hAnsiTheme="majorBidi" w:cstheme="majorBidi"/>
        </w:rPr>
        <w:t>modes of liability</w:t>
      </w:r>
      <w:r w:rsidRPr="00D8671A">
        <w:rPr>
          <w:rFonts w:asciiTheme="majorBidi" w:hAnsiTheme="majorBidi" w:cstheme="majorBidi"/>
        </w:rPr>
        <w:t xml:space="preserve"> </w:t>
      </w:r>
      <w:r w:rsidR="001A15BE" w:rsidRPr="00D8671A">
        <w:rPr>
          <w:rFonts w:asciiTheme="majorBidi" w:hAnsiTheme="majorBidi" w:cstheme="majorBidi"/>
        </w:rPr>
        <w:t xml:space="preserve">that have ever </w:t>
      </w:r>
      <w:r w:rsidRPr="00D8671A">
        <w:rPr>
          <w:rFonts w:asciiTheme="majorBidi" w:hAnsiTheme="majorBidi" w:cstheme="majorBidi"/>
        </w:rPr>
        <w:t xml:space="preserve">appeared in the history of international criminal law. Aside from </w:t>
      </w:r>
      <w:r w:rsidR="001C4963" w:rsidRPr="00D8671A">
        <w:rPr>
          <w:rFonts w:asciiTheme="majorBidi" w:hAnsiTheme="majorBidi" w:cstheme="majorBidi"/>
        </w:rPr>
        <w:t>“</w:t>
      </w:r>
      <w:r w:rsidRPr="00D8671A">
        <w:rPr>
          <w:rFonts w:asciiTheme="majorBidi" w:hAnsiTheme="majorBidi" w:cstheme="majorBidi"/>
        </w:rPr>
        <w:t>committing</w:t>
      </w:r>
      <w:r w:rsidR="001C4963" w:rsidRPr="00D8671A">
        <w:rPr>
          <w:rFonts w:asciiTheme="majorBidi" w:hAnsiTheme="majorBidi" w:cstheme="majorBidi"/>
        </w:rPr>
        <w:t>”</w:t>
      </w:r>
      <w:r w:rsidRPr="00D8671A">
        <w:rPr>
          <w:rFonts w:asciiTheme="majorBidi" w:hAnsiTheme="majorBidi" w:cstheme="majorBidi"/>
        </w:rPr>
        <w:t>, contained in subparagraph (a) of the article, all other</w:t>
      </w:r>
      <w:r w:rsidR="008C4659" w:rsidRPr="00D8671A">
        <w:rPr>
          <w:rFonts w:asciiTheme="majorBidi" w:hAnsiTheme="majorBidi" w:cstheme="majorBidi"/>
        </w:rPr>
        <w:t xml:space="preserve"> categories</w:t>
      </w:r>
      <w:r w:rsidRPr="00D8671A">
        <w:rPr>
          <w:rFonts w:asciiTheme="majorBidi" w:hAnsiTheme="majorBidi" w:cstheme="majorBidi"/>
        </w:rPr>
        <w:t xml:space="preserve"> listed in the Rome Statute fit within the notion of </w:t>
      </w:r>
      <w:r w:rsidR="001C4963" w:rsidRPr="00D8671A">
        <w:rPr>
          <w:rFonts w:asciiTheme="majorBidi" w:hAnsiTheme="majorBidi" w:cstheme="majorBidi"/>
        </w:rPr>
        <w:t>“</w:t>
      </w:r>
      <w:r w:rsidRPr="00D8671A">
        <w:rPr>
          <w:rFonts w:asciiTheme="majorBidi" w:hAnsiTheme="majorBidi" w:cstheme="majorBidi"/>
        </w:rPr>
        <w:t>complicity</w:t>
      </w:r>
      <w:r w:rsidR="001C4963" w:rsidRPr="00D8671A">
        <w:rPr>
          <w:rFonts w:asciiTheme="majorBidi" w:hAnsiTheme="majorBidi" w:cstheme="majorBidi"/>
        </w:rPr>
        <w:t>”</w:t>
      </w:r>
      <w:r w:rsidRPr="00D8671A">
        <w:rPr>
          <w:rFonts w:asciiTheme="majorBidi" w:hAnsiTheme="majorBidi" w:cstheme="majorBidi"/>
        </w:rPr>
        <w:t>.</w:t>
      </w:r>
      <w:r w:rsidRPr="00D8671A">
        <w:rPr>
          <w:rStyle w:val="FootnoteReference"/>
          <w:rFonts w:asciiTheme="majorBidi" w:hAnsiTheme="majorBidi" w:cstheme="majorBidi"/>
        </w:rPr>
        <w:footnoteReference w:id="2"/>
      </w:r>
      <w:r w:rsidRPr="00D8671A">
        <w:rPr>
          <w:rFonts w:asciiTheme="majorBidi" w:hAnsiTheme="majorBidi" w:cstheme="majorBidi"/>
        </w:rPr>
        <w:t xml:space="preserve"> Notwithstanding the availability of various forms of</w:t>
      </w:r>
      <w:r w:rsidR="00C35995" w:rsidRPr="00D8671A">
        <w:rPr>
          <w:rFonts w:asciiTheme="majorBidi" w:hAnsiTheme="majorBidi" w:cstheme="majorBidi"/>
        </w:rPr>
        <w:t xml:space="preserve"> responsibility</w:t>
      </w:r>
      <w:r w:rsidRPr="00D8671A">
        <w:rPr>
          <w:rFonts w:asciiTheme="majorBidi" w:hAnsiTheme="majorBidi" w:cstheme="majorBidi"/>
        </w:rPr>
        <w:t xml:space="preserve">, the ICC, in its early case law, leaned towards expanding the notion of </w:t>
      </w:r>
      <w:r w:rsidR="001C4963" w:rsidRPr="00D8671A">
        <w:rPr>
          <w:rFonts w:asciiTheme="majorBidi" w:hAnsiTheme="majorBidi" w:cstheme="majorBidi"/>
        </w:rPr>
        <w:t>“</w:t>
      </w:r>
      <w:r w:rsidRPr="00D8671A">
        <w:rPr>
          <w:rFonts w:asciiTheme="majorBidi" w:hAnsiTheme="majorBidi" w:cstheme="majorBidi"/>
        </w:rPr>
        <w:t>commission</w:t>
      </w:r>
      <w:r w:rsidR="001C4963" w:rsidRPr="00D8671A">
        <w:rPr>
          <w:rFonts w:asciiTheme="majorBidi" w:hAnsiTheme="majorBidi" w:cstheme="majorBidi"/>
        </w:rPr>
        <w:t>”</w:t>
      </w:r>
      <w:r w:rsidRPr="00D8671A">
        <w:rPr>
          <w:rFonts w:asciiTheme="majorBidi" w:hAnsiTheme="majorBidi" w:cstheme="majorBidi"/>
        </w:rPr>
        <w:t xml:space="preserve"> to include a wide array of conduct.</w:t>
      </w:r>
      <w:r w:rsidRPr="00D8671A">
        <w:rPr>
          <w:rStyle w:val="FootnoteReference"/>
          <w:rFonts w:asciiTheme="majorBidi" w:hAnsiTheme="majorBidi" w:cstheme="majorBidi"/>
        </w:rPr>
        <w:footnoteReference w:id="3"/>
      </w:r>
      <w:r w:rsidRPr="00D8671A">
        <w:rPr>
          <w:rFonts w:asciiTheme="majorBidi" w:hAnsiTheme="majorBidi" w:cstheme="majorBidi"/>
        </w:rPr>
        <w:t xml:space="preserve"> </w:t>
      </w:r>
    </w:p>
    <w:p w14:paraId="350D13E9" w14:textId="021CA31E" w:rsidR="00321F87" w:rsidRPr="00D8671A" w:rsidRDefault="00D8671A" w:rsidP="00D8671A">
      <w:pPr>
        <w:spacing w:after="0" w:line="240" w:lineRule="auto"/>
        <w:rPr>
          <w:rFonts w:asciiTheme="majorBidi" w:hAnsiTheme="majorBidi" w:cstheme="majorBidi"/>
        </w:rPr>
      </w:pPr>
      <w:r>
        <w:rPr>
          <w:rFonts w:asciiTheme="majorBidi" w:hAnsiTheme="majorBidi" w:cstheme="majorBidi"/>
        </w:rPr>
        <w:tab/>
      </w:r>
      <w:r w:rsidR="00321F87" w:rsidRPr="00D8671A">
        <w:rPr>
          <w:rFonts w:asciiTheme="majorBidi" w:hAnsiTheme="majorBidi" w:cstheme="majorBidi"/>
        </w:rPr>
        <w:t xml:space="preserve">Since </w:t>
      </w:r>
      <w:r w:rsidR="001A15BE" w:rsidRPr="00D8671A">
        <w:rPr>
          <w:rFonts w:asciiTheme="majorBidi" w:hAnsiTheme="majorBidi" w:cstheme="majorBidi"/>
        </w:rPr>
        <w:t>coming into existence</w:t>
      </w:r>
      <w:r w:rsidR="00321F87" w:rsidRPr="00D8671A">
        <w:rPr>
          <w:rFonts w:asciiTheme="majorBidi" w:hAnsiTheme="majorBidi" w:cstheme="majorBidi"/>
        </w:rPr>
        <w:t xml:space="preserve">, the ICC </w:t>
      </w:r>
      <w:r w:rsidR="001A15BE" w:rsidRPr="00D8671A">
        <w:rPr>
          <w:rFonts w:asciiTheme="majorBidi" w:hAnsiTheme="majorBidi" w:cstheme="majorBidi"/>
        </w:rPr>
        <w:t xml:space="preserve">has </w:t>
      </w:r>
      <w:r w:rsidR="00321F87" w:rsidRPr="00D8671A">
        <w:rPr>
          <w:rFonts w:asciiTheme="majorBidi" w:hAnsiTheme="majorBidi" w:cstheme="majorBidi"/>
        </w:rPr>
        <w:t xml:space="preserve">favoured the concepts of direct and indirect co-perpetration by means of control over crime in attaching responsibility to the accused </w:t>
      </w:r>
      <w:r w:rsidR="001A15BE" w:rsidRPr="00D8671A">
        <w:rPr>
          <w:rFonts w:asciiTheme="majorBidi" w:hAnsiTheme="majorBidi" w:cstheme="majorBidi"/>
        </w:rPr>
        <w:t xml:space="preserve">who is </w:t>
      </w:r>
      <w:r w:rsidR="00E823DF" w:rsidRPr="00D8671A">
        <w:rPr>
          <w:rFonts w:asciiTheme="majorBidi" w:hAnsiTheme="majorBidi" w:cstheme="majorBidi"/>
        </w:rPr>
        <w:t>geographically and/or temporally</w:t>
      </w:r>
      <w:r w:rsidR="00F51FA8" w:rsidRPr="00D8671A">
        <w:rPr>
          <w:rFonts w:asciiTheme="majorBidi" w:hAnsiTheme="majorBidi" w:cstheme="majorBidi"/>
        </w:rPr>
        <w:t xml:space="preserve"> </w:t>
      </w:r>
      <w:r w:rsidR="00321F87" w:rsidRPr="00D8671A">
        <w:rPr>
          <w:rFonts w:asciiTheme="majorBidi" w:hAnsiTheme="majorBidi" w:cstheme="majorBidi"/>
        </w:rPr>
        <w:t xml:space="preserve">removed from </w:t>
      </w:r>
      <w:r w:rsidR="00580380" w:rsidRPr="00D8671A">
        <w:rPr>
          <w:rFonts w:asciiTheme="majorBidi" w:hAnsiTheme="majorBidi" w:cstheme="majorBidi"/>
        </w:rPr>
        <w:t>the offence</w:t>
      </w:r>
      <w:r w:rsidR="00321F87" w:rsidRPr="00D8671A">
        <w:rPr>
          <w:rFonts w:asciiTheme="majorBidi" w:hAnsiTheme="majorBidi" w:cstheme="majorBidi"/>
        </w:rPr>
        <w:t>.</w:t>
      </w:r>
      <w:r w:rsidR="00321F87" w:rsidRPr="00D8671A">
        <w:rPr>
          <w:rStyle w:val="FootnoteReference"/>
          <w:rFonts w:asciiTheme="majorBidi" w:hAnsiTheme="majorBidi" w:cstheme="majorBidi"/>
        </w:rPr>
        <w:footnoteReference w:id="4"/>
      </w:r>
      <w:r w:rsidR="00321F87" w:rsidRPr="00D8671A">
        <w:rPr>
          <w:rFonts w:asciiTheme="majorBidi" w:hAnsiTheme="majorBidi" w:cstheme="majorBidi"/>
        </w:rPr>
        <w:t xml:space="preserve"> These constructions were inferred from subparagraph (a) of Article 25(3) of the Rome Statute, which mentions </w:t>
      </w:r>
      <w:r w:rsidR="00321F87" w:rsidRPr="00D8671A">
        <w:rPr>
          <w:rFonts w:asciiTheme="majorBidi" w:hAnsiTheme="majorBidi" w:cstheme="majorBidi"/>
        </w:rPr>
        <w:lastRenderedPageBreak/>
        <w:t>commission of a crime ‘as an individual, jointly with another or through another person</w:t>
      </w:r>
      <w:r w:rsidR="00321F87" w:rsidRPr="00D8671A">
        <w:rPr>
          <w:rFonts w:asciiTheme="majorBidi" w:eastAsia="Times New Roman" w:hAnsiTheme="majorBidi" w:cstheme="majorBidi"/>
        </w:rPr>
        <w:t>’</w:t>
      </w:r>
      <w:r w:rsidR="00321F87" w:rsidRPr="00D8671A">
        <w:rPr>
          <w:rFonts w:asciiTheme="majorBidi" w:hAnsiTheme="majorBidi" w:cstheme="majorBidi"/>
        </w:rPr>
        <w:t>.</w:t>
      </w:r>
      <w:r w:rsidR="00304B96" w:rsidRPr="00D8671A">
        <w:rPr>
          <w:rStyle w:val="FootnoteReference"/>
          <w:rFonts w:asciiTheme="majorBidi" w:hAnsiTheme="majorBidi" w:cstheme="majorBidi"/>
        </w:rPr>
        <w:footnoteReference w:id="5"/>
      </w:r>
      <w:r w:rsidR="00321F87" w:rsidRPr="00D8671A">
        <w:rPr>
          <w:rFonts w:asciiTheme="majorBidi" w:hAnsiTheme="majorBidi" w:cstheme="majorBidi"/>
        </w:rPr>
        <w:t xml:space="preserve"> The control over crime theory, which has its origins in German legal thought, is a form of commission that extends principal liability to those persons who do not physically commit the offence but nonetheless possess a certain degree of control over its commission.</w:t>
      </w:r>
      <w:r w:rsidR="00321F87" w:rsidRPr="00D8671A">
        <w:rPr>
          <w:rStyle w:val="FootnoteReference"/>
          <w:rFonts w:asciiTheme="majorBidi" w:hAnsiTheme="majorBidi" w:cstheme="majorBidi"/>
        </w:rPr>
        <w:footnoteReference w:id="6"/>
      </w:r>
      <w:r w:rsidR="00321F87" w:rsidRPr="00D8671A">
        <w:rPr>
          <w:rFonts w:asciiTheme="majorBidi" w:hAnsiTheme="majorBidi" w:cstheme="majorBidi"/>
        </w:rPr>
        <w:t xml:space="preserve"> Accessories, on the other hand, do not have such control.</w:t>
      </w:r>
      <w:r w:rsidR="00321F87" w:rsidRPr="00D8671A">
        <w:rPr>
          <w:rStyle w:val="FootnoteReference"/>
          <w:rFonts w:asciiTheme="majorBidi" w:hAnsiTheme="majorBidi" w:cstheme="majorBidi"/>
        </w:rPr>
        <w:footnoteReference w:id="7"/>
      </w:r>
      <w:r w:rsidR="00321F87" w:rsidRPr="00D8671A">
        <w:rPr>
          <w:rFonts w:asciiTheme="majorBidi" w:hAnsiTheme="majorBidi" w:cstheme="majorBidi"/>
        </w:rPr>
        <w:t xml:space="preserve"> The ICC used the idea of control over crime to create the form of participation that not only delimits the conduct warranting criminal liability but also functions as a criterion for qualifying the degree of responsibility of the accused.</w:t>
      </w:r>
      <w:r w:rsidR="00321F87" w:rsidRPr="00D8671A">
        <w:rPr>
          <w:rStyle w:val="FootnoteReference"/>
          <w:rFonts w:asciiTheme="majorBidi" w:hAnsiTheme="majorBidi" w:cstheme="majorBidi"/>
        </w:rPr>
        <w:footnoteReference w:id="8"/>
      </w:r>
    </w:p>
    <w:p w14:paraId="17A6FCDB" w14:textId="77777777" w:rsidR="00F6273F" w:rsidRDefault="00D8671A" w:rsidP="00D8671A">
      <w:pPr>
        <w:spacing w:after="0" w:line="240" w:lineRule="auto"/>
        <w:rPr>
          <w:rFonts w:asciiTheme="majorBidi" w:hAnsiTheme="majorBidi" w:cstheme="majorBidi"/>
        </w:rPr>
      </w:pPr>
      <w:r>
        <w:rPr>
          <w:rFonts w:asciiTheme="majorBidi" w:hAnsiTheme="majorBidi" w:cstheme="majorBidi"/>
        </w:rPr>
        <w:tab/>
      </w:r>
      <w:r w:rsidR="00321F87" w:rsidRPr="00D8671A">
        <w:rPr>
          <w:rFonts w:asciiTheme="majorBidi" w:hAnsiTheme="majorBidi" w:cstheme="majorBidi"/>
        </w:rPr>
        <w:t xml:space="preserve">The reason for neglecting complicity in favour of the other forms of commission in the early case law of the ICC could be explained by the structure of Article 25(3) of the Statute and the alleged hierarchy of the participation modes that it contains. </w:t>
      </w:r>
      <w:r w:rsidR="001A15BE" w:rsidRPr="00D8671A">
        <w:rPr>
          <w:rFonts w:asciiTheme="majorBidi" w:hAnsiTheme="majorBidi" w:cstheme="majorBidi"/>
        </w:rPr>
        <w:t>In its first pronouncements on the matter t</w:t>
      </w:r>
      <w:r w:rsidR="00321F87" w:rsidRPr="00D8671A">
        <w:rPr>
          <w:rFonts w:asciiTheme="majorBidi" w:hAnsiTheme="majorBidi" w:cstheme="majorBidi"/>
        </w:rPr>
        <w:t xml:space="preserve">he ICC, by siding with the German legal tradition and inferring direct and indirect co-perpetration from the wording of the relevant provision, </w:t>
      </w:r>
      <w:r w:rsidR="001A15BE" w:rsidRPr="00D8671A">
        <w:rPr>
          <w:rFonts w:asciiTheme="majorBidi" w:hAnsiTheme="majorBidi" w:cstheme="majorBidi"/>
        </w:rPr>
        <w:t>acknowledged</w:t>
      </w:r>
      <w:r w:rsidR="00321F87" w:rsidRPr="00D8671A">
        <w:rPr>
          <w:rFonts w:asciiTheme="majorBidi" w:hAnsiTheme="majorBidi" w:cstheme="majorBidi"/>
        </w:rPr>
        <w:t xml:space="preserve"> that the hierarchy of the modes of participation is implicit in Article 25(3).</w:t>
      </w:r>
      <w:r w:rsidR="00321F87" w:rsidRPr="00D8671A">
        <w:rPr>
          <w:rStyle w:val="FootnoteReference"/>
          <w:rFonts w:asciiTheme="majorBidi" w:hAnsiTheme="majorBidi" w:cstheme="majorBidi"/>
        </w:rPr>
        <w:footnoteReference w:id="9"/>
      </w:r>
      <w:r w:rsidR="00321F87" w:rsidRPr="00D8671A">
        <w:rPr>
          <w:rFonts w:asciiTheme="majorBidi" w:hAnsiTheme="majorBidi" w:cstheme="majorBidi"/>
        </w:rPr>
        <w:t xml:space="preserve"> </w:t>
      </w:r>
      <w:r w:rsidR="00040363" w:rsidRPr="00D8671A">
        <w:rPr>
          <w:rFonts w:asciiTheme="majorBidi" w:hAnsiTheme="majorBidi" w:cstheme="majorBidi"/>
        </w:rPr>
        <w:t>As a result</w:t>
      </w:r>
      <w:r w:rsidR="00321F87" w:rsidRPr="00D8671A">
        <w:rPr>
          <w:rFonts w:asciiTheme="majorBidi" w:hAnsiTheme="majorBidi" w:cstheme="majorBidi"/>
        </w:rPr>
        <w:t xml:space="preserve">, the court felt compelled to utilize the </w:t>
      </w:r>
      <w:r w:rsidR="001C4963" w:rsidRPr="00D8671A">
        <w:rPr>
          <w:rFonts w:asciiTheme="majorBidi" w:hAnsiTheme="majorBidi" w:cstheme="majorBidi"/>
        </w:rPr>
        <w:t>“</w:t>
      </w:r>
      <w:r w:rsidR="00321F87" w:rsidRPr="00D8671A">
        <w:rPr>
          <w:rFonts w:asciiTheme="majorBidi" w:hAnsiTheme="majorBidi" w:cstheme="majorBidi"/>
        </w:rPr>
        <w:t>stronger</w:t>
      </w:r>
      <w:r w:rsidR="001C4963" w:rsidRPr="00D8671A">
        <w:rPr>
          <w:rFonts w:asciiTheme="majorBidi" w:hAnsiTheme="majorBidi" w:cstheme="majorBidi"/>
        </w:rPr>
        <w:t>”</w:t>
      </w:r>
      <w:r w:rsidR="00321F87" w:rsidRPr="00D8671A">
        <w:rPr>
          <w:rFonts w:asciiTheme="majorBidi" w:hAnsiTheme="majorBidi" w:cstheme="majorBidi"/>
        </w:rPr>
        <w:t xml:space="preserve"> concept of co-perpetration as opposed to the various forms of complicity enshrined in the subsequent paragraphs of Article 25(3) with the view of stressing the magnitude of crimes falling within the jurisdiction of the ICC.</w:t>
      </w:r>
      <w:r w:rsidR="00321F87" w:rsidRPr="00D8671A">
        <w:rPr>
          <w:rStyle w:val="FootnoteReference"/>
          <w:rFonts w:asciiTheme="majorBidi" w:hAnsiTheme="majorBidi" w:cstheme="majorBidi"/>
        </w:rPr>
        <w:footnoteReference w:id="10"/>
      </w:r>
      <w:r w:rsidR="00321F87" w:rsidRPr="00D8671A">
        <w:rPr>
          <w:rFonts w:asciiTheme="majorBidi" w:hAnsiTheme="majorBidi" w:cstheme="majorBidi"/>
        </w:rPr>
        <w:t xml:space="preserve"> </w:t>
      </w:r>
      <w:r w:rsidR="001A15BE" w:rsidRPr="00D8671A">
        <w:rPr>
          <w:rFonts w:asciiTheme="majorBidi" w:hAnsiTheme="majorBidi" w:cstheme="majorBidi"/>
        </w:rPr>
        <w:t>T</w:t>
      </w:r>
      <w:r w:rsidR="00321F87" w:rsidRPr="00D8671A">
        <w:rPr>
          <w:rFonts w:asciiTheme="majorBidi" w:hAnsiTheme="majorBidi" w:cstheme="majorBidi"/>
        </w:rPr>
        <w:t xml:space="preserve">he first conviction of the ICC was </w:t>
      </w:r>
      <w:r w:rsidR="001A15BE" w:rsidRPr="00D8671A">
        <w:rPr>
          <w:rFonts w:asciiTheme="majorBidi" w:hAnsiTheme="majorBidi" w:cstheme="majorBidi"/>
        </w:rPr>
        <w:t xml:space="preserve">accordingly </w:t>
      </w:r>
      <w:r w:rsidR="00321F87" w:rsidRPr="00D8671A">
        <w:rPr>
          <w:rFonts w:asciiTheme="majorBidi" w:hAnsiTheme="majorBidi" w:cstheme="majorBidi"/>
        </w:rPr>
        <w:t>under the doctrine of co-perpetration pursuant to Article 25(3)(a) of the Statute.</w:t>
      </w:r>
      <w:r w:rsidR="00321F87" w:rsidRPr="00D8671A">
        <w:rPr>
          <w:rStyle w:val="FootnoteReference"/>
          <w:rFonts w:asciiTheme="majorBidi" w:hAnsiTheme="majorBidi" w:cstheme="majorBidi"/>
        </w:rPr>
        <w:footnoteReference w:id="11"/>
      </w:r>
      <w:r w:rsidR="00BD55C0" w:rsidRPr="00D8671A">
        <w:rPr>
          <w:rFonts w:asciiTheme="majorBidi" w:hAnsiTheme="majorBidi" w:cstheme="majorBidi"/>
        </w:rPr>
        <w:t xml:space="preserve"> </w:t>
      </w:r>
    </w:p>
    <w:p w14:paraId="1CA25F3E" w14:textId="77777777" w:rsidR="00F6273F" w:rsidRDefault="00F6273F" w:rsidP="00D8671A">
      <w:pPr>
        <w:spacing w:after="0" w:line="240" w:lineRule="auto"/>
        <w:rPr>
          <w:rFonts w:asciiTheme="majorBidi" w:hAnsiTheme="majorBidi" w:cstheme="majorBidi"/>
        </w:rPr>
      </w:pPr>
    </w:p>
    <w:p w14:paraId="51C1ABEF" w14:textId="7C3F1F58" w:rsidR="00321F87" w:rsidRPr="00D8671A" w:rsidRDefault="00BD55C0" w:rsidP="00F6273F">
      <w:pPr>
        <w:spacing w:after="0" w:line="240" w:lineRule="auto"/>
        <w:ind w:firstLine="720"/>
        <w:rPr>
          <w:rFonts w:asciiTheme="majorBidi" w:hAnsiTheme="majorBidi" w:cstheme="majorBidi"/>
        </w:rPr>
      </w:pPr>
      <w:r w:rsidRPr="00D8671A">
        <w:rPr>
          <w:rFonts w:asciiTheme="majorBidi" w:hAnsiTheme="majorBidi" w:cstheme="majorBidi"/>
        </w:rPr>
        <w:t>This</w:t>
      </w:r>
      <w:r w:rsidR="00C95FEE" w:rsidRPr="00D8671A">
        <w:rPr>
          <w:rFonts w:asciiTheme="majorBidi" w:hAnsiTheme="majorBidi" w:cstheme="majorBidi"/>
        </w:rPr>
        <w:t xml:space="preserve"> approach has been </w:t>
      </w:r>
      <w:r w:rsidRPr="00D8671A">
        <w:rPr>
          <w:rFonts w:asciiTheme="majorBidi" w:hAnsiTheme="majorBidi" w:cstheme="majorBidi"/>
        </w:rPr>
        <w:t xml:space="preserve">recently </w:t>
      </w:r>
      <w:r w:rsidR="00AA7972" w:rsidRPr="00D8671A">
        <w:rPr>
          <w:rFonts w:asciiTheme="majorBidi" w:hAnsiTheme="majorBidi" w:cstheme="majorBidi"/>
        </w:rPr>
        <w:t>confirmed</w:t>
      </w:r>
      <w:r w:rsidRPr="00D8671A">
        <w:rPr>
          <w:rFonts w:asciiTheme="majorBidi" w:hAnsiTheme="majorBidi" w:cstheme="majorBidi"/>
        </w:rPr>
        <w:t xml:space="preserve"> on appeal, which reinforced </w:t>
      </w:r>
      <w:r w:rsidR="00C95FEE" w:rsidRPr="00D8671A">
        <w:rPr>
          <w:rFonts w:asciiTheme="majorBidi" w:hAnsiTheme="majorBidi" w:cstheme="majorBidi"/>
        </w:rPr>
        <w:t>the distinction betw</w:t>
      </w:r>
      <w:r w:rsidRPr="00D8671A">
        <w:rPr>
          <w:rFonts w:asciiTheme="majorBidi" w:hAnsiTheme="majorBidi" w:cstheme="majorBidi"/>
        </w:rPr>
        <w:t>een principals and accessories and emphasized</w:t>
      </w:r>
      <w:r w:rsidR="00C95FEE" w:rsidRPr="00D8671A">
        <w:rPr>
          <w:rFonts w:asciiTheme="majorBidi" w:hAnsiTheme="majorBidi" w:cstheme="majorBidi"/>
        </w:rPr>
        <w:t xml:space="preserve"> that the former </w:t>
      </w:r>
      <w:r w:rsidR="00B72AD4" w:rsidRPr="00D8671A">
        <w:rPr>
          <w:rFonts w:asciiTheme="majorBidi" w:hAnsiTheme="majorBidi" w:cstheme="majorBidi"/>
        </w:rPr>
        <w:t>implies a</w:t>
      </w:r>
      <w:r w:rsidR="00C95FEE" w:rsidRPr="00D8671A">
        <w:rPr>
          <w:rFonts w:asciiTheme="majorBidi" w:hAnsiTheme="majorBidi" w:cstheme="majorBidi"/>
        </w:rPr>
        <w:t xml:space="preserve"> higher degree of blameworthiness than the latter, all other things being equal.</w:t>
      </w:r>
      <w:r w:rsidR="00C95FEE" w:rsidRPr="00D8671A">
        <w:rPr>
          <w:rStyle w:val="FootnoteReference"/>
          <w:rFonts w:asciiTheme="majorBidi" w:hAnsiTheme="majorBidi" w:cstheme="majorBidi"/>
        </w:rPr>
        <w:footnoteReference w:id="12"/>
      </w:r>
      <w:r w:rsidR="0067252D" w:rsidRPr="00D8671A">
        <w:rPr>
          <w:rFonts w:asciiTheme="majorBidi" w:hAnsiTheme="majorBidi" w:cstheme="majorBidi"/>
        </w:rPr>
        <w:t xml:space="preserve"> The judges noted that the Pre-Trial and Trial Chambers correctly relied on the </w:t>
      </w:r>
      <w:r w:rsidR="001C4963" w:rsidRPr="00D8671A">
        <w:rPr>
          <w:rFonts w:asciiTheme="majorBidi" w:hAnsiTheme="majorBidi" w:cstheme="majorBidi"/>
        </w:rPr>
        <w:t>“</w:t>
      </w:r>
      <w:r w:rsidR="0067252D" w:rsidRPr="00D8671A">
        <w:rPr>
          <w:rFonts w:asciiTheme="majorBidi" w:hAnsiTheme="majorBidi" w:cstheme="majorBidi"/>
        </w:rPr>
        <w:t>control over crime</w:t>
      </w:r>
      <w:r w:rsidR="001C4963" w:rsidRPr="00D8671A">
        <w:rPr>
          <w:rFonts w:asciiTheme="majorBidi" w:hAnsiTheme="majorBidi" w:cstheme="majorBidi"/>
        </w:rPr>
        <w:t>”</w:t>
      </w:r>
      <w:r w:rsidR="0067252D" w:rsidRPr="00D8671A">
        <w:rPr>
          <w:rFonts w:asciiTheme="majorBidi" w:hAnsiTheme="majorBidi" w:cstheme="majorBidi"/>
        </w:rPr>
        <w:t xml:space="preserve"> theory for distinguishing those who have committed </w:t>
      </w:r>
      <w:r w:rsidR="004164C3" w:rsidRPr="00D8671A">
        <w:rPr>
          <w:rFonts w:asciiTheme="majorBidi" w:hAnsiTheme="majorBidi" w:cstheme="majorBidi"/>
        </w:rPr>
        <w:t xml:space="preserve">the offence </w:t>
      </w:r>
      <w:r w:rsidR="0067252D" w:rsidRPr="00D8671A">
        <w:rPr>
          <w:rFonts w:asciiTheme="majorBidi" w:hAnsiTheme="majorBidi" w:cstheme="majorBidi"/>
        </w:rPr>
        <w:t xml:space="preserve">and those who have contributed to the crimes of others. </w:t>
      </w:r>
      <w:r w:rsidR="004164C3" w:rsidRPr="00D8671A">
        <w:rPr>
          <w:rFonts w:asciiTheme="majorBidi" w:hAnsiTheme="majorBidi" w:cstheme="majorBidi"/>
        </w:rPr>
        <w:t>The</w:t>
      </w:r>
      <w:r w:rsidR="0067252D" w:rsidRPr="00D8671A">
        <w:rPr>
          <w:rFonts w:asciiTheme="majorBidi" w:hAnsiTheme="majorBidi" w:cstheme="majorBidi"/>
        </w:rPr>
        <w:t xml:space="preserve"> distinctive feature of commission is </w:t>
      </w:r>
      <w:r w:rsidR="00A22266" w:rsidRPr="00D8671A">
        <w:rPr>
          <w:rFonts w:asciiTheme="majorBidi" w:hAnsiTheme="majorBidi" w:cstheme="majorBidi"/>
        </w:rPr>
        <w:t xml:space="preserve">the </w:t>
      </w:r>
      <w:r w:rsidR="0067252D" w:rsidRPr="00D8671A">
        <w:rPr>
          <w:rFonts w:asciiTheme="majorBidi" w:hAnsiTheme="majorBidi" w:cstheme="majorBidi"/>
        </w:rPr>
        <w:t>essential contribution made at any sta</w:t>
      </w:r>
      <w:r w:rsidR="00B72AD4" w:rsidRPr="00D8671A">
        <w:rPr>
          <w:rFonts w:asciiTheme="majorBidi" w:hAnsiTheme="majorBidi" w:cstheme="majorBidi"/>
        </w:rPr>
        <w:t xml:space="preserve">ge of offending, including preparation, planning and execution. </w:t>
      </w:r>
      <w:r w:rsidR="0069193C" w:rsidRPr="00D8671A">
        <w:rPr>
          <w:rFonts w:asciiTheme="majorBidi" w:hAnsiTheme="majorBidi" w:cstheme="majorBidi"/>
        </w:rPr>
        <w:t xml:space="preserve">The idea is that this type of </w:t>
      </w:r>
      <w:r w:rsidR="00A22266" w:rsidRPr="00D8671A">
        <w:rPr>
          <w:rFonts w:asciiTheme="majorBidi" w:hAnsiTheme="majorBidi" w:cstheme="majorBidi"/>
        </w:rPr>
        <w:t>indispensable</w:t>
      </w:r>
      <w:r w:rsidR="0069193C" w:rsidRPr="00D8671A">
        <w:rPr>
          <w:rFonts w:asciiTheme="majorBidi" w:hAnsiTheme="majorBidi" w:cstheme="majorBidi"/>
        </w:rPr>
        <w:t xml:space="preserve"> input </w:t>
      </w:r>
      <w:r w:rsidR="00B72AD4" w:rsidRPr="00D8671A">
        <w:rPr>
          <w:rFonts w:asciiTheme="majorBidi" w:hAnsiTheme="majorBidi" w:cstheme="majorBidi"/>
        </w:rPr>
        <w:t>places the perpetrator in control of the crime</w:t>
      </w:r>
      <w:r w:rsidR="0069193C" w:rsidRPr="00D8671A">
        <w:rPr>
          <w:rFonts w:asciiTheme="majorBidi" w:hAnsiTheme="majorBidi" w:cstheme="majorBidi"/>
        </w:rPr>
        <w:t xml:space="preserve"> regardless of his physical presence at the scene</w:t>
      </w:r>
      <w:r w:rsidR="00B72AD4" w:rsidRPr="00D8671A">
        <w:rPr>
          <w:rFonts w:asciiTheme="majorBidi" w:hAnsiTheme="majorBidi" w:cstheme="majorBidi"/>
        </w:rPr>
        <w:t>.</w:t>
      </w:r>
      <w:r w:rsidR="00B72AD4" w:rsidRPr="00D8671A">
        <w:rPr>
          <w:rStyle w:val="FootnoteReference"/>
          <w:rFonts w:asciiTheme="majorBidi" w:hAnsiTheme="majorBidi" w:cstheme="majorBidi"/>
        </w:rPr>
        <w:footnoteReference w:id="13"/>
      </w:r>
    </w:p>
    <w:p w14:paraId="0DEDC4F2" w14:textId="34C734E2" w:rsidR="00321F87" w:rsidRPr="00D8671A" w:rsidRDefault="00D8671A" w:rsidP="00D8671A">
      <w:pPr>
        <w:widowControl w:val="0"/>
        <w:tabs>
          <w:tab w:val="left" w:pos="220"/>
          <w:tab w:val="left" w:pos="720"/>
        </w:tabs>
        <w:autoSpaceDE w:val="0"/>
        <w:autoSpaceDN w:val="0"/>
        <w:adjustRightInd w:val="0"/>
        <w:spacing w:after="0" w:line="240" w:lineRule="auto"/>
        <w:rPr>
          <w:rFonts w:asciiTheme="majorBidi" w:hAnsiTheme="majorBidi" w:cstheme="majorBidi"/>
        </w:rPr>
      </w:pPr>
      <w:r>
        <w:rPr>
          <w:rFonts w:asciiTheme="majorBidi" w:hAnsiTheme="majorBidi" w:cstheme="majorBidi"/>
        </w:rPr>
        <w:tab/>
      </w:r>
      <w:r w:rsidR="00C41EE7" w:rsidRPr="00D8671A">
        <w:rPr>
          <w:rFonts w:asciiTheme="majorBidi" w:hAnsiTheme="majorBidi" w:cstheme="majorBidi"/>
        </w:rPr>
        <w:t>Arguably, the</w:t>
      </w:r>
      <w:r w:rsidR="00321F87" w:rsidRPr="00D8671A">
        <w:rPr>
          <w:rFonts w:asciiTheme="majorBidi" w:hAnsiTheme="majorBidi" w:cstheme="majorBidi"/>
        </w:rPr>
        <w:t xml:space="preserve"> ICC </w:t>
      </w:r>
      <w:r w:rsidR="00C41EE7" w:rsidRPr="00D8671A">
        <w:rPr>
          <w:rFonts w:asciiTheme="majorBidi" w:hAnsiTheme="majorBidi" w:cstheme="majorBidi"/>
        </w:rPr>
        <w:t xml:space="preserve">has yet to determine its relationship with the doctrine of co-perpetration as means of control over crime. Despite the support of the concept by the most recent </w:t>
      </w:r>
      <w:r w:rsidR="00C41EE7" w:rsidRPr="00D8671A">
        <w:rPr>
          <w:rFonts w:asciiTheme="majorBidi" w:hAnsiTheme="majorBidi" w:cstheme="majorBidi"/>
          <w:i/>
        </w:rPr>
        <w:lastRenderedPageBreak/>
        <w:t xml:space="preserve">Lubanga </w:t>
      </w:r>
      <w:r w:rsidR="00C41EE7" w:rsidRPr="00D8671A">
        <w:rPr>
          <w:rFonts w:asciiTheme="majorBidi" w:hAnsiTheme="majorBidi" w:cstheme="majorBidi"/>
        </w:rPr>
        <w:t xml:space="preserve">appeal judgement, the signs of disillusionment with this approach cannot go unnoticed. </w:t>
      </w:r>
      <w:r w:rsidR="00321F87" w:rsidRPr="00D8671A">
        <w:rPr>
          <w:rFonts w:asciiTheme="majorBidi" w:hAnsiTheme="majorBidi" w:cstheme="majorBidi"/>
        </w:rPr>
        <w:t xml:space="preserve">The first serious benchmark decision questioning this theory - as well as the alleged hierarchy of crimes within Article 25(3) of the Rome Statute - was </w:t>
      </w:r>
      <w:r w:rsidR="00A22266" w:rsidRPr="00D8671A">
        <w:rPr>
          <w:rFonts w:asciiTheme="majorBidi" w:hAnsiTheme="majorBidi" w:cstheme="majorBidi"/>
        </w:rPr>
        <w:t xml:space="preserve">the </w:t>
      </w:r>
      <w:r w:rsidR="00321F87" w:rsidRPr="00D8671A">
        <w:rPr>
          <w:rFonts w:asciiTheme="majorBidi" w:hAnsiTheme="majorBidi" w:cstheme="majorBidi"/>
        </w:rPr>
        <w:t xml:space="preserve">separate opinion of Judge Adrian Fulford attached to the </w:t>
      </w:r>
      <w:r w:rsidR="00321F87" w:rsidRPr="00D8671A">
        <w:rPr>
          <w:rFonts w:asciiTheme="majorBidi" w:hAnsiTheme="majorBidi" w:cstheme="majorBidi"/>
          <w:i/>
        </w:rPr>
        <w:t>Lubanga</w:t>
      </w:r>
      <w:r w:rsidR="00321F87" w:rsidRPr="00D8671A">
        <w:rPr>
          <w:rFonts w:asciiTheme="majorBidi" w:hAnsiTheme="majorBidi" w:cstheme="majorBidi"/>
        </w:rPr>
        <w:t xml:space="preserve"> judgment.</w:t>
      </w:r>
      <w:r w:rsidR="00321F87" w:rsidRPr="00D8671A">
        <w:rPr>
          <w:rStyle w:val="FootnoteReference"/>
          <w:rFonts w:asciiTheme="majorBidi" w:hAnsiTheme="majorBidi" w:cstheme="majorBidi"/>
        </w:rPr>
        <w:footnoteReference w:id="14"/>
      </w:r>
      <w:r w:rsidR="00321F87" w:rsidRPr="00D8671A">
        <w:rPr>
          <w:rFonts w:asciiTheme="majorBidi" w:hAnsiTheme="majorBidi" w:cstheme="majorBidi"/>
        </w:rPr>
        <w:t xml:space="preserve"> The other important development in this regard was the demise of the very case that pioneered the notion of indirect co-perpetration at the ICC, namely </w:t>
      </w:r>
      <w:r w:rsidR="00321F87" w:rsidRPr="00D8671A">
        <w:rPr>
          <w:rFonts w:asciiTheme="majorBidi" w:hAnsiTheme="majorBidi" w:cstheme="majorBidi"/>
          <w:i/>
        </w:rPr>
        <w:t>Katanga.</w:t>
      </w:r>
      <w:r w:rsidR="00321F87" w:rsidRPr="00D8671A">
        <w:rPr>
          <w:rFonts w:asciiTheme="majorBidi" w:hAnsiTheme="majorBidi" w:cstheme="majorBidi"/>
        </w:rPr>
        <w:t xml:space="preserve"> Months after the parties’ closing arguments in this case, the Trial Chamber changed the legal characterization of facts relating to Germain Katanga’s mode of participation from indirect co-perpetration under Article 25(3)(a) of the Statute to complicity in the commission of a crime by a group of persons acting with a common purpose on the basis of Article 25(3)(d) of the Statute.</w:t>
      </w:r>
      <w:r w:rsidR="00321F87" w:rsidRPr="00D8671A">
        <w:rPr>
          <w:rStyle w:val="FootnoteReference"/>
          <w:rFonts w:asciiTheme="majorBidi" w:hAnsiTheme="majorBidi" w:cstheme="majorBidi"/>
        </w:rPr>
        <w:footnoteReference w:id="15"/>
      </w:r>
      <w:r w:rsidR="00321F87" w:rsidRPr="00D8671A">
        <w:rPr>
          <w:rFonts w:asciiTheme="majorBidi" w:hAnsiTheme="majorBidi" w:cstheme="majorBidi"/>
        </w:rPr>
        <w:t xml:space="preserve"> Germain Katanga was ultimately convicted of murder, attack against the civilian population and the destruction of property</w:t>
      </w:r>
      <w:r w:rsidR="00A22266" w:rsidRPr="00D8671A">
        <w:rPr>
          <w:rFonts w:asciiTheme="majorBidi" w:hAnsiTheme="majorBidi" w:cstheme="majorBidi"/>
        </w:rPr>
        <w:t xml:space="preserve"> under this latter form of responsibility</w:t>
      </w:r>
      <w:r w:rsidR="00321F87" w:rsidRPr="00D8671A">
        <w:rPr>
          <w:rFonts w:asciiTheme="majorBidi" w:hAnsiTheme="majorBidi" w:cstheme="majorBidi"/>
        </w:rPr>
        <w:t>.</w:t>
      </w:r>
      <w:r w:rsidR="00321F87" w:rsidRPr="00D8671A">
        <w:rPr>
          <w:rStyle w:val="FootnoteReference"/>
          <w:rFonts w:asciiTheme="majorBidi" w:hAnsiTheme="majorBidi" w:cstheme="majorBidi"/>
        </w:rPr>
        <w:footnoteReference w:id="16"/>
      </w:r>
      <w:r w:rsidR="00321F87" w:rsidRPr="00D8671A">
        <w:rPr>
          <w:rFonts w:asciiTheme="majorBidi" w:hAnsiTheme="majorBidi" w:cstheme="majorBidi"/>
        </w:rPr>
        <w:t xml:space="preserve"> </w:t>
      </w:r>
      <w:r w:rsidR="00874A1C" w:rsidRPr="00D8671A">
        <w:rPr>
          <w:rFonts w:asciiTheme="majorBidi" w:hAnsiTheme="majorBidi" w:cstheme="majorBidi"/>
        </w:rPr>
        <w:t>The trial judgement rejected the h</w:t>
      </w:r>
      <w:r w:rsidR="00A22266" w:rsidRPr="00D8671A">
        <w:rPr>
          <w:rFonts w:asciiTheme="majorBidi" w:hAnsiTheme="majorBidi" w:cstheme="majorBidi"/>
        </w:rPr>
        <w:t>ierarchy of participation modes</w:t>
      </w:r>
      <w:r w:rsidR="00874A1C" w:rsidRPr="00D8671A">
        <w:rPr>
          <w:rFonts w:asciiTheme="majorBidi" w:hAnsiTheme="majorBidi" w:cstheme="majorBidi"/>
        </w:rPr>
        <w:t xml:space="preserve"> but retained </w:t>
      </w:r>
      <w:r w:rsidR="00A22266" w:rsidRPr="00D8671A">
        <w:rPr>
          <w:rFonts w:asciiTheme="majorBidi" w:hAnsiTheme="majorBidi" w:cstheme="majorBidi"/>
        </w:rPr>
        <w:t xml:space="preserve">the </w:t>
      </w:r>
      <w:r w:rsidR="00874A1C" w:rsidRPr="00D8671A">
        <w:rPr>
          <w:rFonts w:asciiTheme="majorBidi" w:hAnsiTheme="majorBidi" w:cstheme="majorBidi"/>
        </w:rPr>
        <w:t>control over crime theory.</w:t>
      </w:r>
    </w:p>
    <w:p w14:paraId="75A93893" w14:textId="59449C9D" w:rsidR="00321F87" w:rsidRPr="00D8671A" w:rsidRDefault="00D8671A" w:rsidP="00D8671A">
      <w:pPr>
        <w:widowControl w:val="0"/>
        <w:tabs>
          <w:tab w:val="left" w:pos="220"/>
          <w:tab w:val="left" w:pos="720"/>
        </w:tabs>
        <w:autoSpaceDE w:val="0"/>
        <w:autoSpaceDN w:val="0"/>
        <w:adjustRightInd w:val="0"/>
        <w:spacing w:after="0" w:line="240" w:lineRule="auto"/>
        <w:rPr>
          <w:rFonts w:asciiTheme="majorBidi" w:hAnsiTheme="majorBidi" w:cstheme="majorBidi"/>
        </w:rPr>
      </w:pPr>
      <w:r>
        <w:rPr>
          <w:rFonts w:asciiTheme="majorBidi" w:hAnsiTheme="majorBidi" w:cstheme="majorBidi"/>
        </w:rPr>
        <w:tab/>
      </w:r>
      <w:r w:rsidR="00321F87" w:rsidRPr="00D8671A">
        <w:rPr>
          <w:rFonts w:asciiTheme="majorBidi" w:hAnsiTheme="majorBidi" w:cstheme="majorBidi"/>
        </w:rPr>
        <w:t xml:space="preserve">The same decision that re-characterized Katanga’s </w:t>
      </w:r>
      <w:r w:rsidR="00BF48E6" w:rsidRPr="00D8671A">
        <w:rPr>
          <w:rFonts w:asciiTheme="majorBidi" w:hAnsiTheme="majorBidi" w:cstheme="majorBidi"/>
        </w:rPr>
        <w:t>modes of liability</w:t>
      </w:r>
      <w:r w:rsidR="00321F87" w:rsidRPr="00D8671A">
        <w:rPr>
          <w:rFonts w:asciiTheme="majorBidi" w:hAnsiTheme="majorBidi" w:cstheme="majorBidi"/>
        </w:rPr>
        <w:t xml:space="preserve"> also severed the charges against the co-accused in the case</w:t>
      </w:r>
      <w:r w:rsidR="00321F87" w:rsidRPr="00D8671A">
        <w:rPr>
          <w:rStyle w:val="FootnoteReference"/>
          <w:rFonts w:asciiTheme="majorBidi" w:hAnsiTheme="majorBidi" w:cstheme="majorBidi"/>
        </w:rPr>
        <w:footnoteReference w:id="17"/>
      </w:r>
      <w:r w:rsidR="00321F87" w:rsidRPr="00D8671A">
        <w:rPr>
          <w:rFonts w:asciiTheme="majorBidi" w:hAnsiTheme="majorBidi" w:cstheme="majorBidi"/>
        </w:rPr>
        <w:t xml:space="preserve"> - Mathieu Ngudjolo who was subsequently acquitted for the lack of evidence.</w:t>
      </w:r>
      <w:r w:rsidR="00321F87" w:rsidRPr="00D8671A">
        <w:rPr>
          <w:rStyle w:val="FootnoteReference"/>
          <w:rFonts w:asciiTheme="majorBidi" w:hAnsiTheme="majorBidi" w:cstheme="majorBidi"/>
        </w:rPr>
        <w:footnoteReference w:id="18"/>
      </w:r>
      <w:r w:rsidR="00321F87" w:rsidRPr="00D8671A">
        <w:rPr>
          <w:rFonts w:asciiTheme="majorBidi" w:hAnsiTheme="majorBidi" w:cstheme="majorBidi"/>
        </w:rPr>
        <w:t xml:space="preserve"> Judge Christine Van den Wyngaert submitted a powerful concurring opinion to the judgment of acquittal, expressing her views on the interpretation of Article 25(3)(a) of the Statute, whereby she criticized </w:t>
      </w:r>
      <w:r w:rsidR="001C4963" w:rsidRPr="00D8671A">
        <w:rPr>
          <w:rFonts w:asciiTheme="majorBidi" w:hAnsiTheme="majorBidi" w:cstheme="majorBidi"/>
        </w:rPr>
        <w:t>“</w:t>
      </w:r>
      <w:r w:rsidR="00321F87" w:rsidRPr="00D8671A">
        <w:rPr>
          <w:rFonts w:asciiTheme="majorBidi" w:hAnsiTheme="majorBidi" w:cstheme="majorBidi"/>
        </w:rPr>
        <w:t>indirect co-perpetration</w:t>
      </w:r>
      <w:r w:rsidR="001C4963" w:rsidRPr="00D8671A">
        <w:rPr>
          <w:rFonts w:asciiTheme="majorBidi" w:hAnsiTheme="majorBidi" w:cstheme="majorBidi"/>
        </w:rPr>
        <w:t>”</w:t>
      </w:r>
      <w:r w:rsidR="00321F87" w:rsidRPr="00D8671A">
        <w:rPr>
          <w:rFonts w:asciiTheme="majorBidi" w:hAnsiTheme="majorBidi" w:cstheme="majorBidi"/>
        </w:rPr>
        <w:t xml:space="preserve"> inferred from this provision and argued against the hierarchy of the modes of participation under Article 25(3) of the Statute.</w:t>
      </w:r>
      <w:r w:rsidR="00321F87" w:rsidRPr="00D8671A">
        <w:rPr>
          <w:rStyle w:val="FootnoteReference"/>
          <w:rFonts w:asciiTheme="majorBidi" w:hAnsiTheme="majorBidi" w:cstheme="majorBidi"/>
        </w:rPr>
        <w:footnoteReference w:id="19"/>
      </w:r>
      <w:r w:rsidR="00321F87" w:rsidRPr="00D8671A">
        <w:rPr>
          <w:rFonts w:asciiTheme="majorBidi" w:hAnsiTheme="majorBidi" w:cstheme="majorBidi"/>
        </w:rPr>
        <w:t xml:space="preserve"> The lack of confidence in </w:t>
      </w:r>
      <w:r w:rsidR="001C4963" w:rsidRPr="00D8671A">
        <w:rPr>
          <w:rFonts w:asciiTheme="majorBidi" w:hAnsiTheme="majorBidi" w:cstheme="majorBidi"/>
        </w:rPr>
        <w:t>“</w:t>
      </w:r>
      <w:r w:rsidR="00321F87" w:rsidRPr="00D8671A">
        <w:rPr>
          <w:rFonts w:asciiTheme="majorBidi" w:hAnsiTheme="majorBidi" w:cstheme="majorBidi"/>
        </w:rPr>
        <w:t>indirect co-perpetration</w:t>
      </w:r>
      <w:r w:rsidR="001C4963" w:rsidRPr="00D8671A">
        <w:rPr>
          <w:rFonts w:asciiTheme="majorBidi" w:hAnsiTheme="majorBidi" w:cstheme="majorBidi"/>
        </w:rPr>
        <w:t>”</w:t>
      </w:r>
      <w:r w:rsidR="00321F87" w:rsidRPr="00D8671A">
        <w:rPr>
          <w:rFonts w:asciiTheme="majorBidi" w:hAnsiTheme="majorBidi" w:cstheme="majorBidi"/>
        </w:rPr>
        <w:t xml:space="preserve"> as a mode of liability also surfaced in the arrest warrants against Laurent and Simone Gbagbo – the former President of Côte d’Ivoire and his wife. The Pre-Trial Chamber III charged them with indirect co-perpetration in crimes but stipulated that the mode of liability </w:t>
      </w:r>
      <w:r w:rsidR="001C4963" w:rsidRPr="00D8671A">
        <w:rPr>
          <w:rFonts w:asciiTheme="majorBidi" w:hAnsiTheme="majorBidi" w:cstheme="majorBidi"/>
        </w:rPr>
        <w:t>‘</w:t>
      </w:r>
      <w:r w:rsidR="00321F87" w:rsidRPr="00D8671A">
        <w:rPr>
          <w:rFonts w:asciiTheme="majorBidi" w:hAnsiTheme="majorBidi" w:cstheme="majorBidi"/>
        </w:rPr>
        <w:t>may well need to be revisited in due course.</w:t>
      </w:r>
      <w:r w:rsidR="001C4963" w:rsidRPr="00D8671A">
        <w:rPr>
          <w:rFonts w:asciiTheme="majorBidi" w:hAnsiTheme="majorBidi" w:cstheme="majorBidi"/>
        </w:rPr>
        <w:t>’</w:t>
      </w:r>
      <w:r w:rsidR="00321F87" w:rsidRPr="00D8671A">
        <w:rPr>
          <w:rStyle w:val="FootnoteReference"/>
          <w:rFonts w:asciiTheme="majorBidi" w:hAnsiTheme="majorBidi" w:cstheme="majorBidi"/>
        </w:rPr>
        <w:footnoteReference w:id="20"/>
      </w:r>
      <w:r w:rsidR="00321F87" w:rsidRPr="00D8671A">
        <w:rPr>
          <w:rFonts w:asciiTheme="majorBidi" w:hAnsiTheme="majorBidi" w:cstheme="majorBidi"/>
        </w:rPr>
        <w:t xml:space="preserve"> </w:t>
      </w:r>
      <w:r w:rsidR="00346173" w:rsidRPr="00D8671A">
        <w:rPr>
          <w:rFonts w:asciiTheme="majorBidi" w:hAnsiTheme="majorBidi" w:cstheme="majorBidi"/>
        </w:rPr>
        <w:t>Subsequently</w:t>
      </w:r>
      <w:r w:rsidR="00582606" w:rsidRPr="00D8671A">
        <w:rPr>
          <w:rFonts w:asciiTheme="majorBidi" w:hAnsiTheme="majorBidi" w:cstheme="majorBidi"/>
        </w:rPr>
        <w:t xml:space="preserve">, the </w:t>
      </w:r>
      <w:r w:rsidR="00874A1C" w:rsidRPr="00D8671A">
        <w:rPr>
          <w:rFonts w:asciiTheme="majorBidi" w:hAnsiTheme="majorBidi" w:cstheme="majorBidi"/>
        </w:rPr>
        <w:t>judges</w:t>
      </w:r>
      <w:r w:rsidR="00582606" w:rsidRPr="00D8671A">
        <w:rPr>
          <w:rFonts w:asciiTheme="majorBidi" w:hAnsiTheme="majorBidi" w:cstheme="majorBidi"/>
        </w:rPr>
        <w:t xml:space="preserve"> </w:t>
      </w:r>
      <w:r w:rsidR="00411854" w:rsidRPr="00D8671A">
        <w:rPr>
          <w:rFonts w:asciiTheme="majorBidi" w:hAnsiTheme="majorBidi" w:cstheme="majorBidi"/>
        </w:rPr>
        <w:t xml:space="preserve">cautiously </w:t>
      </w:r>
      <w:r w:rsidR="00582606" w:rsidRPr="00D8671A">
        <w:rPr>
          <w:rFonts w:asciiTheme="majorBidi" w:hAnsiTheme="majorBidi" w:cstheme="majorBidi"/>
        </w:rPr>
        <w:t>confirm</w:t>
      </w:r>
      <w:r w:rsidR="00346173" w:rsidRPr="00D8671A">
        <w:rPr>
          <w:rFonts w:asciiTheme="majorBidi" w:hAnsiTheme="majorBidi" w:cstheme="majorBidi"/>
        </w:rPr>
        <w:t>ed</w:t>
      </w:r>
      <w:r w:rsidR="00582606" w:rsidRPr="00D8671A">
        <w:rPr>
          <w:rFonts w:asciiTheme="majorBidi" w:hAnsiTheme="majorBidi" w:cstheme="majorBidi"/>
        </w:rPr>
        <w:t xml:space="preserve"> charges against Laurent Gbago under alternative forms of responsibility, thereby </w:t>
      </w:r>
      <w:r w:rsidR="00346173" w:rsidRPr="00D8671A">
        <w:rPr>
          <w:rFonts w:asciiTheme="majorBidi" w:hAnsiTheme="majorBidi" w:cstheme="majorBidi"/>
        </w:rPr>
        <w:t xml:space="preserve">allowing certain degree of flexibility </w:t>
      </w:r>
      <w:r w:rsidR="00FC1A91" w:rsidRPr="00D8671A">
        <w:rPr>
          <w:rFonts w:asciiTheme="majorBidi" w:hAnsiTheme="majorBidi" w:cstheme="majorBidi"/>
        </w:rPr>
        <w:t>when it comes t</w:t>
      </w:r>
      <w:r w:rsidR="00411854" w:rsidRPr="00D8671A">
        <w:rPr>
          <w:rFonts w:asciiTheme="majorBidi" w:hAnsiTheme="majorBidi" w:cstheme="majorBidi"/>
        </w:rPr>
        <w:t>o forms of participation</w:t>
      </w:r>
      <w:r w:rsidR="00723ED0" w:rsidRPr="00D8671A">
        <w:rPr>
          <w:rFonts w:asciiTheme="majorBidi" w:hAnsiTheme="majorBidi" w:cstheme="majorBidi"/>
        </w:rPr>
        <w:t>.</w:t>
      </w:r>
      <w:r w:rsidR="00723ED0" w:rsidRPr="00D8671A">
        <w:rPr>
          <w:rStyle w:val="FootnoteReference"/>
          <w:rFonts w:asciiTheme="majorBidi" w:hAnsiTheme="majorBidi" w:cstheme="majorBidi"/>
        </w:rPr>
        <w:footnoteReference w:id="21"/>
      </w:r>
    </w:p>
    <w:p w14:paraId="2ABA169D" w14:textId="1FAA6122" w:rsidR="00321F87" w:rsidRDefault="00D8671A" w:rsidP="00D8671A">
      <w:pPr>
        <w:widowControl w:val="0"/>
        <w:tabs>
          <w:tab w:val="left" w:pos="220"/>
          <w:tab w:val="left" w:pos="720"/>
        </w:tabs>
        <w:autoSpaceDE w:val="0"/>
        <w:autoSpaceDN w:val="0"/>
        <w:adjustRightInd w:val="0"/>
        <w:spacing w:after="0" w:line="240" w:lineRule="auto"/>
        <w:rPr>
          <w:rFonts w:asciiTheme="majorBidi" w:hAnsiTheme="majorBidi" w:cstheme="majorBidi"/>
        </w:rPr>
      </w:pPr>
      <w:r>
        <w:rPr>
          <w:rFonts w:asciiTheme="majorBidi" w:hAnsiTheme="majorBidi" w:cstheme="majorBidi"/>
        </w:rPr>
        <w:tab/>
      </w:r>
      <w:r w:rsidR="00321F87" w:rsidRPr="00D8671A">
        <w:rPr>
          <w:rFonts w:asciiTheme="majorBidi" w:hAnsiTheme="majorBidi" w:cstheme="majorBidi"/>
        </w:rPr>
        <w:t xml:space="preserve">The latest </w:t>
      </w:r>
      <w:r w:rsidR="00A571FB" w:rsidRPr="00D8671A">
        <w:rPr>
          <w:rFonts w:asciiTheme="majorBidi" w:hAnsiTheme="majorBidi" w:cstheme="majorBidi"/>
        </w:rPr>
        <w:t>divergent approaches</w:t>
      </w:r>
      <w:r w:rsidR="00321F87" w:rsidRPr="00D8671A">
        <w:rPr>
          <w:rFonts w:asciiTheme="majorBidi" w:hAnsiTheme="majorBidi" w:cstheme="majorBidi"/>
        </w:rPr>
        <w:t xml:space="preserve"> in </w:t>
      </w:r>
      <w:r w:rsidR="00046A35" w:rsidRPr="00D8671A">
        <w:rPr>
          <w:rFonts w:asciiTheme="majorBidi" w:hAnsiTheme="majorBidi" w:cstheme="majorBidi"/>
        </w:rPr>
        <w:t xml:space="preserve">respect of </w:t>
      </w:r>
      <w:r w:rsidR="00321F87" w:rsidRPr="00D8671A">
        <w:rPr>
          <w:rFonts w:asciiTheme="majorBidi" w:hAnsiTheme="majorBidi" w:cstheme="majorBidi"/>
        </w:rPr>
        <w:t>(in)direct co-perpetration based on control over crime could be explained by</w:t>
      </w:r>
      <w:r w:rsidR="00100D04" w:rsidRPr="00D8671A">
        <w:rPr>
          <w:rFonts w:asciiTheme="majorBidi" w:hAnsiTheme="majorBidi" w:cstheme="majorBidi"/>
        </w:rPr>
        <w:t xml:space="preserve"> </w:t>
      </w:r>
      <w:r w:rsidR="00A22266" w:rsidRPr="00D8671A">
        <w:rPr>
          <w:rFonts w:asciiTheme="majorBidi" w:hAnsiTheme="majorBidi" w:cstheme="majorBidi"/>
        </w:rPr>
        <w:t xml:space="preserve">the </w:t>
      </w:r>
      <w:r w:rsidR="00100D04" w:rsidRPr="00D8671A">
        <w:rPr>
          <w:rFonts w:asciiTheme="majorBidi" w:hAnsiTheme="majorBidi" w:cstheme="majorBidi"/>
        </w:rPr>
        <w:t xml:space="preserve">strikingly contrasting positions on </w:t>
      </w:r>
      <w:r w:rsidR="00321F87" w:rsidRPr="00D8671A">
        <w:rPr>
          <w:rFonts w:asciiTheme="majorBidi" w:hAnsiTheme="majorBidi" w:cstheme="majorBidi"/>
        </w:rPr>
        <w:t xml:space="preserve">the general assumption underlying the excessive use of this doctrine. That is the </w:t>
      </w:r>
      <w:r w:rsidR="00374F6C" w:rsidRPr="00D8671A">
        <w:rPr>
          <w:rFonts w:asciiTheme="majorBidi" w:hAnsiTheme="majorBidi" w:cstheme="majorBidi"/>
        </w:rPr>
        <w:t xml:space="preserve">premise </w:t>
      </w:r>
      <w:r w:rsidR="00321F87" w:rsidRPr="00D8671A">
        <w:rPr>
          <w:rFonts w:asciiTheme="majorBidi" w:hAnsiTheme="majorBidi" w:cstheme="majorBidi"/>
        </w:rPr>
        <w:t xml:space="preserve">that the modes of participation within Article 25(3) are ranked according to their degree of blameworthiness; thus the mode of participation </w:t>
      </w:r>
      <w:r w:rsidR="00A22266" w:rsidRPr="00D8671A">
        <w:rPr>
          <w:rFonts w:asciiTheme="majorBidi" w:hAnsiTheme="majorBidi" w:cstheme="majorBidi"/>
        </w:rPr>
        <w:t xml:space="preserve">listed first </w:t>
      </w:r>
      <w:r w:rsidR="00321F87" w:rsidRPr="00D8671A">
        <w:rPr>
          <w:rFonts w:asciiTheme="majorBidi" w:hAnsiTheme="majorBidi" w:cstheme="majorBidi"/>
        </w:rPr>
        <w:t>- commission - best reflects the culpability of the offenders standing trial for mass crimes within the ICC</w:t>
      </w:r>
      <w:r w:rsidR="00A22266" w:rsidRPr="00D8671A">
        <w:rPr>
          <w:rFonts w:asciiTheme="majorBidi" w:hAnsiTheme="majorBidi" w:cstheme="majorBidi"/>
        </w:rPr>
        <w:t>’s</w:t>
      </w:r>
      <w:r w:rsidR="00321F87" w:rsidRPr="00D8671A">
        <w:rPr>
          <w:rFonts w:asciiTheme="majorBidi" w:hAnsiTheme="majorBidi" w:cstheme="majorBidi"/>
        </w:rPr>
        <w:t xml:space="preserve"> jurisdiction.</w:t>
      </w:r>
      <w:r w:rsidR="00374F6C" w:rsidRPr="00D8671A">
        <w:rPr>
          <w:rStyle w:val="FootnoteReference"/>
          <w:rFonts w:asciiTheme="majorBidi" w:hAnsiTheme="majorBidi" w:cstheme="majorBidi"/>
        </w:rPr>
        <w:footnoteReference w:id="22"/>
      </w:r>
      <w:r w:rsidR="00321F87" w:rsidRPr="00D8671A">
        <w:rPr>
          <w:rFonts w:asciiTheme="majorBidi" w:hAnsiTheme="majorBidi" w:cstheme="majorBidi"/>
        </w:rPr>
        <w:t xml:space="preserve"> </w:t>
      </w:r>
    </w:p>
    <w:p w14:paraId="665D27C6" w14:textId="77777777" w:rsidR="00D8671A" w:rsidRDefault="00D8671A" w:rsidP="00D8671A">
      <w:pPr>
        <w:widowControl w:val="0"/>
        <w:tabs>
          <w:tab w:val="left" w:pos="220"/>
          <w:tab w:val="left" w:pos="720"/>
        </w:tabs>
        <w:autoSpaceDE w:val="0"/>
        <w:autoSpaceDN w:val="0"/>
        <w:adjustRightInd w:val="0"/>
        <w:spacing w:after="0" w:line="240" w:lineRule="auto"/>
        <w:rPr>
          <w:rFonts w:asciiTheme="majorBidi" w:hAnsiTheme="majorBidi" w:cstheme="majorBidi"/>
        </w:rPr>
      </w:pPr>
    </w:p>
    <w:p w14:paraId="1ECBC048" w14:textId="77777777" w:rsidR="00D8671A" w:rsidRPr="00D8671A" w:rsidRDefault="00D8671A" w:rsidP="00D8671A">
      <w:pPr>
        <w:widowControl w:val="0"/>
        <w:tabs>
          <w:tab w:val="left" w:pos="220"/>
          <w:tab w:val="left" w:pos="720"/>
        </w:tabs>
        <w:autoSpaceDE w:val="0"/>
        <w:autoSpaceDN w:val="0"/>
        <w:adjustRightInd w:val="0"/>
        <w:spacing w:after="0" w:line="240" w:lineRule="auto"/>
        <w:rPr>
          <w:rFonts w:asciiTheme="majorBidi" w:hAnsiTheme="majorBidi" w:cstheme="majorBidi"/>
        </w:rPr>
      </w:pPr>
    </w:p>
    <w:p w14:paraId="5F308E70" w14:textId="0577BB76" w:rsidR="00CB1AB9" w:rsidRDefault="008B6CE9" w:rsidP="00D8671A">
      <w:pPr>
        <w:pStyle w:val="Heading2"/>
        <w:spacing w:before="0" w:line="240" w:lineRule="auto"/>
        <w:ind w:left="709" w:hanging="709"/>
        <w:rPr>
          <w:rFonts w:asciiTheme="majorBidi" w:hAnsiTheme="majorBidi"/>
          <w:color w:val="auto"/>
          <w:sz w:val="22"/>
          <w:szCs w:val="22"/>
        </w:rPr>
      </w:pPr>
      <w:r w:rsidRPr="00D8671A">
        <w:rPr>
          <w:rFonts w:asciiTheme="majorBidi" w:hAnsiTheme="majorBidi"/>
          <w:color w:val="auto"/>
          <w:sz w:val="22"/>
          <w:szCs w:val="22"/>
        </w:rPr>
        <w:lastRenderedPageBreak/>
        <w:t xml:space="preserve">The </w:t>
      </w:r>
      <w:r w:rsidR="00D8671A">
        <w:rPr>
          <w:rFonts w:asciiTheme="majorBidi" w:hAnsiTheme="majorBidi"/>
          <w:color w:val="auto"/>
          <w:sz w:val="22"/>
          <w:szCs w:val="22"/>
        </w:rPr>
        <w:t>Modes of Liabilitie</w:t>
      </w:r>
      <w:r w:rsidRPr="00D8671A">
        <w:rPr>
          <w:rFonts w:asciiTheme="majorBidi" w:hAnsiTheme="majorBidi"/>
          <w:color w:val="auto"/>
          <w:sz w:val="22"/>
          <w:szCs w:val="22"/>
        </w:rPr>
        <w:t>s in the ICC Judgments</w:t>
      </w:r>
    </w:p>
    <w:p w14:paraId="5D5F4BA6" w14:textId="77777777" w:rsidR="00D8671A" w:rsidRPr="00D8671A" w:rsidRDefault="00D8671A" w:rsidP="00D8671A">
      <w:pPr>
        <w:spacing w:after="0" w:line="240" w:lineRule="auto"/>
      </w:pPr>
    </w:p>
    <w:p w14:paraId="0B70128C" w14:textId="07F96BC1" w:rsidR="00DF34AD" w:rsidRPr="00D8671A" w:rsidRDefault="00DF34AD" w:rsidP="00D8671A">
      <w:pPr>
        <w:spacing w:after="0" w:line="240" w:lineRule="auto"/>
        <w:rPr>
          <w:rFonts w:asciiTheme="majorBidi" w:hAnsiTheme="majorBidi" w:cstheme="majorBidi"/>
          <w:i/>
        </w:rPr>
      </w:pPr>
      <w:r w:rsidRPr="00D8671A">
        <w:rPr>
          <w:rFonts w:asciiTheme="majorBidi" w:eastAsiaTheme="majorEastAsia" w:hAnsiTheme="majorBidi" w:cstheme="majorBidi"/>
          <w:b/>
          <w:bCs/>
        </w:rPr>
        <w:t>2.1</w:t>
      </w:r>
      <w:r w:rsidRPr="00D8671A">
        <w:rPr>
          <w:rFonts w:asciiTheme="majorBidi" w:eastAsiaTheme="majorEastAsia" w:hAnsiTheme="majorBidi" w:cstheme="majorBidi"/>
          <w:b/>
          <w:bCs/>
          <w:i/>
        </w:rPr>
        <w:t xml:space="preserve"> </w:t>
      </w:r>
      <w:r w:rsidR="00D8671A">
        <w:rPr>
          <w:rFonts w:asciiTheme="majorBidi" w:eastAsiaTheme="majorEastAsia" w:hAnsiTheme="majorBidi" w:cstheme="majorBidi"/>
          <w:b/>
          <w:bCs/>
          <w:i/>
        </w:rPr>
        <w:tab/>
      </w:r>
      <w:r w:rsidRPr="00D8671A">
        <w:rPr>
          <w:rFonts w:asciiTheme="majorBidi" w:eastAsiaTheme="majorEastAsia" w:hAnsiTheme="majorBidi" w:cstheme="majorBidi"/>
          <w:b/>
          <w:bCs/>
          <w:i/>
        </w:rPr>
        <w:t xml:space="preserve">The </w:t>
      </w:r>
      <w:r w:rsidR="00D8671A">
        <w:rPr>
          <w:rFonts w:asciiTheme="majorBidi" w:eastAsiaTheme="majorEastAsia" w:hAnsiTheme="majorBidi" w:cstheme="majorBidi"/>
          <w:b/>
          <w:bCs/>
          <w:i/>
        </w:rPr>
        <w:t>Lubanga C</w:t>
      </w:r>
      <w:r w:rsidR="00564C12" w:rsidRPr="00D8671A">
        <w:rPr>
          <w:rFonts w:asciiTheme="majorBidi" w:eastAsiaTheme="majorEastAsia" w:hAnsiTheme="majorBidi" w:cstheme="majorBidi"/>
          <w:b/>
          <w:bCs/>
          <w:i/>
        </w:rPr>
        <w:t>ase</w:t>
      </w:r>
    </w:p>
    <w:p w14:paraId="5795AD4D" w14:textId="5668B69D" w:rsidR="00DE27E1" w:rsidRPr="00D8671A" w:rsidRDefault="005530A3" w:rsidP="00BE3AE2">
      <w:pPr>
        <w:spacing w:after="0" w:line="240" w:lineRule="auto"/>
        <w:rPr>
          <w:rFonts w:asciiTheme="majorBidi" w:hAnsiTheme="majorBidi" w:cstheme="majorBidi"/>
        </w:rPr>
      </w:pPr>
      <w:r w:rsidRPr="00D8671A">
        <w:rPr>
          <w:rFonts w:asciiTheme="majorBidi" w:hAnsiTheme="majorBidi" w:cstheme="majorBidi"/>
        </w:rPr>
        <w:t xml:space="preserve">The </w:t>
      </w:r>
      <w:r w:rsidR="00A22266" w:rsidRPr="00D8671A">
        <w:rPr>
          <w:rFonts w:asciiTheme="majorBidi" w:hAnsiTheme="majorBidi" w:cstheme="majorBidi"/>
        </w:rPr>
        <w:t xml:space="preserve">debate </w:t>
      </w:r>
      <w:r w:rsidRPr="00D8671A">
        <w:rPr>
          <w:rFonts w:asciiTheme="majorBidi" w:hAnsiTheme="majorBidi" w:cstheme="majorBidi"/>
        </w:rPr>
        <w:t xml:space="preserve">about the correct interpretation of co-perpetration and indirect perpetration within Article 25(3)(a) began in </w:t>
      </w:r>
      <w:r w:rsidRPr="00D8671A">
        <w:rPr>
          <w:rFonts w:asciiTheme="majorBidi" w:hAnsiTheme="majorBidi" w:cstheme="majorBidi"/>
          <w:i/>
        </w:rPr>
        <w:t>Lubanga</w:t>
      </w:r>
      <w:r w:rsidRPr="00D8671A">
        <w:rPr>
          <w:rFonts w:asciiTheme="majorBidi" w:hAnsiTheme="majorBidi" w:cstheme="majorBidi"/>
        </w:rPr>
        <w:t xml:space="preserve">. </w:t>
      </w:r>
      <w:r w:rsidR="00DE27E1" w:rsidRPr="00D8671A">
        <w:rPr>
          <w:rFonts w:asciiTheme="majorBidi" w:hAnsiTheme="majorBidi" w:cstheme="majorBidi"/>
        </w:rPr>
        <w:t xml:space="preserve">Subparagraph (a) of the Rome Statute covers the commission of the crime through perpetration, co-perpetration and indirect perpetration, also referred to as </w:t>
      </w:r>
      <w:r w:rsidR="001C4963" w:rsidRPr="00D8671A">
        <w:rPr>
          <w:rFonts w:asciiTheme="majorBidi" w:hAnsiTheme="majorBidi" w:cstheme="majorBidi"/>
        </w:rPr>
        <w:t>“</w:t>
      </w:r>
      <w:r w:rsidR="00DE27E1" w:rsidRPr="00D8671A">
        <w:rPr>
          <w:rFonts w:asciiTheme="majorBidi" w:hAnsiTheme="majorBidi" w:cstheme="majorBidi"/>
        </w:rPr>
        <w:t>perpetration by means</w:t>
      </w:r>
      <w:r w:rsidR="001C4963" w:rsidRPr="00D8671A">
        <w:rPr>
          <w:rFonts w:asciiTheme="majorBidi" w:hAnsiTheme="majorBidi" w:cstheme="majorBidi"/>
        </w:rPr>
        <w:t>”</w:t>
      </w:r>
      <w:r w:rsidR="00DE27E1" w:rsidRPr="00D8671A">
        <w:rPr>
          <w:rFonts w:asciiTheme="majorBidi" w:hAnsiTheme="majorBidi" w:cstheme="majorBidi"/>
        </w:rPr>
        <w:t>. Co-perpetration implies a functional division of the criminal tasks between the different co-perpetrators, who are usually interrelated by the common plan.</w:t>
      </w:r>
      <w:r w:rsidR="00DE27E1" w:rsidRPr="00D8671A">
        <w:rPr>
          <w:rStyle w:val="FootnoteReference"/>
          <w:rFonts w:asciiTheme="majorBidi" w:hAnsiTheme="majorBidi" w:cstheme="majorBidi"/>
        </w:rPr>
        <w:footnoteReference w:id="23"/>
      </w:r>
      <w:r w:rsidR="00DE27E1" w:rsidRPr="00D8671A">
        <w:rPr>
          <w:rFonts w:asciiTheme="majorBidi" w:hAnsiTheme="majorBidi" w:cstheme="majorBidi"/>
        </w:rPr>
        <w:t xml:space="preserve"> Indirect perpetration </w:t>
      </w:r>
      <w:r w:rsidR="00A22266" w:rsidRPr="00D8671A">
        <w:rPr>
          <w:rFonts w:asciiTheme="majorBidi" w:hAnsiTheme="majorBidi" w:cstheme="majorBidi"/>
        </w:rPr>
        <w:t xml:space="preserve">implies </w:t>
      </w:r>
      <w:r w:rsidR="00DE27E1" w:rsidRPr="00D8671A">
        <w:rPr>
          <w:rFonts w:asciiTheme="majorBidi" w:hAnsiTheme="majorBidi" w:cstheme="majorBidi"/>
        </w:rPr>
        <w:t xml:space="preserve">that the person who commits the crime </w:t>
      </w:r>
      <w:r w:rsidR="00A22266" w:rsidRPr="00D8671A">
        <w:rPr>
          <w:rFonts w:asciiTheme="majorBidi" w:hAnsiTheme="majorBidi" w:cstheme="majorBidi"/>
        </w:rPr>
        <w:t xml:space="preserve">is </w:t>
      </w:r>
      <w:r w:rsidR="00DE27E1" w:rsidRPr="00D8671A">
        <w:rPr>
          <w:rFonts w:asciiTheme="majorBidi" w:hAnsiTheme="majorBidi" w:cstheme="majorBidi"/>
        </w:rPr>
        <w:t>used as an instrument by the indirect perpetrator.</w:t>
      </w:r>
      <w:r w:rsidR="00DE27E1" w:rsidRPr="00D8671A">
        <w:rPr>
          <w:rStyle w:val="FootnoteReference"/>
          <w:rFonts w:asciiTheme="majorBidi" w:hAnsiTheme="majorBidi" w:cstheme="majorBidi"/>
        </w:rPr>
        <w:footnoteReference w:id="24"/>
      </w:r>
      <w:r w:rsidR="00DE27E1" w:rsidRPr="00D8671A">
        <w:rPr>
          <w:rFonts w:asciiTheme="majorBidi" w:hAnsiTheme="majorBidi" w:cstheme="majorBidi"/>
        </w:rPr>
        <w:t xml:space="preserve"> Article 25(3)(a) provides for the liability of the indirect perpetrator regardless of the </w:t>
      </w:r>
      <w:r w:rsidR="00DE27E1" w:rsidRPr="00D8671A">
        <w:rPr>
          <w:rFonts w:asciiTheme="majorBidi" w:hAnsiTheme="majorBidi" w:cstheme="majorBidi"/>
          <w:i/>
        </w:rPr>
        <w:t>mens rea</w:t>
      </w:r>
      <w:r w:rsidR="00DE27E1" w:rsidRPr="00D8671A">
        <w:rPr>
          <w:rFonts w:asciiTheme="majorBidi" w:hAnsiTheme="majorBidi" w:cstheme="majorBidi"/>
        </w:rPr>
        <w:t xml:space="preserve"> of the person who actually commits the offence.</w:t>
      </w:r>
      <w:r w:rsidR="00DE27E1" w:rsidRPr="00D8671A">
        <w:rPr>
          <w:rStyle w:val="FootnoteReference"/>
          <w:rFonts w:asciiTheme="majorBidi" w:hAnsiTheme="majorBidi" w:cstheme="majorBidi"/>
        </w:rPr>
        <w:footnoteReference w:id="25"/>
      </w:r>
      <w:r w:rsidR="00DE27E1" w:rsidRPr="00D8671A">
        <w:rPr>
          <w:rFonts w:asciiTheme="majorBidi" w:hAnsiTheme="majorBidi" w:cstheme="majorBidi"/>
        </w:rPr>
        <w:t xml:space="preserve"> This permits the extension of criminal responsibility of indirect perpetrators beyond the cases of innocent agency.</w:t>
      </w:r>
      <w:r w:rsidR="00DE27E1" w:rsidRPr="00D8671A">
        <w:rPr>
          <w:rStyle w:val="FootnoteReference"/>
          <w:rFonts w:asciiTheme="majorBidi" w:hAnsiTheme="majorBidi" w:cstheme="majorBidi"/>
        </w:rPr>
        <w:footnoteReference w:id="26"/>
      </w:r>
      <w:r w:rsidR="00DE27E1" w:rsidRPr="00D8671A">
        <w:rPr>
          <w:rFonts w:asciiTheme="majorBidi" w:hAnsiTheme="majorBidi" w:cstheme="majorBidi"/>
        </w:rPr>
        <w:t xml:space="preserve"> Due to this peculiarity, the ICC Pre-Trial Chambers have been actively using the concept of co-perpetration when confirming charges in the situations </w:t>
      </w:r>
      <w:r w:rsidR="00D961D8" w:rsidRPr="00D8671A">
        <w:rPr>
          <w:rFonts w:asciiTheme="majorBidi" w:hAnsiTheme="majorBidi" w:cstheme="majorBidi"/>
        </w:rPr>
        <w:t xml:space="preserve">where </w:t>
      </w:r>
      <w:r w:rsidR="00DE27E1" w:rsidRPr="00D8671A">
        <w:rPr>
          <w:rFonts w:asciiTheme="majorBidi" w:hAnsiTheme="majorBidi" w:cstheme="majorBidi"/>
        </w:rPr>
        <w:t xml:space="preserve">multiple accused </w:t>
      </w:r>
      <w:r w:rsidR="00D961D8" w:rsidRPr="00D8671A">
        <w:rPr>
          <w:rFonts w:asciiTheme="majorBidi" w:hAnsiTheme="majorBidi" w:cstheme="majorBidi"/>
        </w:rPr>
        <w:t xml:space="preserve">are </w:t>
      </w:r>
      <w:r w:rsidR="00DE27E1" w:rsidRPr="00D8671A">
        <w:rPr>
          <w:rFonts w:asciiTheme="majorBidi" w:hAnsiTheme="majorBidi" w:cstheme="majorBidi"/>
        </w:rPr>
        <w:t>removed from the scene of the crime.</w:t>
      </w:r>
      <w:r w:rsidR="00DE27E1" w:rsidRPr="00D8671A">
        <w:rPr>
          <w:rStyle w:val="FootnoteReference"/>
          <w:rFonts w:asciiTheme="majorBidi" w:hAnsiTheme="majorBidi" w:cstheme="majorBidi"/>
        </w:rPr>
        <w:footnoteReference w:id="27"/>
      </w:r>
      <w:r w:rsidR="00DE27E1" w:rsidRPr="00D8671A">
        <w:rPr>
          <w:rFonts w:asciiTheme="majorBidi" w:hAnsiTheme="majorBidi" w:cstheme="majorBidi"/>
        </w:rPr>
        <w:t xml:space="preserve"> </w:t>
      </w:r>
    </w:p>
    <w:p w14:paraId="47BFC5E3" w14:textId="500BD418" w:rsidR="005530A3" w:rsidRPr="00D8671A" w:rsidRDefault="00A22266" w:rsidP="00D8671A">
      <w:pPr>
        <w:spacing w:after="0" w:line="240" w:lineRule="auto"/>
        <w:rPr>
          <w:rFonts w:asciiTheme="majorBidi" w:hAnsiTheme="majorBidi" w:cstheme="majorBidi"/>
        </w:rPr>
      </w:pPr>
      <w:r w:rsidRPr="00D8671A">
        <w:rPr>
          <w:rFonts w:asciiTheme="majorBidi" w:hAnsiTheme="majorBidi" w:cstheme="majorBidi"/>
        </w:rPr>
        <w:t>T</w:t>
      </w:r>
      <w:r w:rsidR="005530A3" w:rsidRPr="00D8671A">
        <w:rPr>
          <w:rFonts w:asciiTheme="majorBidi" w:hAnsiTheme="majorBidi" w:cstheme="majorBidi"/>
        </w:rPr>
        <w:t xml:space="preserve">his development </w:t>
      </w:r>
      <w:r w:rsidR="00DE27E1" w:rsidRPr="00D8671A">
        <w:rPr>
          <w:rFonts w:asciiTheme="majorBidi" w:hAnsiTheme="majorBidi" w:cstheme="majorBidi"/>
        </w:rPr>
        <w:t xml:space="preserve">in </w:t>
      </w:r>
      <w:r w:rsidR="00DE27E1" w:rsidRPr="00D8671A">
        <w:rPr>
          <w:rFonts w:asciiTheme="majorBidi" w:hAnsiTheme="majorBidi" w:cstheme="majorBidi"/>
          <w:i/>
        </w:rPr>
        <w:t>Lubanga</w:t>
      </w:r>
      <w:r w:rsidR="00DE27E1" w:rsidRPr="00D8671A">
        <w:rPr>
          <w:rFonts w:asciiTheme="majorBidi" w:hAnsiTheme="majorBidi" w:cstheme="majorBidi"/>
        </w:rPr>
        <w:t xml:space="preserve"> </w:t>
      </w:r>
      <w:r w:rsidRPr="00D8671A">
        <w:rPr>
          <w:rFonts w:asciiTheme="majorBidi" w:hAnsiTheme="majorBidi" w:cstheme="majorBidi"/>
        </w:rPr>
        <w:t xml:space="preserve">originated in </w:t>
      </w:r>
      <w:r w:rsidR="005530A3" w:rsidRPr="00D8671A">
        <w:rPr>
          <w:rFonts w:asciiTheme="majorBidi" w:hAnsiTheme="majorBidi" w:cstheme="majorBidi"/>
        </w:rPr>
        <w:t>the need to identify the criteria for distinguishing principals and accessories. The</w:t>
      </w:r>
      <w:r w:rsidR="005530A3" w:rsidRPr="00D8671A">
        <w:rPr>
          <w:rFonts w:asciiTheme="majorBidi" w:hAnsiTheme="majorBidi" w:cstheme="majorBidi"/>
          <w:i/>
        </w:rPr>
        <w:t xml:space="preserve"> </w:t>
      </w:r>
      <w:r w:rsidR="005530A3" w:rsidRPr="00D8671A">
        <w:rPr>
          <w:rFonts w:asciiTheme="majorBidi" w:hAnsiTheme="majorBidi" w:cstheme="majorBidi"/>
        </w:rPr>
        <w:t>Pre-Trial Chamber held that the objective approach to distinguishing the two categories focuses on the realization of one of the objective elements of the crime, thus labelling as (co-)perpetrators only those who physically perpetrate the crime.</w:t>
      </w:r>
      <w:r w:rsidR="005530A3" w:rsidRPr="00D8671A">
        <w:rPr>
          <w:rStyle w:val="FootnoteReference"/>
          <w:rFonts w:asciiTheme="majorBidi" w:hAnsiTheme="majorBidi" w:cstheme="majorBidi"/>
        </w:rPr>
        <w:footnoteReference w:id="28"/>
      </w:r>
      <w:r w:rsidR="005530A3" w:rsidRPr="00D8671A">
        <w:rPr>
          <w:rFonts w:asciiTheme="majorBidi" w:hAnsiTheme="majorBidi" w:cstheme="majorBidi"/>
        </w:rPr>
        <w:t xml:space="preserve"> The subjective approach, on the other hand, places the emphasis on the state of mind of the offender – those who have the shared intent are considered perpetrators.</w:t>
      </w:r>
      <w:r w:rsidR="005530A3" w:rsidRPr="00D8671A">
        <w:rPr>
          <w:rStyle w:val="FootnoteReference"/>
          <w:rFonts w:asciiTheme="majorBidi" w:hAnsiTheme="majorBidi" w:cstheme="majorBidi"/>
        </w:rPr>
        <w:footnoteReference w:id="29"/>
      </w:r>
      <w:r w:rsidR="005530A3" w:rsidRPr="00D8671A">
        <w:rPr>
          <w:rFonts w:asciiTheme="majorBidi" w:hAnsiTheme="majorBidi" w:cstheme="majorBidi"/>
        </w:rPr>
        <w:t xml:space="preserve"> The Chamber further argued that neither the objective nor the subjective criterion distinguishing principals and accessories could be reconciled with Article 25(3)(a). The former approach unjustly restricts indirect perpetration to those performing the </w:t>
      </w:r>
      <w:r w:rsidR="005530A3" w:rsidRPr="00D8671A">
        <w:rPr>
          <w:rFonts w:asciiTheme="majorBidi" w:hAnsiTheme="majorBidi" w:cstheme="majorBidi"/>
          <w:i/>
        </w:rPr>
        <w:t>actus reus</w:t>
      </w:r>
      <w:r w:rsidR="005530A3" w:rsidRPr="00D8671A">
        <w:rPr>
          <w:rFonts w:asciiTheme="majorBidi" w:hAnsiTheme="majorBidi" w:cstheme="majorBidi"/>
        </w:rPr>
        <w:t xml:space="preserve"> of the offence, while the latter </w:t>
      </w:r>
      <w:r w:rsidR="00561D6D" w:rsidRPr="00D8671A">
        <w:rPr>
          <w:rFonts w:asciiTheme="majorBidi" w:hAnsiTheme="majorBidi" w:cstheme="majorBidi"/>
        </w:rPr>
        <w:t>position</w:t>
      </w:r>
      <w:r w:rsidR="005530A3" w:rsidRPr="00D8671A">
        <w:rPr>
          <w:rFonts w:asciiTheme="majorBidi" w:hAnsiTheme="majorBidi" w:cstheme="majorBidi"/>
        </w:rPr>
        <w:t xml:space="preserve"> is already embodied in Article 25(3)(d), thus differentiating it from the co-perpetration within the meaning of Article 25(3)(a).</w:t>
      </w:r>
      <w:r w:rsidR="005530A3" w:rsidRPr="00D8671A">
        <w:rPr>
          <w:rStyle w:val="FootnoteReference"/>
          <w:rFonts w:asciiTheme="majorBidi" w:hAnsiTheme="majorBidi" w:cstheme="majorBidi"/>
        </w:rPr>
        <w:footnoteReference w:id="30"/>
      </w:r>
    </w:p>
    <w:p w14:paraId="050A130D" w14:textId="70D48D09" w:rsidR="008F5451" w:rsidRPr="00D8671A" w:rsidRDefault="005530A3" w:rsidP="00566D5D">
      <w:pPr>
        <w:spacing w:after="0" w:line="240" w:lineRule="auto"/>
        <w:ind w:firstLine="720"/>
        <w:rPr>
          <w:rFonts w:asciiTheme="majorBidi" w:hAnsiTheme="majorBidi" w:cstheme="majorBidi"/>
        </w:rPr>
      </w:pPr>
      <w:r w:rsidRPr="00D8671A">
        <w:rPr>
          <w:rFonts w:asciiTheme="majorBidi" w:hAnsiTheme="majorBidi" w:cstheme="majorBidi"/>
        </w:rPr>
        <w:t xml:space="preserve">Consequently, the ICC came up with the third method of </w:t>
      </w:r>
      <w:r w:rsidR="001C4963" w:rsidRPr="00D8671A">
        <w:rPr>
          <w:rFonts w:asciiTheme="majorBidi" w:hAnsiTheme="majorBidi" w:cstheme="majorBidi"/>
        </w:rPr>
        <w:t>“</w:t>
      </w:r>
      <w:r w:rsidRPr="00D8671A">
        <w:rPr>
          <w:rFonts w:asciiTheme="majorBidi" w:hAnsiTheme="majorBidi" w:cstheme="majorBidi"/>
        </w:rPr>
        <w:t>control over crime</w:t>
      </w:r>
      <w:r w:rsidR="001C4963" w:rsidRPr="00D8671A">
        <w:rPr>
          <w:rFonts w:asciiTheme="majorBidi" w:hAnsiTheme="majorBidi" w:cstheme="majorBidi"/>
        </w:rPr>
        <w:t>”</w:t>
      </w:r>
      <w:r w:rsidRPr="00D8671A">
        <w:rPr>
          <w:rFonts w:asciiTheme="majorBidi" w:hAnsiTheme="majorBidi" w:cstheme="majorBidi"/>
        </w:rPr>
        <w:t xml:space="preserve"> for distinguishing between principals and accessories, which it said applies in </w:t>
      </w:r>
      <w:r w:rsidR="001C4963" w:rsidRPr="00D8671A">
        <w:rPr>
          <w:rFonts w:asciiTheme="majorBidi" w:hAnsiTheme="majorBidi" w:cstheme="majorBidi"/>
        </w:rPr>
        <w:t>‘</w:t>
      </w:r>
      <w:r w:rsidRPr="00D8671A">
        <w:rPr>
          <w:rFonts w:asciiTheme="majorBidi" w:hAnsiTheme="majorBidi" w:cstheme="majorBidi"/>
        </w:rPr>
        <w:t>numerous legal systems’.</w:t>
      </w:r>
      <w:r w:rsidRPr="00D8671A">
        <w:rPr>
          <w:rStyle w:val="FootnoteReference"/>
          <w:rFonts w:asciiTheme="majorBidi" w:hAnsiTheme="majorBidi" w:cstheme="majorBidi"/>
        </w:rPr>
        <w:footnoteReference w:id="31"/>
      </w:r>
      <w:r w:rsidRPr="00D8671A">
        <w:rPr>
          <w:rFonts w:asciiTheme="majorBidi" w:hAnsiTheme="majorBidi" w:cstheme="majorBidi"/>
        </w:rPr>
        <w:t xml:space="preserve"> This approach is based on the </w:t>
      </w:r>
      <w:r w:rsidR="00633C6C" w:rsidRPr="00D8671A">
        <w:rPr>
          <w:rFonts w:asciiTheme="majorBidi" w:hAnsiTheme="majorBidi" w:cstheme="majorBidi"/>
        </w:rPr>
        <w:t xml:space="preserve">theory of </w:t>
      </w:r>
      <w:r w:rsidR="00633C6C" w:rsidRPr="00D8671A">
        <w:rPr>
          <w:rFonts w:asciiTheme="majorBidi" w:hAnsiTheme="majorBidi" w:cstheme="majorBidi"/>
          <w:i/>
        </w:rPr>
        <w:t>Tatherrschaft</w:t>
      </w:r>
      <w:r w:rsidRPr="00D8671A">
        <w:rPr>
          <w:rFonts w:asciiTheme="majorBidi" w:hAnsiTheme="majorBidi" w:cstheme="majorBidi"/>
        </w:rPr>
        <w:t xml:space="preserve"> </w:t>
      </w:r>
      <w:r w:rsidR="00633C6C" w:rsidRPr="00D8671A">
        <w:rPr>
          <w:rFonts w:asciiTheme="majorBidi" w:hAnsiTheme="majorBidi" w:cstheme="majorBidi"/>
        </w:rPr>
        <w:t xml:space="preserve">devised by </w:t>
      </w:r>
      <w:r w:rsidR="009C3445" w:rsidRPr="00D8671A">
        <w:rPr>
          <w:rFonts w:asciiTheme="majorBidi" w:hAnsiTheme="majorBidi" w:cstheme="majorBidi"/>
        </w:rPr>
        <w:t xml:space="preserve">an influential </w:t>
      </w:r>
      <w:r w:rsidR="009C3445" w:rsidRPr="00D8671A">
        <w:rPr>
          <w:rFonts w:asciiTheme="majorBidi" w:hAnsiTheme="majorBidi" w:cstheme="majorBidi"/>
        </w:rPr>
        <w:lastRenderedPageBreak/>
        <w:t>German criminal law scholar Claus Roxin</w:t>
      </w:r>
      <w:r w:rsidR="008F5451" w:rsidRPr="00D8671A">
        <w:rPr>
          <w:rStyle w:val="FootnoteReference"/>
          <w:rFonts w:asciiTheme="majorBidi" w:hAnsiTheme="majorBidi" w:cstheme="majorBidi"/>
        </w:rPr>
        <w:footnoteReference w:id="32"/>
      </w:r>
      <w:r w:rsidRPr="00D8671A">
        <w:rPr>
          <w:rFonts w:asciiTheme="majorBidi" w:hAnsiTheme="majorBidi" w:cstheme="majorBidi"/>
        </w:rPr>
        <w:t xml:space="preserve"> </w:t>
      </w:r>
      <w:r w:rsidR="00633C6C" w:rsidRPr="00D8671A">
        <w:rPr>
          <w:rFonts w:asciiTheme="majorBidi" w:hAnsiTheme="majorBidi" w:cstheme="majorBidi"/>
        </w:rPr>
        <w:t xml:space="preserve">in </w:t>
      </w:r>
      <w:r w:rsidR="00D961D8" w:rsidRPr="00D8671A">
        <w:rPr>
          <w:rFonts w:asciiTheme="majorBidi" w:hAnsiTheme="majorBidi" w:cstheme="majorBidi"/>
        </w:rPr>
        <w:t xml:space="preserve">the </w:t>
      </w:r>
      <w:r w:rsidR="00633C6C" w:rsidRPr="00D8671A">
        <w:rPr>
          <w:rFonts w:asciiTheme="majorBidi" w:hAnsiTheme="majorBidi" w:cstheme="majorBidi"/>
        </w:rPr>
        <w:t>1960’s</w:t>
      </w:r>
      <w:r w:rsidR="008F5451" w:rsidRPr="00D8671A">
        <w:rPr>
          <w:rFonts w:asciiTheme="majorBidi" w:hAnsiTheme="majorBidi" w:cstheme="majorBidi"/>
        </w:rPr>
        <w:t xml:space="preserve"> as a compromise between two competing liability theories – the objective theory and the subjective theory, both of which </w:t>
      </w:r>
      <w:r w:rsidR="00D961D8" w:rsidRPr="00D8671A">
        <w:rPr>
          <w:rFonts w:asciiTheme="majorBidi" w:hAnsiTheme="majorBidi" w:cstheme="majorBidi"/>
        </w:rPr>
        <w:t xml:space="preserve">had </w:t>
      </w:r>
      <w:r w:rsidR="008F5451" w:rsidRPr="00D8671A">
        <w:rPr>
          <w:rFonts w:asciiTheme="majorBidi" w:hAnsiTheme="majorBidi" w:cstheme="majorBidi"/>
        </w:rPr>
        <w:t>fallen out of favour with German legal scholars.</w:t>
      </w:r>
      <w:r w:rsidR="008F5451" w:rsidRPr="00D8671A">
        <w:rPr>
          <w:rStyle w:val="FootnoteReference"/>
          <w:rFonts w:asciiTheme="majorBidi" w:hAnsiTheme="majorBidi" w:cstheme="majorBidi"/>
        </w:rPr>
        <w:footnoteReference w:id="33"/>
      </w:r>
      <w:r w:rsidR="008F5451" w:rsidRPr="00D8671A">
        <w:rPr>
          <w:rFonts w:asciiTheme="majorBidi" w:hAnsiTheme="majorBidi" w:cstheme="majorBidi"/>
        </w:rPr>
        <w:t xml:space="preserve"> Roxin described the objective theory as holding only those who have partially or entirely committed the offence, referred to in the special part of the penal code, as perpetrators.</w:t>
      </w:r>
      <w:r w:rsidR="008F5451" w:rsidRPr="00D8671A">
        <w:rPr>
          <w:rStyle w:val="FootnoteReference"/>
          <w:rFonts w:asciiTheme="majorBidi" w:hAnsiTheme="majorBidi" w:cstheme="majorBidi"/>
        </w:rPr>
        <w:footnoteReference w:id="34"/>
      </w:r>
      <w:r w:rsidR="008F5451" w:rsidRPr="00D8671A">
        <w:rPr>
          <w:rFonts w:asciiTheme="majorBidi" w:hAnsiTheme="majorBidi" w:cstheme="majorBidi"/>
        </w:rPr>
        <w:t xml:space="preserve"> The subjective theory, on the other hand, distinguishes between perpetration and mere participation based on the internal cognitive processes of the individual, such as will, motives and intentions.</w:t>
      </w:r>
      <w:r w:rsidR="008F5451" w:rsidRPr="00D8671A">
        <w:rPr>
          <w:rStyle w:val="FootnoteReference"/>
          <w:rFonts w:asciiTheme="majorBidi" w:hAnsiTheme="majorBidi" w:cstheme="majorBidi"/>
        </w:rPr>
        <w:footnoteReference w:id="35"/>
      </w:r>
      <w:r w:rsidR="008F5451" w:rsidRPr="00D8671A">
        <w:rPr>
          <w:rFonts w:asciiTheme="majorBidi" w:hAnsiTheme="majorBidi" w:cstheme="majorBidi"/>
        </w:rPr>
        <w:t xml:space="preserve"> </w:t>
      </w:r>
    </w:p>
    <w:p w14:paraId="61BF6F6F" w14:textId="1F88E2CA" w:rsidR="008F5451" w:rsidRPr="00D8671A" w:rsidRDefault="008F5451" w:rsidP="00566D5D">
      <w:pPr>
        <w:spacing w:after="0" w:line="240" w:lineRule="auto"/>
        <w:ind w:firstLine="720"/>
        <w:rPr>
          <w:rFonts w:asciiTheme="majorBidi" w:hAnsiTheme="majorBidi" w:cstheme="majorBidi"/>
        </w:rPr>
      </w:pPr>
      <w:r w:rsidRPr="00D8671A">
        <w:rPr>
          <w:rFonts w:asciiTheme="majorBidi" w:hAnsiTheme="majorBidi" w:cstheme="majorBidi"/>
        </w:rPr>
        <w:t>Since the end of the 19</w:t>
      </w:r>
      <w:r w:rsidRPr="00D8671A">
        <w:rPr>
          <w:rFonts w:asciiTheme="majorBidi" w:hAnsiTheme="majorBidi" w:cstheme="majorBidi"/>
          <w:vertAlign w:val="superscript"/>
        </w:rPr>
        <w:t>th</w:t>
      </w:r>
      <w:r w:rsidRPr="00D8671A">
        <w:rPr>
          <w:rFonts w:asciiTheme="majorBidi" w:hAnsiTheme="majorBidi" w:cstheme="majorBidi"/>
        </w:rPr>
        <w:t xml:space="preserve"> century, German courts have consistently taken the subjective approach, which was greatly criticized by the majority of German academics due to its lack of rational criteria in distinguishing between perpetrators and accessories.</w:t>
      </w:r>
      <w:r w:rsidRPr="00D8671A">
        <w:rPr>
          <w:rStyle w:val="FootnoteReference"/>
          <w:rFonts w:asciiTheme="majorBidi" w:hAnsiTheme="majorBidi" w:cstheme="majorBidi"/>
        </w:rPr>
        <w:footnoteReference w:id="36"/>
      </w:r>
      <w:r w:rsidRPr="00D8671A">
        <w:rPr>
          <w:rFonts w:asciiTheme="majorBidi" w:hAnsiTheme="majorBidi" w:cstheme="majorBidi"/>
        </w:rPr>
        <w:t xml:space="preserve"> For example, the case of </w:t>
      </w:r>
      <w:r w:rsidRPr="00D8671A">
        <w:rPr>
          <w:rFonts w:asciiTheme="majorBidi" w:hAnsiTheme="majorBidi" w:cstheme="majorBidi"/>
          <w:i/>
        </w:rPr>
        <w:t>Stashynsky</w:t>
      </w:r>
      <w:r w:rsidRPr="00D8671A">
        <w:rPr>
          <w:rFonts w:asciiTheme="majorBidi" w:hAnsiTheme="majorBidi" w:cstheme="majorBidi"/>
        </w:rPr>
        <w:t>, decided by the German Supreme Court (</w:t>
      </w:r>
      <w:r w:rsidRPr="00D8671A">
        <w:rPr>
          <w:rFonts w:asciiTheme="majorBidi" w:hAnsiTheme="majorBidi" w:cstheme="majorBidi"/>
          <w:bCs/>
          <w:i/>
        </w:rPr>
        <w:t xml:space="preserve">Bundesgerichtshof or </w:t>
      </w:r>
      <w:r w:rsidRPr="00D8671A">
        <w:rPr>
          <w:rFonts w:asciiTheme="majorBidi" w:hAnsiTheme="majorBidi" w:cstheme="majorBidi"/>
          <w:bCs/>
        </w:rPr>
        <w:t>BGH</w:t>
      </w:r>
      <w:r w:rsidRPr="00D8671A">
        <w:rPr>
          <w:rFonts w:asciiTheme="majorBidi" w:hAnsiTheme="majorBidi" w:cstheme="majorBidi"/>
        </w:rPr>
        <w:t>) in 1962, demonstrated the weakness of the subjective approach.</w:t>
      </w:r>
      <w:r w:rsidRPr="00D8671A">
        <w:rPr>
          <w:rStyle w:val="FootnoteReference"/>
          <w:rFonts w:asciiTheme="majorBidi" w:hAnsiTheme="majorBidi" w:cstheme="majorBidi"/>
        </w:rPr>
        <w:footnoteReference w:id="37"/>
      </w:r>
      <w:r w:rsidRPr="00D8671A">
        <w:rPr>
          <w:rFonts w:asciiTheme="majorBidi" w:hAnsiTheme="majorBidi" w:cstheme="majorBidi"/>
        </w:rPr>
        <w:t xml:space="preserve">  Stashynsky was a KGB agent who in 1957 committed two murders of exiled Soviet dissidents, on the direct orders of the head of the KGB. In 1961, he fled to West Berlin, where he was apprehended and tried for murder. The court sentenced Stashynsky to eight years imprisonment for merely aiding the head of the KGB, who was perceived as the real principal. This ruling of the court was widely criticized for being too lenient.</w:t>
      </w:r>
      <w:r w:rsidRPr="00D8671A">
        <w:rPr>
          <w:rStyle w:val="FootnoteReference"/>
          <w:rFonts w:asciiTheme="majorBidi" w:hAnsiTheme="majorBidi" w:cstheme="majorBidi"/>
        </w:rPr>
        <w:footnoteReference w:id="38"/>
      </w:r>
      <w:r w:rsidRPr="00D8671A">
        <w:rPr>
          <w:rFonts w:asciiTheme="majorBidi" w:hAnsiTheme="majorBidi" w:cstheme="majorBidi"/>
        </w:rPr>
        <w:t xml:space="preserve"> </w:t>
      </w:r>
      <w:r w:rsidR="006C534C" w:rsidRPr="00D8671A">
        <w:rPr>
          <w:rFonts w:asciiTheme="majorBidi" w:hAnsiTheme="majorBidi" w:cstheme="majorBidi"/>
        </w:rPr>
        <w:t>Roxin’s theory of a perpetrator who ‘dominates’ the execution of the criminal offence - in cases when a person does the relevant act himself, jointly with others, or uses another person as his tool – supplied the BGH with a much longed-for ingredient of objectivity.</w:t>
      </w:r>
      <w:r w:rsidR="006C534C" w:rsidRPr="00D8671A">
        <w:rPr>
          <w:rStyle w:val="FootnoteReference"/>
          <w:rFonts w:asciiTheme="majorBidi" w:hAnsiTheme="majorBidi" w:cstheme="majorBidi"/>
        </w:rPr>
        <w:footnoteReference w:id="39"/>
      </w:r>
    </w:p>
    <w:p w14:paraId="5FC0EF9F" w14:textId="5CDCBED1" w:rsidR="00633C6C" w:rsidRPr="00D8671A" w:rsidRDefault="00633C6C" w:rsidP="00566D5D">
      <w:pPr>
        <w:autoSpaceDE w:val="0"/>
        <w:autoSpaceDN w:val="0"/>
        <w:adjustRightInd w:val="0"/>
        <w:spacing w:after="0" w:line="240" w:lineRule="auto"/>
        <w:ind w:firstLine="720"/>
        <w:rPr>
          <w:rFonts w:asciiTheme="majorBidi" w:hAnsiTheme="majorBidi" w:cstheme="majorBidi"/>
        </w:rPr>
      </w:pPr>
      <w:r w:rsidRPr="00D8671A">
        <w:rPr>
          <w:rFonts w:asciiTheme="majorBidi" w:hAnsiTheme="majorBidi" w:cstheme="majorBidi"/>
        </w:rPr>
        <w:t xml:space="preserve">Modern German criminal law relies heavily on the doctrine of </w:t>
      </w:r>
      <w:r w:rsidRPr="00D8671A">
        <w:rPr>
          <w:rFonts w:asciiTheme="majorBidi" w:hAnsiTheme="majorBidi" w:cstheme="majorBidi"/>
          <w:i/>
        </w:rPr>
        <w:t>Tatherrschaft</w:t>
      </w:r>
      <w:r w:rsidRPr="00D8671A">
        <w:rPr>
          <w:rFonts w:asciiTheme="majorBidi" w:hAnsiTheme="majorBidi" w:cstheme="majorBidi"/>
        </w:rPr>
        <w:t xml:space="preserve"> in determining the line that separates principals from accessories.</w:t>
      </w:r>
      <w:r w:rsidR="00507A65" w:rsidRPr="00D8671A">
        <w:rPr>
          <w:rStyle w:val="FootnoteReference"/>
          <w:rFonts w:asciiTheme="majorBidi" w:hAnsiTheme="majorBidi" w:cstheme="majorBidi"/>
        </w:rPr>
        <w:footnoteReference w:id="40"/>
      </w:r>
      <w:r w:rsidRPr="00D8671A">
        <w:rPr>
          <w:rFonts w:asciiTheme="majorBidi" w:hAnsiTheme="majorBidi" w:cstheme="majorBidi"/>
        </w:rPr>
        <w:t xml:space="preserve"> The word could be tr</w:t>
      </w:r>
      <w:r w:rsidR="001C4963" w:rsidRPr="00D8671A">
        <w:rPr>
          <w:rFonts w:asciiTheme="majorBidi" w:hAnsiTheme="majorBidi" w:cstheme="majorBidi"/>
        </w:rPr>
        <w:t>anslated as “control over crime”</w:t>
      </w:r>
      <w:r w:rsidRPr="00D8671A">
        <w:rPr>
          <w:rFonts w:asciiTheme="majorBidi" w:hAnsiTheme="majorBidi" w:cstheme="majorBidi"/>
        </w:rPr>
        <w:t xml:space="preserve"> or, as George Fletcher put it, ‘hegemony over the act’.</w:t>
      </w:r>
      <w:r w:rsidRPr="00D8671A">
        <w:rPr>
          <w:rStyle w:val="FootnoteReference"/>
          <w:rFonts w:asciiTheme="majorBidi" w:hAnsiTheme="majorBidi" w:cstheme="majorBidi"/>
        </w:rPr>
        <w:footnoteReference w:id="41"/>
      </w:r>
      <w:r w:rsidRPr="00D8671A">
        <w:rPr>
          <w:rFonts w:asciiTheme="majorBidi" w:hAnsiTheme="majorBidi" w:cstheme="majorBidi"/>
        </w:rPr>
        <w:t xml:space="preserve"> </w:t>
      </w:r>
      <w:r w:rsidR="00217C22" w:rsidRPr="00D8671A">
        <w:rPr>
          <w:rFonts w:asciiTheme="majorBidi" w:hAnsiTheme="majorBidi" w:cstheme="majorBidi"/>
        </w:rPr>
        <w:t>This notion presupposes that as</w:t>
      </w:r>
      <w:r w:rsidRPr="00D8671A">
        <w:rPr>
          <w:rFonts w:asciiTheme="majorBidi" w:hAnsiTheme="majorBidi" w:cstheme="majorBidi"/>
        </w:rPr>
        <w:t xml:space="preserve"> long as the participant in crime is willing to influence the actual mode of its commission and offers a contribution that has an impact on how the common agreement is shaped or enforced, he will be classified as a co-perpetrator.</w:t>
      </w:r>
      <w:r w:rsidRPr="00D8671A">
        <w:rPr>
          <w:rStyle w:val="FootnoteReference"/>
          <w:rFonts w:asciiTheme="majorBidi" w:hAnsiTheme="majorBidi" w:cstheme="majorBidi"/>
        </w:rPr>
        <w:footnoteReference w:id="42"/>
      </w:r>
      <w:r w:rsidRPr="00D8671A">
        <w:rPr>
          <w:rFonts w:asciiTheme="majorBidi" w:hAnsiTheme="majorBidi" w:cstheme="majorBidi"/>
        </w:rPr>
        <w:t xml:space="preserve"> Accessory is defined negatively as someone who does not have control over the execution of the crime.</w:t>
      </w:r>
      <w:r w:rsidRPr="00D8671A">
        <w:rPr>
          <w:rStyle w:val="FootnoteReference"/>
          <w:rFonts w:asciiTheme="majorBidi" w:hAnsiTheme="majorBidi" w:cstheme="majorBidi"/>
        </w:rPr>
        <w:footnoteReference w:id="43"/>
      </w:r>
      <w:r w:rsidRPr="00D8671A">
        <w:rPr>
          <w:rFonts w:asciiTheme="majorBidi" w:hAnsiTheme="majorBidi" w:cstheme="majorBidi"/>
        </w:rPr>
        <w:t xml:space="preserve"> </w:t>
      </w:r>
    </w:p>
    <w:p w14:paraId="25C7FF25" w14:textId="02B9AC27" w:rsidR="00633C6C" w:rsidRPr="00D8671A" w:rsidRDefault="00633C6C" w:rsidP="00D8671A">
      <w:pPr>
        <w:autoSpaceDE w:val="0"/>
        <w:autoSpaceDN w:val="0"/>
        <w:adjustRightInd w:val="0"/>
        <w:spacing w:after="0" w:line="240" w:lineRule="auto"/>
        <w:rPr>
          <w:rFonts w:asciiTheme="majorBidi" w:hAnsiTheme="majorBidi" w:cstheme="majorBidi"/>
        </w:rPr>
      </w:pPr>
      <w:r w:rsidRPr="00D8671A">
        <w:rPr>
          <w:rFonts w:asciiTheme="majorBidi" w:hAnsiTheme="majorBidi" w:cstheme="majorBidi"/>
        </w:rPr>
        <w:t xml:space="preserve">The common plan is the foundation of the cooperation of the participants. Each of them must perceive his actions as furthering those of </w:t>
      </w:r>
      <w:r w:rsidR="00D961D8" w:rsidRPr="00D8671A">
        <w:rPr>
          <w:rFonts w:asciiTheme="majorBidi" w:hAnsiTheme="majorBidi" w:cstheme="majorBidi"/>
        </w:rPr>
        <w:t xml:space="preserve">the </w:t>
      </w:r>
      <w:r w:rsidRPr="00D8671A">
        <w:rPr>
          <w:rFonts w:asciiTheme="majorBidi" w:hAnsiTheme="majorBidi" w:cstheme="majorBidi"/>
        </w:rPr>
        <w:t xml:space="preserve">others and theirs </w:t>
      </w:r>
      <w:r w:rsidR="00D961D8" w:rsidRPr="00D8671A">
        <w:rPr>
          <w:rFonts w:asciiTheme="majorBidi" w:hAnsiTheme="majorBidi" w:cstheme="majorBidi"/>
        </w:rPr>
        <w:t xml:space="preserve">in turn </w:t>
      </w:r>
      <w:r w:rsidRPr="00D8671A">
        <w:rPr>
          <w:rFonts w:asciiTheme="majorBidi" w:hAnsiTheme="majorBidi" w:cstheme="majorBidi"/>
        </w:rPr>
        <w:t xml:space="preserve">as </w:t>
      </w:r>
      <w:r w:rsidR="009940A0" w:rsidRPr="00D8671A">
        <w:rPr>
          <w:rFonts w:asciiTheme="majorBidi" w:hAnsiTheme="majorBidi" w:cstheme="majorBidi"/>
        </w:rPr>
        <w:t>advancing</w:t>
      </w:r>
      <w:r w:rsidRPr="00D8671A">
        <w:rPr>
          <w:rFonts w:asciiTheme="majorBidi" w:hAnsiTheme="majorBidi" w:cstheme="majorBidi"/>
        </w:rPr>
        <w:t xml:space="preserve"> his.</w:t>
      </w:r>
      <w:r w:rsidRPr="00D8671A">
        <w:rPr>
          <w:rStyle w:val="FootnoteReference"/>
          <w:rFonts w:asciiTheme="majorBidi" w:hAnsiTheme="majorBidi" w:cstheme="majorBidi"/>
        </w:rPr>
        <w:footnoteReference w:id="44"/>
      </w:r>
      <w:r w:rsidRPr="00D8671A">
        <w:rPr>
          <w:rFonts w:asciiTheme="majorBidi" w:hAnsiTheme="majorBidi" w:cstheme="majorBidi"/>
        </w:rPr>
        <w:t xml:space="preserve"> The effect of establishing the existence of co-perpetration is the attribution of the offences committed by each co-perpetrator to all other perpetrators in this joint venture.</w:t>
      </w:r>
      <w:r w:rsidRPr="00D8671A">
        <w:rPr>
          <w:rStyle w:val="FootnoteReference"/>
          <w:rFonts w:asciiTheme="majorBidi" w:hAnsiTheme="majorBidi" w:cstheme="majorBidi"/>
        </w:rPr>
        <w:footnoteReference w:id="45"/>
      </w:r>
      <w:r w:rsidRPr="00D8671A">
        <w:rPr>
          <w:rFonts w:asciiTheme="majorBidi" w:hAnsiTheme="majorBidi" w:cstheme="majorBidi"/>
        </w:rPr>
        <w:t xml:space="preserve"> The mutual attribution does not happen if one of the participants lacks a certain quality necessary for the particular offence or the necessary </w:t>
      </w:r>
      <w:r w:rsidRPr="00D8671A">
        <w:rPr>
          <w:rFonts w:asciiTheme="majorBidi" w:hAnsiTheme="majorBidi" w:cstheme="majorBidi"/>
          <w:i/>
        </w:rPr>
        <w:t>mens rea</w:t>
      </w:r>
      <w:r w:rsidRPr="00D8671A">
        <w:rPr>
          <w:rFonts w:asciiTheme="majorBidi" w:hAnsiTheme="majorBidi" w:cstheme="majorBidi"/>
        </w:rPr>
        <w:t>.</w:t>
      </w:r>
      <w:r w:rsidRPr="00D8671A">
        <w:rPr>
          <w:rStyle w:val="FootnoteReference"/>
          <w:rFonts w:asciiTheme="majorBidi" w:hAnsiTheme="majorBidi" w:cstheme="majorBidi"/>
        </w:rPr>
        <w:footnoteReference w:id="46"/>
      </w:r>
      <w:r w:rsidRPr="00D8671A">
        <w:rPr>
          <w:rFonts w:asciiTheme="majorBidi" w:hAnsiTheme="majorBidi" w:cstheme="majorBidi"/>
        </w:rPr>
        <w:t xml:space="preserve">  The deviation of a joint principal from a common plan cannot be attributed to the other participants.</w:t>
      </w:r>
      <w:r w:rsidRPr="00D8671A">
        <w:rPr>
          <w:rStyle w:val="FootnoteReference"/>
          <w:rFonts w:asciiTheme="majorBidi" w:hAnsiTheme="majorBidi" w:cstheme="majorBidi"/>
        </w:rPr>
        <w:footnoteReference w:id="47"/>
      </w:r>
      <w:r w:rsidRPr="00D8671A">
        <w:rPr>
          <w:rFonts w:asciiTheme="majorBidi" w:hAnsiTheme="majorBidi" w:cstheme="majorBidi"/>
        </w:rPr>
        <w:t xml:space="preserve"> The BGH refused to infer intent </w:t>
      </w:r>
      <w:r w:rsidRPr="00D8671A">
        <w:rPr>
          <w:rFonts w:asciiTheme="majorBidi" w:hAnsiTheme="majorBidi" w:cstheme="majorBidi"/>
        </w:rPr>
        <w:lastRenderedPageBreak/>
        <w:t xml:space="preserve">in the form of </w:t>
      </w:r>
      <w:r w:rsidRPr="00D8671A">
        <w:rPr>
          <w:rFonts w:asciiTheme="majorBidi" w:hAnsiTheme="majorBidi" w:cstheme="majorBidi"/>
          <w:i/>
        </w:rPr>
        <w:t>dolus eventualis</w:t>
      </w:r>
      <w:r w:rsidRPr="00D8671A">
        <w:rPr>
          <w:rFonts w:asciiTheme="majorBidi" w:hAnsiTheme="majorBidi" w:cstheme="majorBidi"/>
        </w:rPr>
        <w:t xml:space="preserve"> in the cases when crimes committed by the co-perpetrator were outside the agreed plan.</w:t>
      </w:r>
      <w:r w:rsidRPr="00D8671A">
        <w:rPr>
          <w:rStyle w:val="FootnoteReference"/>
          <w:rFonts w:asciiTheme="majorBidi" w:hAnsiTheme="majorBidi" w:cstheme="majorBidi"/>
        </w:rPr>
        <w:footnoteReference w:id="48"/>
      </w:r>
    </w:p>
    <w:p w14:paraId="231767D0" w14:textId="158D2909" w:rsidR="005530A3" w:rsidRPr="00D8671A" w:rsidRDefault="005530A3" w:rsidP="00566D5D">
      <w:pPr>
        <w:autoSpaceDE w:val="0"/>
        <w:autoSpaceDN w:val="0"/>
        <w:adjustRightInd w:val="0"/>
        <w:spacing w:after="0" w:line="240" w:lineRule="auto"/>
        <w:ind w:firstLine="720"/>
        <w:rPr>
          <w:rFonts w:asciiTheme="majorBidi" w:hAnsiTheme="majorBidi" w:cstheme="majorBidi"/>
        </w:rPr>
      </w:pPr>
      <w:r w:rsidRPr="00D8671A">
        <w:rPr>
          <w:rFonts w:asciiTheme="majorBidi" w:hAnsiTheme="majorBidi" w:cstheme="majorBidi"/>
        </w:rPr>
        <w:t xml:space="preserve">The </w:t>
      </w:r>
      <w:r w:rsidR="000F177B" w:rsidRPr="00D8671A">
        <w:rPr>
          <w:rFonts w:asciiTheme="majorBidi" w:hAnsiTheme="majorBidi" w:cstheme="majorBidi"/>
          <w:i/>
        </w:rPr>
        <w:t>Lubanga</w:t>
      </w:r>
      <w:r w:rsidR="000F177B" w:rsidRPr="00D8671A">
        <w:rPr>
          <w:rFonts w:asciiTheme="majorBidi" w:hAnsiTheme="majorBidi" w:cstheme="majorBidi"/>
        </w:rPr>
        <w:t xml:space="preserve"> Pre-Trial</w:t>
      </w:r>
      <w:r w:rsidR="005450B1" w:rsidRPr="00D8671A">
        <w:rPr>
          <w:rFonts w:asciiTheme="majorBidi" w:hAnsiTheme="majorBidi" w:cstheme="majorBidi"/>
        </w:rPr>
        <w:t xml:space="preserve"> Chamber largely replicated </w:t>
      </w:r>
      <w:r w:rsidR="00D961D8" w:rsidRPr="00D8671A">
        <w:rPr>
          <w:rFonts w:asciiTheme="majorBidi" w:hAnsiTheme="majorBidi" w:cstheme="majorBidi"/>
        </w:rPr>
        <w:t xml:space="preserve">the </w:t>
      </w:r>
      <w:r w:rsidR="000F177B" w:rsidRPr="00D8671A">
        <w:rPr>
          <w:rFonts w:asciiTheme="majorBidi" w:hAnsiTheme="majorBidi" w:cstheme="majorBidi"/>
        </w:rPr>
        <w:t>German approach by</w:t>
      </w:r>
      <w:r w:rsidRPr="00D8671A">
        <w:rPr>
          <w:rFonts w:asciiTheme="majorBidi" w:hAnsiTheme="majorBidi" w:cstheme="majorBidi"/>
        </w:rPr>
        <w:t xml:space="preserve"> </w:t>
      </w:r>
      <w:r w:rsidR="000F177B" w:rsidRPr="00D8671A">
        <w:rPr>
          <w:rFonts w:asciiTheme="majorBidi" w:hAnsiTheme="majorBidi" w:cstheme="majorBidi"/>
        </w:rPr>
        <w:t>arguing</w:t>
      </w:r>
      <w:r w:rsidRPr="00D8671A">
        <w:rPr>
          <w:rFonts w:asciiTheme="majorBidi" w:hAnsiTheme="majorBidi" w:cstheme="majorBidi"/>
        </w:rPr>
        <w:t xml:space="preserve"> </w:t>
      </w:r>
      <w:r w:rsidR="001C4963" w:rsidRPr="00D8671A">
        <w:rPr>
          <w:rFonts w:asciiTheme="majorBidi" w:hAnsiTheme="majorBidi" w:cstheme="majorBidi"/>
        </w:rPr>
        <w:t>‘</w:t>
      </w:r>
      <w:r w:rsidRPr="00D8671A">
        <w:rPr>
          <w:rFonts w:asciiTheme="majorBidi" w:hAnsiTheme="majorBidi" w:cstheme="majorBidi"/>
        </w:rPr>
        <w:t>[t]he notion underpinning this third approach is that principals to a crime are not limited to those who physically carry out the objective elements of the offence, but also include those who, in spite of being removed from the scene of the crime, control or mastermind its commission by virtue of deciding whether and how the offence will be committed.</w:t>
      </w:r>
      <w:r w:rsidR="001C4963" w:rsidRPr="00D8671A">
        <w:rPr>
          <w:rFonts w:asciiTheme="majorBidi" w:hAnsiTheme="majorBidi" w:cstheme="majorBidi"/>
        </w:rPr>
        <w:t>’</w:t>
      </w:r>
      <w:r w:rsidRPr="00D8671A">
        <w:rPr>
          <w:rStyle w:val="FootnoteReference"/>
          <w:rFonts w:asciiTheme="majorBidi" w:hAnsiTheme="majorBidi" w:cstheme="majorBidi"/>
        </w:rPr>
        <w:footnoteReference w:id="49"/>
      </w:r>
      <w:r w:rsidRPr="00D8671A">
        <w:rPr>
          <w:rFonts w:asciiTheme="majorBidi" w:hAnsiTheme="majorBidi" w:cstheme="majorBidi"/>
        </w:rPr>
        <w:t xml:space="preserve"> In line with this </w:t>
      </w:r>
      <w:r w:rsidR="00940196" w:rsidRPr="00D8671A">
        <w:rPr>
          <w:rFonts w:asciiTheme="majorBidi" w:hAnsiTheme="majorBidi" w:cstheme="majorBidi"/>
        </w:rPr>
        <w:t>argument</w:t>
      </w:r>
      <w:r w:rsidRPr="00D8671A">
        <w:rPr>
          <w:rFonts w:asciiTheme="majorBidi" w:hAnsiTheme="majorBidi" w:cstheme="majorBidi"/>
        </w:rPr>
        <w:t>, the principals are those who have control over the crime, and, while being aware of this control, either (1) physically carry out the crime (direct perpetration), or (2) control the will of those who carry out the objective elements of the offence (indirect perpetration), or (3) they have, along with others, control over crime by reason of the essential tasks being assigned to them (joint or co-perpetration).</w:t>
      </w:r>
      <w:r w:rsidRPr="00D8671A">
        <w:rPr>
          <w:rStyle w:val="FootnoteReference"/>
          <w:rFonts w:asciiTheme="majorBidi" w:hAnsiTheme="majorBidi" w:cstheme="majorBidi"/>
        </w:rPr>
        <w:footnoteReference w:id="50"/>
      </w:r>
    </w:p>
    <w:p w14:paraId="5C0BEDEC" w14:textId="2B804988" w:rsidR="00650DAF" w:rsidRPr="00D8671A" w:rsidRDefault="005530A3" w:rsidP="00566D5D">
      <w:pPr>
        <w:pStyle w:val="Default"/>
        <w:ind w:firstLine="720"/>
        <w:rPr>
          <w:rFonts w:asciiTheme="majorBidi" w:hAnsiTheme="majorBidi" w:cstheme="majorBidi"/>
          <w:color w:val="auto"/>
          <w:sz w:val="22"/>
          <w:szCs w:val="22"/>
        </w:rPr>
      </w:pPr>
      <w:r w:rsidRPr="00D8671A">
        <w:rPr>
          <w:rFonts w:asciiTheme="majorBidi" w:hAnsiTheme="majorBidi" w:cstheme="majorBidi"/>
          <w:color w:val="auto"/>
          <w:sz w:val="22"/>
          <w:szCs w:val="22"/>
        </w:rPr>
        <w:t xml:space="preserve">The long awaited first ICC judgment in </w:t>
      </w:r>
      <w:r w:rsidRPr="00D8671A">
        <w:rPr>
          <w:rFonts w:asciiTheme="majorBidi" w:hAnsiTheme="majorBidi" w:cstheme="majorBidi"/>
          <w:i/>
          <w:color w:val="auto"/>
          <w:sz w:val="22"/>
          <w:szCs w:val="22"/>
        </w:rPr>
        <w:t>Lubanga</w:t>
      </w:r>
      <w:r w:rsidRPr="00D8671A">
        <w:rPr>
          <w:rFonts w:asciiTheme="majorBidi" w:hAnsiTheme="majorBidi" w:cstheme="majorBidi"/>
          <w:color w:val="auto"/>
          <w:sz w:val="22"/>
          <w:szCs w:val="22"/>
        </w:rPr>
        <w:t xml:space="preserve"> followed the Pre-Trial Chamber’s analysis of the scope of co-perpetration based on the control over crime theory and held that the prosecution must prove </w:t>
      </w:r>
      <w:r w:rsidR="00DE27E1" w:rsidRPr="00D8671A">
        <w:rPr>
          <w:rFonts w:asciiTheme="majorBidi" w:hAnsiTheme="majorBidi" w:cstheme="majorBidi"/>
          <w:color w:val="auto"/>
          <w:sz w:val="22"/>
          <w:szCs w:val="22"/>
        </w:rPr>
        <w:t>a number</w:t>
      </w:r>
      <w:r w:rsidRPr="00D8671A">
        <w:rPr>
          <w:rFonts w:asciiTheme="majorBidi" w:hAnsiTheme="majorBidi" w:cstheme="majorBidi"/>
          <w:color w:val="auto"/>
          <w:sz w:val="22"/>
          <w:szCs w:val="22"/>
        </w:rPr>
        <w:t xml:space="preserve"> elements to secure Lubanga’s conviction for the </w:t>
      </w:r>
      <w:r w:rsidR="001C4963" w:rsidRPr="00D8671A">
        <w:rPr>
          <w:rFonts w:asciiTheme="majorBidi" w:hAnsiTheme="majorBidi" w:cstheme="majorBidi"/>
          <w:color w:val="auto"/>
          <w:sz w:val="22"/>
          <w:szCs w:val="22"/>
        </w:rPr>
        <w:t>“</w:t>
      </w:r>
      <w:r w:rsidRPr="00D8671A">
        <w:rPr>
          <w:rFonts w:asciiTheme="majorBidi" w:hAnsiTheme="majorBidi" w:cstheme="majorBidi"/>
          <w:color w:val="auto"/>
          <w:sz w:val="22"/>
          <w:szCs w:val="22"/>
        </w:rPr>
        <w:t>direct co-perpetration</w:t>
      </w:r>
      <w:r w:rsidR="001C4963" w:rsidRPr="00D8671A">
        <w:rPr>
          <w:rFonts w:asciiTheme="majorBidi" w:hAnsiTheme="majorBidi" w:cstheme="majorBidi"/>
          <w:color w:val="auto"/>
          <w:sz w:val="22"/>
          <w:szCs w:val="22"/>
        </w:rPr>
        <w:t>”</w:t>
      </w:r>
      <w:r w:rsidR="00DE27E1" w:rsidRPr="00D8671A">
        <w:rPr>
          <w:rFonts w:asciiTheme="majorBidi" w:hAnsiTheme="majorBidi" w:cstheme="majorBidi"/>
          <w:color w:val="auto"/>
          <w:sz w:val="22"/>
          <w:szCs w:val="22"/>
        </w:rPr>
        <w:t xml:space="preserve"> including the existence of an agreement or a common plan, an essential contribution by the accused</w:t>
      </w:r>
      <w:r w:rsidR="00D211A8" w:rsidRPr="00D8671A">
        <w:rPr>
          <w:rFonts w:asciiTheme="majorBidi" w:hAnsiTheme="majorBidi" w:cstheme="majorBidi"/>
          <w:color w:val="auto"/>
          <w:sz w:val="22"/>
          <w:szCs w:val="22"/>
        </w:rPr>
        <w:t xml:space="preserve"> to this plan, </w:t>
      </w:r>
      <w:r w:rsidR="00DE27E1" w:rsidRPr="00D8671A">
        <w:rPr>
          <w:rFonts w:asciiTheme="majorBidi" w:hAnsiTheme="majorBidi" w:cstheme="majorBidi"/>
          <w:color w:val="auto"/>
          <w:sz w:val="22"/>
          <w:szCs w:val="22"/>
        </w:rPr>
        <w:t>intent or an awareness on part of the accused that the crime will be committed as a consequence</w:t>
      </w:r>
      <w:r w:rsidR="00D211A8" w:rsidRPr="00D8671A">
        <w:rPr>
          <w:rFonts w:asciiTheme="majorBidi" w:hAnsiTheme="majorBidi" w:cstheme="majorBidi"/>
          <w:color w:val="auto"/>
          <w:sz w:val="22"/>
          <w:szCs w:val="22"/>
        </w:rPr>
        <w:t xml:space="preserve"> of the implementation of the plan</w:t>
      </w:r>
      <w:r w:rsidR="00DE27E1" w:rsidRPr="00D8671A">
        <w:rPr>
          <w:rFonts w:asciiTheme="majorBidi" w:hAnsiTheme="majorBidi" w:cstheme="majorBidi"/>
          <w:color w:val="auto"/>
          <w:sz w:val="22"/>
          <w:szCs w:val="22"/>
        </w:rPr>
        <w:t>, and the awareness that he or she provides an essential contribution to it.</w:t>
      </w:r>
      <w:r w:rsidRPr="00D8671A">
        <w:rPr>
          <w:rStyle w:val="FootnoteReference"/>
          <w:rFonts w:asciiTheme="majorBidi" w:hAnsiTheme="majorBidi" w:cstheme="majorBidi"/>
          <w:color w:val="auto"/>
          <w:sz w:val="22"/>
          <w:szCs w:val="22"/>
        </w:rPr>
        <w:footnoteReference w:id="51"/>
      </w:r>
      <w:r w:rsidRPr="00D8671A">
        <w:rPr>
          <w:rFonts w:asciiTheme="majorBidi" w:hAnsiTheme="majorBidi" w:cstheme="majorBidi"/>
          <w:color w:val="auto"/>
          <w:sz w:val="22"/>
          <w:szCs w:val="22"/>
        </w:rPr>
        <w:t xml:space="preserve">  </w:t>
      </w:r>
    </w:p>
    <w:p w14:paraId="6615EBFF" w14:textId="504400F7" w:rsidR="005530A3" w:rsidRPr="00D8671A" w:rsidRDefault="005530A3" w:rsidP="00D8671A">
      <w:pPr>
        <w:spacing w:after="0" w:line="240" w:lineRule="auto"/>
        <w:rPr>
          <w:rFonts w:asciiTheme="majorBidi" w:hAnsiTheme="majorBidi" w:cstheme="majorBidi"/>
        </w:rPr>
      </w:pPr>
      <w:r w:rsidRPr="00D8671A">
        <w:rPr>
          <w:rFonts w:asciiTheme="majorBidi" w:hAnsiTheme="majorBidi" w:cstheme="majorBidi"/>
        </w:rPr>
        <w:t>The conclusion</w:t>
      </w:r>
      <w:r w:rsidR="008E6331" w:rsidRPr="00D8671A">
        <w:rPr>
          <w:rFonts w:asciiTheme="majorBidi" w:hAnsiTheme="majorBidi" w:cstheme="majorBidi"/>
        </w:rPr>
        <w:t xml:space="preserve"> of the Trial Chamber</w:t>
      </w:r>
      <w:r w:rsidRPr="00D8671A">
        <w:rPr>
          <w:rFonts w:asciiTheme="majorBidi" w:hAnsiTheme="majorBidi" w:cstheme="majorBidi"/>
        </w:rPr>
        <w:t xml:space="preserve"> on the basis of this list of elements was that Lubanga did indeed satisfy the abovementioned criteria </w:t>
      </w:r>
      <w:r w:rsidR="00D961D8" w:rsidRPr="00D8671A">
        <w:rPr>
          <w:rFonts w:asciiTheme="majorBidi" w:hAnsiTheme="majorBidi" w:cstheme="majorBidi"/>
        </w:rPr>
        <w:t>and qualified</w:t>
      </w:r>
      <w:r w:rsidRPr="00D8671A">
        <w:rPr>
          <w:rFonts w:asciiTheme="majorBidi" w:hAnsiTheme="majorBidi" w:cstheme="majorBidi"/>
        </w:rPr>
        <w:t xml:space="preserve"> as a direct co-perpetrator in the meaning of Article 25(3)(a) for the crimes he ha</w:t>
      </w:r>
      <w:r w:rsidR="00D961D8" w:rsidRPr="00D8671A">
        <w:rPr>
          <w:rFonts w:asciiTheme="majorBidi" w:hAnsiTheme="majorBidi" w:cstheme="majorBidi"/>
        </w:rPr>
        <w:t>d</w:t>
      </w:r>
      <w:r w:rsidRPr="00D8671A">
        <w:rPr>
          <w:rFonts w:asciiTheme="majorBidi" w:hAnsiTheme="majorBidi" w:cstheme="majorBidi"/>
        </w:rPr>
        <w:t xml:space="preserve"> been charged with</w:t>
      </w:r>
      <w:r w:rsidR="00C52C0A" w:rsidRPr="00D8671A">
        <w:rPr>
          <w:rFonts w:asciiTheme="majorBidi" w:hAnsiTheme="majorBidi" w:cstheme="majorBidi"/>
        </w:rPr>
        <w:t xml:space="preserve">. It was established that the accused and his alleged co-perpetrators worked together and </w:t>
      </w:r>
      <w:r w:rsidR="00D961D8" w:rsidRPr="00D8671A">
        <w:rPr>
          <w:rFonts w:asciiTheme="majorBidi" w:hAnsiTheme="majorBidi" w:cstheme="majorBidi"/>
        </w:rPr>
        <w:t xml:space="preserve">that </w:t>
      </w:r>
      <w:r w:rsidR="00C52C0A" w:rsidRPr="00D8671A">
        <w:rPr>
          <w:rFonts w:asciiTheme="majorBidi" w:hAnsiTheme="majorBidi" w:cstheme="majorBidi"/>
        </w:rPr>
        <w:t>each of them made an essential contribution to the common plan that resulted in the enlistment, conscription and use of children under the age of fifteen to participate actively in hostilities.</w:t>
      </w:r>
      <w:r w:rsidR="00C52C0A" w:rsidRPr="00D8671A">
        <w:rPr>
          <w:rStyle w:val="FootnoteReference"/>
          <w:rFonts w:asciiTheme="majorBidi" w:hAnsiTheme="majorBidi" w:cstheme="majorBidi"/>
        </w:rPr>
        <w:footnoteReference w:id="52"/>
      </w:r>
      <w:r w:rsidR="00940196" w:rsidRPr="00D8671A">
        <w:rPr>
          <w:rFonts w:asciiTheme="majorBidi" w:hAnsiTheme="majorBidi" w:cstheme="majorBidi"/>
        </w:rPr>
        <w:t xml:space="preserve"> The c</w:t>
      </w:r>
      <w:r w:rsidR="00E348E3" w:rsidRPr="00D8671A">
        <w:rPr>
          <w:rFonts w:asciiTheme="majorBidi" w:hAnsiTheme="majorBidi" w:cstheme="majorBidi"/>
        </w:rPr>
        <w:t xml:space="preserve">ourt treated the element of the </w:t>
      </w:r>
      <w:r w:rsidR="001C4963" w:rsidRPr="00D8671A">
        <w:rPr>
          <w:rFonts w:asciiTheme="majorBidi" w:hAnsiTheme="majorBidi" w:cstheme="majorBidi"/>
        </w:rPr>
        <w:t>“</w:t>
      </w:r>
      <w:r w:rsidRPr="00D8671A">
        <w:rPr>
          <w:rFonts w:asciiTheme="majorBidi" w:hAnsiTheme="majorBidi" w:cstheme="majorBidi"/>
        </w:rPr>
        <w:t>essential c</w:t>
      </w:r>
      <w:r w:rsidR="00E348E3" w:rsidRPr="00D8671A">
        <w:rPr>
          <w:rFonts w:asciiTheme="majorBidi" w:hAnsiTheme="majorBidi" w:cstheme="majorBidi"/>
        </w:rPr>
        <w:t>ontribution to the common plan</w:t>
      </w:r>
      <w:r w:rsidR="001C4963" w:rsidRPr="00D8671A">
        <w:rPr>
          <w:rFonts w:asciiTheme="majorBidi" w:hAnsiTheme="majorBidi" w:cstheme="majorBidi"/>
        </w:rPr>
        <w:t>”</w:t>
      </w:r>
      <w:r w:rsidRPr="00D8671A">
        <w:rPr>
          <w:rFonts w:asciiTheme="majorBidi" w:hAnsiTheme="majorBidi" w:cstheme="majorBidi"/>
        </w:rPr>
        <w:t xml:space="preserve"> as an indicator of control </w:t>
      </w:r>
      <w:r w:rsidR="005679CB" w:rsidRPr="00D8671A">
        <w:rPr>
          <w:rFonts w:asciiTheme="majorBidi" w:hAnsiTheme="majorBidi" w:cstheme="majorBidi"/>
        </w:rPr>
        <w:t xml:space="preserve">over the crime or lack thereof </w:t>
      </w:r>
      <w:r w:rsidRPr="00D8671A">
        <w:rPr>
          <w:rFonts w:asciiTheme="majorBidi" w:hAnsiTheme="majorBidi" w:cstheme="majorBidi"/>
        </w:rPr>
        <w:t xml:space="preserve">only </w:t>
      </w:r>
      <w:r w:rsidR="00FE2F65" w:rsidRPr="00D8671A">
        <w:rPr>
          <w:rFonts w:asciiTheme="majorBidi" w:hAnsiTheme="majorBidi" w:cstheme="majorBidi"/>
        </w:rPr>
        <w:t xml:space="preserve">for </w:t>
      </w:r>
      <w:r w:rsidRPr="00D8671A">
        <w:rPr>
          <w:rFonts w:asciiTheme="majorBidi" w:hAnsiTheme="majorBidi" w:cstheme="majorBidi"/>
        </w:rPr>
        <w:t xml:space="preserve">those </w:t>
      </w:r>
      <w:r w:rsidR="001C4963" w:rsidRPr="00D8671A">
        <w:rPr>
          <w:rFonts w:asciiTheme="majorBidi" w:hAnsiTheme="majorBidi" w:cstheme="majorBidi"/>
        </w:rPr>
        <w:t>‘</w:t>
      </w:r>
      <w:r w:rsidRPr="00D8671A">
        <w:rPr>
          <w:rFonts w:asciiTheme="majorBidi" w:hAnsiTheme="majorBidi" w:cstheme="majorBidi"/>
        </w:rPr>
        <w:t>to whom essential tasks have been assigned – and who, consequently, have the power to frustrate the commission of the crime by not performing their tasks</w:t>
      </w:r>
      <w:r w:rsidR="001C4963" w:rsidRPr="00D8671A">
        <w:rPr>
          <w:rFonts w:asciiTheme="majorBidi" w:hAnsiTheme="majorBidi" w:cstheme="majorBidi"/>
        </w:rPr>
        <w:t>’</w:t>
      </w:r>
      <w:r w:rsidRPr="00D8671A">
        <w:rPr>
          <w:rFonts w:asciiTheme="majorBidi" w:hAnsiTheme="majorBidi" w:cstheme="majorBidi"/>
        </w:rPr>
        <w:t xml:space="preserve"> have joint control over the crime.</w:t>
      </w:r>
      <w:r w:rsidRPr="00D8671A">
        <w:rPr>
          <w:rStyle w:val="FootnoteReference"/>
          <w:rFonts w:asciiTheme="majorBidi" w:hAnsiTheme="majorBidi" w:cstheme="majorBidi"/>
        </w:rPr>
        <w:footnoteReference w:id="53"/>
      </w:r>
      <w:r w:rsidRPr="00D8671A">
        <w:rPr>
          <w:rFonts w:asciiTheme="majorBidi" w:hAnsiTheme="majorBidi" w:cstheme="majorBidi"/>
        </w:rPr>
        <w:t xml:space="preserve"> The threshold for the essential contribution was therefore set at the capacity to frustrate the commission of the crime by withdrawing the contribution. </w:t>
      </w:r>
    </w:p>
    <w:p w14:paraId="270D8959" w14:textId="1BBFC3BB" w:rsidR="00474996" w:rsidRPr="00D8671A" w:rsidRDefault="003C5C93" w:rsidP="00566D5D">
      <w:pPr>
        <w:pStyle w:val="Default"/>
        <w:ind w:firstLine="720"/>
        <w:rPr>
          <w:rFonts w:asciiTheme="majorBidi" w:hAnsiTheme="majorBidi" w:cstheme="majorBidi"/>
          <w:color w:val="auto"/>
          <w:sz w:val="22"/>
          <w:szCs w:val="22"/>
        </w:rPr>
      </w:pPr>
      <w:r w:rsidRPr="00D8671A">
        <w:rPr>
          <w:rFonts w:asciiTheme="majorBidi" w:hAnsiTheme="majorBidi" w:cstheme="majorBidi"/>
          <w:color w:val="auto"/>
          <w:sz w:val="22"/>
          <w:szCs w:val="22"/>
        </w:rPr>
        <w:t xml:space="preserve">The </w:t>
      </w:r>
      <w:r w:rsidRPr="00D8671A">
        <w:rPr>
          <w:rFonts w:asciiTheme="majorBidi" w:hAnsiTheme="majorBidi" w:cstheme="majorBidi"/>
          <w:i/>
          <w:color w:val="auto"/>
          <w:sz w:val="22"/>
          <w:szCs w:val="22"/>
        </w:rPr>
        <w:t xml:space="preserve">Lubanga </w:t>
      </w:r>
      <w:r w:rsidRPr="00D8671A">
        <w:rPr>
          <w:rFonts w:asciiTheme="majorBidi" w:hAnsiTheme="majorBidi" w:cstheme="majorBidi"/>
          <w:color w:val="auto"/>
          <w:sz w:val="22"/>
          <w:szCs w:val="22"/>
        </w:rPr>
        <w:t xml:space="preserve">Appeals Chamber </w:t>
      </w:r>
      <w:r w:rsidR="003125BD" w:rsidRPr="00D8671A">
        <w:rPr>
          <w:rFonts w:asciiTheme="majorBidi" w:hAnsiTheme="majorBidi" w:cstheme="majorBidi"/>
          <w:color w:val="auto"/>
          <w:sz w:val="22"/>
          <w:szCs w:val="22"/>
        </w:rPr>
        <w:t xml:space="preserve">confirmed the findings of the Trial </w:t>
      </w:r>
      <w:r w:rsidR="007D1FB2" w:rsidRPr="00D8671A">
        <w:rPr>
          <w:rFonts w:asciiTheme="majorBidi" w:hAnsiTheme="majorBidi" w:cstheme="majorBidi"/>
          <w:color w:val="auto"/>
          <w:sz w:val="22"/>
          <w:szCs w:val="22"/>
        </w:rPr>
        <w:t>Chamber</w:t>
      </w:r>
      <w:r w:rsidR="00A90E00" w:rsidRPr="00D8671A">
        <w:rPr>
          <w:rFonts w:asciiTheme="majorBidi" w:hAnsiTheme="majorBidi" w:cstheme="majorBidi"/>
          <w:color w:val="auto"/>
          <w:sz w:val="22"/>
          <w:szCs w:val="22"/>
        </w:rPr>
        <w:t>,</w:t>
      </w:r>
      <w:r w:rsidR="007D1FB2" w:rsidRPr="00D8671A">
        <w:rPr>
          <w:rFonts w:asciiTheme="majorBidi" w:hAnsiTheme="majorBidi" w:cstheme="majorBidi"/>
          <w:color w:val="auto"/>
          <w:sz w:val="22"/>
          <w:szCs w:val="22"/>
        </w:rPr>
        <w:t xml:space="preserve"> </w:t>
      </w:r>
      <w:r w:rsidR="00775293" w:rsidRPr="00D8671A">
        <w:rPr>
          <w:rFonts w:asciiTheme="majorBidi" w:hAnsiTheme="majorBidi" w:cstheme="majorBidi"/>
          <w:color w:val="auto"/>
          <w:sz w:val="22"/>
          <w:szCs w:val="22"/>
        </w:rPr>
        <w:t>upholding Lubanga’s conviction</w:t>
      </w:r>
      <w:r w:rsidR="00A90E00" w:rsidRPr="00D8671A">
        <w:rPr>
          <w:rFonts w:asciiTheme="majorBidi" w:hAnsiTheme="majorBidi" w:cstheme="majorBidi"/>
          <w:color w:val="auto"/>
          <w:sz w:val="22"/>
          <w:szCs w:val="22"/>
        </w:rPr>
        <w:t>.</w:t>
      </w:r>
      <w:r w:rsidR="00775293" w:rsidRPr="00D8671A">
        <w:rPr>
          <w:rStyle w:val="FootnoteReference"/>
          <w:rFonts w:asciiTheme="majorBidi" w:hAnsiTheme="majorBidi" w:cstheme="majorBidi"/>
          <w:color w:val="auto"/>
          <w:sz w:val="22"/>
          <w:szCs w:val="22"/>
        </w:rPr>
        <w:footnoteReference w:id="54"/>
      </w:r>
      <w:r w:rsidR="003125BD" w:rsidRPr="00D8671A">
        <w:rPr>
          <w:rFonts w:asciiTheme="majorBidi" w:hAnsiTheme="majorBidi" w:cstheme="majorBidi"/>
          <w:color w:val="auto"/>
          <w:sz w:val="22"/>
          <w:szCs w:val="22"/>
        </w:rPr>
        <w:t xml:space="preserve"> The Appeals Chamber has, however, </w:t>
      </w:r>
      <w:r w:rsidRPr="00D8671A">
        <w:rPr>
          <w:rFonts w:asciiTheme="majorBidi" w:hAnsiTheme="majorBidi" w:cstheme="majorBidi"/>
          <w:color w:val="auto"/>
          <w:sz w:val="22"/>
          <w:szCs w:val="22"/>
        </w:rPr>
        <w:t xml:space="preserve">slightly modified the criteria for holding someone responsible as a co-perpetrator. First, the judges appear to have rightly stressed the link between the contribution of the co-perpetrator and the crime. </w:t>
      </w:r>
      <w:r w:rsidR="00205794" w:rsidRPr="00D8671A">
        <w:rPr>
          <w:rFonts w:asciiTheme="majorBidi" w:hAnsiTheme="majorBidi" w:cstheme="majorBidi"/>
          <w:color w:val="auto"/>
          <w:sz w:val="22"/>
          <w:szCs w:val="22"/>
        </w:rPr>
        <w:t xml:space="preserve">This is in contrast with the Trial Chamber’s insistence on the contribution to the </w:t>
      </w:r>
      <w:r w:rsidR="00DC1533" w:rsidRPr="00D8671A">
        <w:rPr>
          <w:rFonts w:asciiTheme="majorBidi" w:hAnsiTheme="majorBidi" w:cstheme="majorBidi"/>
          <w:color w:val="auto"/>
          <w:sz w:val="22"/>
          <w:szCs w:val="22"/>
        </w:rPr>
        <w:t xml:space="preserve">common </w:t>
      </w:r>
      <w:r w:rsidR="00205794" w:rsidRPr="00D8671A">
        <w:rPr>
          <w:rFonts w:asciiTheme="majorBidi" w:hAnsiTheme="majorBidi" w:cstheme="majorBidi"/>
          <w:color w:val="auto"/>
          <w:sz w:val="22"/>
          <w:szCs w:val="22"/>
        </w:rPr>
        <w:t xml:space="preserve">plan. </w:t>
      </w:r>
      <w:r w:rsidRPr="00D8671A">
        <w:rPr>
          <w:rFonts w:asciiTheme="majorBidi" w:hAnsiTheme="majorBidi" w:cstheme="majorBidi"/>
          <w:color w:val="auto"/>
          <w:sz w:val="22"/>
          <w:szCs w:val="22"/>
        </w:rPr>
        <w:t xml:space="preserve">The </w:t>
      </w:r>
      <w:r w:rsidR="00D26D5B" w:rsidRPr="00D8671A">
        <w:rPr>
          <w:rFonts w:asciiTheme="majorBidi" w:hAnsiTheme="majorBidi" w:cstheme="majorBidi"/>
          <w:color w:val="auto"/>
          <w:sz w:val="22"/>
          <w:szCs w:val="22"/>
        </w:rPr>
        <w:t xml:space="preserve">appeal judgment </w:t>
      </w:r>
      <w:r w:rsidR="00DC1533" w:rsidRPr="00D8671A">
        <w:rPr>
          <w:rFonts w:asciiTheme="majorBidi" w:hAnsiTheme="majorBidi" w:cstheme="majorBidi"/>
          <w:color w:val="auto"/>
          <w:sz w:val="22"/>
          <w:szCs w:val="22"/>
        </w:rPr>
        <w:t xml:space="preserve">refers to the agreement </w:t>
      </w:r>
      <w:r w:rsidR="00104D22" w:rsidRPr="00D8671A">
        <w:rPr>
          <w:rFonts w:asciiTheme="majorBidi" w:hAnsiTheme="majorBidi" w:cstheme="majorBidi"/>
          <w:color w:val="auto"/>
          <w:sz w:val="22"/>
          <w:szCs w:val="22"/>
        </w:rPr>
        <w:t>solely as a</w:t>
      </w:r>
      <w:r w:rsidR="00DC1533" w:rsidRPr="00D8671A">
        <w:rPr>
          <w:rFonts w:asciiTheme="majorBidi" w:hAnsiTheme="majorBidi" w:cstheme="majorBidi"/>
          <w:color w:val="auto"/>
          <w:sz w:val="22"/>
          <w:szCs w:val="22"/>
        </w:rPr>
        <w:t xml:space="preserve"> </w:t>
      </w:r>
      <w:r w:rsidRPr="00D8671A">
        <w:rPr>
          <w:rFonts w:asciiTheme="majorBidi" w:hAnsiTheme="majorBidi" w:cstheme="majorBidi"/>
          <w:color w:val="auto"/>
          <w:sz w:val="22"/>
          <w:szCs w:val="22"/>
        </w:rPr>
        <w:t xml:space="preserve">framework for making an essential contribution capable of frustrating the commission of a </w:t>
      </w:r>
      <w:r w:rsidRPr="00D8671A">
        <w:rPr>
          <w:rFonts w:asciiTheme="majorBidi" w:hAnsiTheme="majorBidi" w:cstheme="majorBidi"/>
          <w:i/>
          <w:color w:val="auto"/>
          <w:sz w:val="22"/>
          <w:szCs w:val="22"/>
        </w:rPr>
        <w:t>crime</w:t>
      </w:r>
      <w:r w:rsidRPr="00D8671A">
        <w:rPr>
          <w:rFonts w:asciiTheme="majorBidi" w:hAnsiTheme="majorBidi" w:cstheme="majorBidi"/>
          <w:color w:val="auto"/>
          <w:sz w:val="22"/>
          <w:szCs w:val="22"/>
        </w:rPr>
        <w:t>.</w:t>
      </w:r>
      <w:r w:rsidRPr="00D8671A">
        <w:rPr>
          <w:rStyle w:val="FootnoteReference"/>
          <w:rFonts w:asciiTheme="majorBidi" w:hAnsiTheme="majorBidi" w:cstheme="majorBidi"/>
          <w:color w:val="auto"/>
          <w:sz w:val="22"/>
          <w:szCs w:val="22"/>
        </w:rPr>
        <w:footnoteReference w:id="55"/>
      </w:r>
      <w:r w:rsidRPr="00D8671A">
        <w:rPr>
          <w:rFonts w:asciiTheme="majorBidi" w:hAnsiTheme="majorBidi" w:cstheme="majorBidi"/>
          <w:color w:val="auto"/>
          <w:sz w:val="22"/>
          <w:szCs w:val="22"/>
        </w:rPr>
        <w:t xml:space="preserve"> Secondly, the Appeals Chamber</w:t>
      </w:r>
      <w:r w:rsidR="00F22C52" w:rsidRPr="00D8671A">
        <w:rPr>
          <w:rFonts w:asciiTheme="majorBidi" w:hAnsiTheme="majorBidi" w:cstheme="majorBidi"/>
          <w:color w:val="auto"/>
          <w:sz w:val="22"/>
          <w:szCs w:val="22"/>
        </w:rPr>
        <w:t xml:space="preserve"> used the “control over crime”</w:t>
      </w:r>
      <w:r w:rsidR="004B17D1" w:rsidRPr="00D8671A">
        <w:rPr>
          <w:rFonts w:asciiTheme="majorBidi" w:hAnsiTheme="majorBidi" w:cstheme="majorBidi"/>
          <w:color w:val="auto"/>
          <w:sz w:val="22"/>
          <w:szCs w:val="22"/>
        </w:rPr>
        <w:t xml:space="preserve"> theory in a way that is </w:t>
      </w:r>
      <w:r w:rsidR="00154189" w:rsidRPr="00D8671A">
        <w:rPr>
          <w:rFonts w:asciiTheme="majorBidi" w:hAnsiTheme="majorBidi" w:cstheme="majorBidi"/>
          <w:color w:val="auto"/>
          <w:sz w:val="22"/>
          <w:szCs w:val="22"/>
        </w:rPr>
        <w:t xml:space="preserve">somewhat </w:t>
      </w:r>
      <w:r w:rsidR="004B17D1" w:rsidRPr="00D8671A">
        <w:rPr>
          <w:rFonts w:asciiTheme="majorBidi" w:hAnsiTheme="majorBidi" w:cstheme="majorBidi"/>
          <w:color w:val="auto"/>
          <w:sz w:val="22"/>
          <w:szCs w:val="22"/>
        </w:rPr>
        <w:t>different from</w:t>
      </w:r>
      <w:r w:rsidR="00104D22" w:rsidRPr="00D8671A">
        <w:rPr>
          <w:rFonts w:asciiTheme="majorBidi" w:hAnsiTheme="majorBidi" w:cstheme="majorBidi"/>
          <w:color w:val="auto"/>
          <w:sz w:val="22"/>
          <w:szCs w:val="22"/>
        </w:rPr>
        <w:t xml:space="preserve"> that of</w:t>
      </w:r>
      <w:r w:rsidR="004B17D1" w:rsidRPr="00D8671A">
        <w:rPr>
          <w:rFonts w:asciiTheme="majorBidi" w:hAnsiTheme="majorBidi" w:cstheme="majorBidi"/>
          <w:color w:val="auto"/>
          <w:sz w:val="22"/>
          <w:szCs w:val="22"/>
        </w:rPr>
        <w:t xml:space="preserve"> the Trial Chamber. The latter used it as a method of distinguishing between principals and accessories </w:t>
      </w:r>
      <w:r w:rsidR="004B17D1" w:rsidRPr="00D8671A">
        <w:rPr>
          <w:rFonts w:asciiTheme="majorBidi" w:hAnsiTheme="majorBidi" w:cstheme="majorBidi"/>
          <w:i/>
          <w:color w:val="auto"/>
          <w:sz w:val="22"/>
          <w:szCs w:val="22"/>
        </w:rPr>
        <w:t>in lie</w:t>
      </w:r>
      <w:r w:rsidR="009466C8" w:rsidRPr="00D8671A">
        <w:rPr>
          <w:rFonts w:asciiTheme="majorBidi" w:hAnsiTheme="majorBidi" w:cstheme="majorBidi"/>
          <w:i/>
          <w:color w:val="auto"/>
          <w:sz w:val="22"/>
          <w:szCs w:val="22"/>
        </w:rPr>
        <w:t>u</w:t>
      </w:r>
      <w:r w:rsidR="004B17D1" w:rsidRPr="00D8671A">
        <w:rPr>
          <w:rFonts w:asciiTheme="majorBidi" w:hAnsiTheme="majorBidi" w:cstheme="majorBidi"/>
          <w:color w:val="auto"/>
          <w:sz w:val="22"/>
          <w:szCs w:val="22"/>
        </w:rPr>
        <w:t xml:space="preserve"> of the objective or subjective</w:t>
      </w:r>
      <w:r w:rsidR="00904726" w:rsidRPr="00D8671A">
        <w:rPr>
          <w:rFonts w:asciiTheme="majorBidi" w:hAnsiTheme="majorBidi" w:cstheme="majorBidi"/>
          <w:color w:val="auto"/>
          <w:sz w:val="22"/>
          <w:szCs w:val="22"/>
        </w:rPr>
        <w:t xml:space="preserve"> approaches</w:t>
      </w:r>
      <w:r w:rsidR="004B17D1" w:rsidRPr="00D8671A">
        <w:rPr>
          <w:rFonts w:asciiTheme="majorBidi" w:hAnsiTheme="majorBidi" w:cstheme="majorBidi"/>
          <w:color w:val="auto"/>
          <w:sz w:val="22"/>
          <w:szCs w:val="22"/>
        </w:rPr>
        <w:t xml:space="preserve">. In contrast, the appellate panel </w:t>
      </w:r>
      <w:r w:rsidR="00AA6124" w:rsidRPr="00D8671A">
        <w:rPr>
          <w:rFonts w:asciiTheme="majorBidi" w:hAnsiTheme="majorBidi" w:cstheme="majorBidi"/>
          <w:color w:val="auto"/>
          <w:sz w:val="22"/>
          <w:szCs w:val="22"/>
        </w:rPr>
        <w:t>accepted</w:t>
      </w:r>
      <w:r w:rsidR="004B17D1" w:rsidRPr="00D8671A">
        <w:rPr>
          <w:rFonts w:asciiTheme="majorBidi" w:hAnsiTheme="majorBidi" w:cstheme="majorBidi"/>
          <w:color w:val="auto"/>
          <w:sz w:val="22"/>
          <w:szCs w:val="22"/>
        </w:rPr>
        <w:t xml:space="preserve"> that the objective </w:t>
      </w:r>
      <w:r w:rsidR="00AA6124" w:rsidRPr="00D8671A">
        <w:rPr>
          <w:rFonts w:asciiTheme="majorBidi" w:hAnsiTheme="majorBidi" w:cstheme="majorBidi"/>
          <w:color w:val="auto"/>
          <w:sz w:val="22"/>
          <w:szCs w:val="22"/>
        </w:rPr>
        <w:t>approach is defined by</w:t>
      </w:r>
      <w:r w:rsidRPr="00D8671A">
        <w:rPr>
          <w:rFonts w:asciiTheme="majorBidi" w:hAnsiTheme="majorBidi" w:cstheme="majorBidi"/>
          <w:color w:val="auto"/>
          <w:sz w:val="22"/>
          <w:szCs w:val="22"/>
        </w:rPr>
        <w:t xml:space="preserve"> the accused person</w:t>
      </w:r>
      <w:r w:rsidR="00FE2F65" w:rsidRPr="00D8671A">
        <w:rPr>
          <w:rFonts w:asciiTheme="majorBidi" w:hAnsiTheme="majorBidi" w:cstheme="majorBidi"/>
          <w:color w:val="auto"/>
          <w:sz w:val="22"/>
          <w:szCs w:val="22"/>
        </w:rPr>
        <w:t>’s</w:t>
      </w:r>
      <w:r w:rsidRPr="00D8671A">
        <w:rPr>
          <w:rFonts w:asciiTheme="majorBidi" w:hAnsiTheme="majorBidi" w:cstheme="majorBidi"/>
          <w:color w:val="auto"/>
          <w:sz w:val="22"/>
          <w:szCs w:val="22"/>
        </w:rPr>
        <w:t xml:space="preserve"> exte</w:t>
      </w:r>
      <w:r w:rsidR="004B17D1" w:rsidRPr="00D8671A">
        <w:rPr>
          <w:rFonts w:asciiTheme="majorBidi" w:hAnsiTheme="majorBidi" w:cstheme="majorBidi"/>
          <w:color w:val="auto"/>
          <w:sz w:val="22"/>
          <w:szCs w:val="22"/>
        </w:rPr>
        <w:t xml:space="preserve">nt of contribution to the </w:t>
      </w:r>
      <w:r w:rsidR="00904726" w:rsidRPr="00D8671A">
        <w:rPr>
          <w:rFonts w:asciiTheme="majorBidi" w:hAnsiTheme="majorBidi" w:cstheme="majorBidi"/>
          <w:color w:val="auto"/>
          <w:sz w:val="22"/>
          <w:szCs w:val="22"/>
        </w:rPr>
        <w:t>offence</w:t>
      </w:r>
      <w:r w:rsidR="004B17D1" w:rsidRPr="00D8671A">
        <w:rPr>
          <w:rFonts w:asciiTheme="majorBidi" w:hAnsiTheme="majorBidi" w:cstheme="majorBidi"/>
          <w:color w:val="auto"/>
          <w:sz w:val="22"/>
          <w:szCs w:val="22"/>
        </w:rPr>
        <w:t xml:space="preserve">, while having control over crime </w:t>
      </w:r>
      <w:r w:rsidR="00FE2F65" w:rsidRPr="00D8671A">
        <w:rPr>
          <w:rFonts w:asciiTheme="majorBidi" w:hAnsiTheme="majorBidi" w:cstheme="majorBidi"/>
          <w:color w:val="auto"/>
          <w:sz w:val="22"/>
          <w:szCs w:val="22"/>
        </w:rPr>
        <w:t xml:space="preserve">also </w:t>
      </w:r>
      <w:r w:rsidR="004B17D1" w:rsidRPr="00D8671A">
        <w:rPr>
          <w:rFonts w:asciiTheme="majorBidi" w:hAnsiTheme="majorBidi" w:cstheme="majorBidi"/>
          <w:color w:val="auto"/>
          <w:sz w:val="22"/>
          <w:szCs w:val="22"/>
        </w:rPr>
        <w:t xml:space="preserve">renders </w:t>
      </w:r>
      <w:r w:rsidR="00E00A40" w:rsidRPr="00D8671A">
        <w:rPr>
          <w:rFonts w:asciiTheme="majorBidi" w:hAnsiTheme="majorBidi" w:cstheme="majorBidi"/>
          <w:color w:val="auto"/>
          <w:sz w:val="22"/>
          <w:szCs w:val="22"/>
        </w:rPr>
        <w:t>the</w:t>
      </w:r>
      <w:r w:rsidR="004B17D1" w:rsidRPr="00D8671A">
        <w:rPr>
          <w:rFonts w:asciiTheme="majorBidi" w:hAnsiTheme="majorBidi" w:cstheme="majorBidi"/>
          <w:color w:val="auto"/>
          <w:sz w:val="22"/>
          <w:szCs w:val="22"/>
        </w:rPr>
        <w:t xml:space="preserve"> contribution essential when a </w:t>
      </w:r>
      <w:r w:rsidR="004B17D1" w:rsidRPr="00D8671A">
        <w:rPr>
          <w:rFonts w:asciiTheme="majorBidi" w:hAnsiTheme="majorBidi" w:cstheme="majorBidi"/>
          <w:color w:val="auto"/>
          <w:sz w:val="22"/>
          <w:szCs w:val="22"/>
        </w:rPr>
        <w:lastRenderedPageBreak/>
        <w:t>co-perpetrator is not involved at th</w:t>
      </w:r>
      <w:r w:rsidR="00904726" w:rsidRPr="00D8671A">
        <w:rPr>
          <w:rFonts w:asciiTheme="majorBidi" w:hAnsiTheme="majorBidi" w:cstheme="majorBidi"/>
          <w:color w:val="auto"/>
          <w:sz w:val="22"/>
          <w:szCs w:val="22"/>
        </w:rPr>
        <w:t>e execution stage</w:t>
      </w:r>
      <w:r w:rsidR="004B17D1" w:rsidRPr="00D8671A">
        <w:rPr>
          <w:rFonts w:asciiTheme="majorBidi" w:hAnsiTheme="majorBidi" w:cstheme="majorBidi"/>
          <w:color w:val="auto"/>
          <w:sz w:val="22"/>
          <w:szCs w:val="22"/>
        </w:rPr>
        <w:t>.</w:t>
      </w:r>
      <w:r w:rsidRPr="00D8671A">
        <w:rPr>
          <w:rStyle w:val="FootnoteReference"/>
          <w:rFonts w:asciiTheme="majorBidi" w:hAnsiTheme="majorBidi" w:cstheme="majorBidi"/>
          <w:color w:val="auto"/>
          <w:sz w:val="22"/>
          <w:szCs w:val="22"/>
        </w:rPr>
        <w:footnoteReference w:id="56"/>
      </w:r>
      <w:r w:rsidR="00560713" w:rsidRPr="00D8671A">
        <w:rPr>
          <w:rFonts w:asciiTheme="majorBidi" w:hAnsiTheme="majorBidi" w:cstheme="majorBidi"/>
          <w:color w:val="auto"/>
          <w:sz w:val="22"/>
          <w:szCs w:val="22"/>
        </w:rPr>
        <w:t xml:space="preserve"> </w:t>
      </w:r>
      <w:r w:rsidR="005D78FF" w:rsidRPr="00D8671A">
        <w:rPr>
          <w:rFonts w:asciiTheme="majorBidi" w:hAnsiTheme="majorBidi" w:cstheme="majorBidi"/>
          <w:color w:val="auto"/>
          <w:sz w:val="22"/>
          <w:szCs w:val="22"/>
        </w:rPr>
        <w:t xml:space="preserve">Notably, the </w:t>
      </w:r>
      <w:r w:rsidR="0072180F" w:rsidRPr="00D8671A">
        <w:rPr>
          <w:rFonts w:asciiTheme="majorBidi" w:hAnsiTheme="majorBidi" w:cstheme="majorBidi"/>
          <w:color w:val="auto"/>
          <w:sz w:val="22"/>
          <w:szCs w:val="22"/>
        </w:rPr>
        <w:t xml:space="preserve">Appeals Chamber clarified that it is not applying control over crime theory as a source of law, thereby refuting mounting criticism about the lack of legal foundation </w:t>
      </w:r>
      <w:r w:rsidR="005D78FF" w:rsidRPr="00D8671A">
        <w:rPr>
          <w:rFonts w:asciiTheme="majorBidi" w:hAnsiTheme="majorBidi" w:cstheme="majorBidi"/>
          <w:color w:val="auto"/>
          <w:sz w:val="22"/>
          <w:szCs w:val="22"/>
        </w:rPr>
        <w:t xml:space="preserve">of </w:t>
      </w:r>
      <w:r w:rsidR="0072180F" w:rsidRPr="00D8671A">
        <w:rPr>
          <w:rFonts w:asciiTheme="majorBidi" w:hAnsiTheme="majorBidi" w:cstheme="majorBidi"/>
          <w:color w:val="auto"/>
          <w:sz w:val="22"/>
          <w:szCs w:val="22"/>
        </w:rPr>
        <w:t>this doctrine in international law,</w:t>
      </w:r>
      <w:r w:rsidR="0072180F" w:rsidRPr="00D8671A">
        <w:rPr>
          <w:rStyle w:val="FootnoteReference"/>
          <w:rFonts w:asciiTheme="majorBidi" w:hAnsiTheme="majorBidi" w:cstheme="majorBidi"/>
          <w:color w:val="auto"/>
          <w:sz w:val="22"/>
          <w:szCs w:val="22"/>
        </w:rPr>
        <w:footnoteReference w:id="57"/>
      </w:r>
      <w:r w:rsidR="0072180F" w:rsidRPr="00D8671A">
        <w:rPr>
          <w:rFonts w:asciiTheme="majorBidi" w:hAnsiTheme="majorBidi" w:cstheme="majorBidi"/>
          <w:color w:val="auto"/>
          <w:sz w:val="22"/>
          <w:szCs w:val="22"/>
        </w:rPr>
        <w:t xml:space="preserve"> but merely seeks guidance from approaches developed in other jurisdictions while interpreting and applying Article 25(3)(a) of the Rome Statute.</w:t>
      </w:r>
      <w:r w:rsidR="0072180F" w:rsidRPr="00D8671A">
        <w:rPr>
          <w:rStyle w:val="FootnoteReference"/>
          <w:rFonts w:asciiTheme="majorBidi" w:hAnsiTheme="majorBidi" w:cstheme="majorBidi"/>
          <w:color w:val="auto"/>
          <w:sz w:val="22"/>
          <w:szCs w:val="22"/>
        </w:rPr>
        <w:footnoteReference w:id="58"/>
      </w:r>
      <w:r w:rsidR="0072180F" w:rsidRPr="00D8671A">
        <w:rPr>
          <w:rFonts w:asciiTheme="majorBidi" w:hAnsiTheme="majorBidi" w:cstheme="majorBidi"/>
          <w:color w:val="auto"/>
          <w:sz w:val="22"/>
          <w:szCs w:val="22"/>
        </w:rPr>
        <w:t xml:space="preserve"> This argumentation does not explain, however, why the plain reading of Article 25(3)(a) would not be acceptable</w:t>
      </w:r>
      <w:r w:rsidR="00CD52AF" w:rsidRPr="00D8671A">
        <w:rPr>
          <w:rFonts w:asciiTheme="majorBidi" w:hAnsiTheme="majorBidi" w:cstheme="majorBidi"/>
          <w:color w:val="auto"/>
          <w:sz w:val="22"/>
          <w:szCs w:val="22"/>
        </w:rPr>
        <w:t xml:space="preserve">.  Regretfully, the Appeals Chamber avoided </w:t>
      </w:r>
      <w:r w:rsidR="003C2FD4" w:rsidRPr="00D8671A">
        <w:rPr>
          <w:rFonts w:asciiTheme="majorBidi" w:hAnsiTheme="majorBidi" w:cstheme="majorBidi"/>
          <w:color w:val="auto"/>
          <w:sz w:val="22"/>
          <w:szCs w:val="22"/>
        </w:rPr>
        <w:t>much needed discussion of the</w:t>
      </w:r>
      <w:r w:rsidR="00CD52AF" w:rsidRPr="00D8671A">
        <w:rPr>
          <w:rFonts w:asciiTheme="majorBidi" w:hAnsiTheme="majorBidi" w:cstheme="majorBidi"/>
          <w:color w:val="auto"/>
          <w:sz w:val="22"/>
          <w:szCs w:val="22"/>
        </w:rPr>
        <w:t xml:space="preserve"> methodology </w:t>
      </w:r>
      <w:r w:rsidR="003C2FD4" w:rsidRPr="00D8671A">
        <w:rPr>
          <w:rFonts w:asciiTheme="majorBidi" w:hAnsiTheme="majorBidi" w:cstheme="majorBidi"/>
          <w:color w:val="auto"/>
          <w:sz w:val="22"/>
          <w:szCs w:val="22"/>
        </w:rPr>
        <w:t>of</w:t>
      </w:r>
      <w:r w:rsidR="00CD52AF" w:rsidRPr="00D8671A">
        <w:rPr>
          <w:rFonts w:asciiTheme="majorBidi" w:hAnsiTheme="majorBidi" w:cstheme="majorBidi"/>
          <w:color w:val="auto"/>
          <w:sz w:val="22"/>
          <w:szCs w:val="22"/>
        </w:rPr>
        <w:t xml:space="preserve"> interpreting legal sources in international criminal law.</w:t>
      </w:r>
      <w:r w:rsidR="00CD52AF" w:rsidRPr="00D8671A">
        <w:rPr>
          <w:rStyle w:val="FootnoteReference"/>
          <w:rFonts w:asciiTheme="majorBidi" w:hAnsiTheme="majorBidi" w:cstheme="majorBidi"/>
          <w:color w:val="auto"/>
          <w:sz w:val="22"/>
          <w:szCs w:val="22"/>
        </w:rPr>
        <w:footnoteReference w:id="59"/>
      </w:r>
    </w:p>
    <w:p w14:paraId="2AD55697" w14:textId="29C55EA0" w:rsidR="00965B61" w:rsidRPr="00D8671A" w:rsidRDefault="00275852" w:rsidP="00566D5D">
      <w:pPr>
        <w:pStyle w:val="Default"/>
        <w:ind w:firstLine="720"/>
        <w:rPr>
          <w:rFonts w:asciiTheme="majorBidi" w:hAnsiTheme="majorBidi" w:cstheme="majorBidi"/>
          <w:color w:val="auto"/>
          <w:sz w:val="22"/>
          <w:szCs w:val="22"/>
        </w:rPr>
      </w:pPr>
      <w:r w:rsidRPr="00D8671A">
        <w:rPr>
          <w:rFonts w:asciiTheme="majorBidi" w:hAnsiTheme="majorBidi" w:cstheme="majorBidi"/>
          <w:color w:val="auto"/>
          <w:sz w:val="22"/>
          <w:szCs w:val="22"/>
        </w:rPr>
        <w:t xml:space="preserve">Finally, the appellate judges introduced the idea of normative assessment of the person’s role </w:t>
      </w:r>
      <w:r w:rsidR="008E4BAC" w:rsidRPr="00D8671A">
        <w:rPr>
          <w:rFonts w:asciiTheme="majorBidi" w:hAnsiTheme="majorBidi" w:cstheme="majorBidi"/>
          <w:color w:val="auto"/>
          <w:sz w:val="22"/>
          <w:szCs w:val="22"/>
        </w:rPr>
        <w:t>as a cornerstone principle of determining his or her role as a co-perpetrator</w:t>
      </w:r>
      <w:r w:rsidR="00104D22" w:rsidRPr="00D8671A">
        <w:rPr>
          <w:rFonts w:asciiTheme="majorBidi" w:hAnsiTheme="majorBidi" w:cstheme="majorBidi"/>
          <w:color w:val="auto"/>
          <w:sz w:val="22"/>
          <w:szCs w:val="22"/>
        </w:rPr>
        <w:t>.</w:t>
      </w:r>
      <w:r w:rsidR="008E4BAC" w:rsidRPr="00D8671A">
        <w:rPr>
          <w:rStyle w:val="FootnoteReference"/>
          <w:rFonts w:asciiTheme="majorBidi" w:hAnsiTheme="majorBidi" w:cstheme="majorBidi"/>
          <w:color w:val="auto"/>
          <w:sz w:val="22"/>
          <w:szCs w:val="22"/>
        </w:rPr>
        <w:footnoteReference w:id="60"/>
      </w:r>
      <w:r w:rsidR="00404AA3" w:rsidRPr="00D8671A">
        <w:rPr>
          <w:rFonts w:asciiTheme="majorBidi" w:hAnsiTheme="majorBidi" w:cstheme="majorBidi"/>
          <w:color w:val="auto"/>
          <w:sz w:val="22"/>
          <w:szCs w:val="22"/>
        </w:rPr>
        <w:t xml:space="preserve"> </w:t>
      </w:r>
      <w:r w:rsidR="00965B61" w:rsidRPr="00D8671A">
        <w:rPr>
          <w:rFonts w:asciiTheme="majorBidi" w:hAnsiTheme="majorBidi" w:cstheme="majorBidi"/>
          <w:color w:val="auto"/>
          <w:sz w:val="22"/>
          <w:szCs w:val="22"/>
        </w:rPr>
        <w:t xml:space="preserve">The </w:t>
      </w:r>
      <w:r w:rsidR="00A079EA" w:rsidRPr="00D8671A">
        <w:rPr>
          <w:rFonts w:asciiTheme="majorBidi" w:hAnsiTheme="majorBidi" w:cstheme="majorBidi"/>
          <w:color w:val="auto"/>
          <w:sz w:val="22"/>
          <w:szCs w:val="22"/>
        </w:rPr>
        <w:t>process</w:t>
      </w:r>
      <w:r w:rsidR="00965B61" w:rsidRPr="00D8671A">
        <w:rPr>
          <w:rFonts w:asciiTheme="majorBidi" w:hAnsiTheme="majorBidi" w:cstheme="majorBidi"/>
          <w:color w:val="auto"/>
          <w:sz w:val="22"/>
          <w:szCs w:val="22"/>
        </w:rPr>
        <w:t xml:space="preserve"> of normative assessment is not fully elaborated in the judgment, but what is clear is that</w:t>
      </w:r>
      <w:r w:rsidR="00560713" w:rsidRPr="00D8671A">
        <w:rPr>
          <w:rFonts w:asciiTheme="majorBidi" w:hAnsiTheme="majorBidi" w:cstheme="majorBidi"/>
          <w:color w:val="auto"/>
          <w:sz w:val="22"/>
          <w:szCs w:val="22"/>
        </w:rPr>
        <w:t xml:space="preserve"> it involves weighting the specific circumstances of each individual case in</w:t>
      </w:r>
      <w:r w:rsidR="00965B61" w:rsidRPr="00D8671A">
        <w:rPr>
          <w:rFonts w:asciiTheme="majorBidi" w:hAnsiTheme="majorBidi" w:cstheme="majorBidi"/>
          <w:color w:val="auto"/>
          <w:sz w:val="22"/>
          <w:szCs w:val="22"/>
        </w:rPr>
        <w:t xml:space="preserve"> </w:t>
      </w:r>
      <w:r w:rsidR="00F22C52" w:rsidRPr="00D8671A">
        <w:rPr>
          <w:rFonts w:asciiTheme="majorBidi" w:hAnsiTheme="majorBidi" w:cstheme="majorBidi"/>
          <w:color w:val="auto"/>
          <w:sz w:val="22"/>
          <w:szCs w:val="22"/>
        </w:rPr>
        <w:t>‘</w:t>
      </w:r>
      <w:r w:rsidR="00965B61" w:rsidRPr="00D8671A">
        <w:rPr>
          <w:rFonts w:asciiTheme="majorBidi" w:hAnsiTheme="majorBidi" w:cstheme="majorBidi"/>
          <w:color w:val="auto"/>
          <w:sz w:val="22"/>
          <w:szCs w:val="22"/>
        </w:rPr>
        <w:t>an evaluation of whether the accused had control over the crime, by virtue of his or her essential contribution to it and the resulting power to frustrate its commission.</w:t>
      </w:r>
      <w:r w:rsidR="00F22C52" w:rsidRPr="00D8671A">
        <w:rPr>
          <w:rFonts w:asciiTheme="majorBidi" w:hAnsiTheme="majorBidi" w:cstheme="majorBidi"/>
          <w:color w:val="auto"/>
          <w:sz w:val="22"/>
          <w:szCs w:val="22"/>
        </w:rPr>
        <w:t>’</w:t>
      </w:r>
      <w:r w:rsidR="00965B61" w:rsidRPr="00D8671A">
        <w:rPr>
          <w:rStyle w:val="FootnoteReference"/>
          <w:rFonts w:asciiTheme="majorBidi" w:hAnsiTheme="majorBidi" w:cstheme="majorBidi"/>
          <w:color w:val="auto"/>
          <w:sz w:val="22"/>
          <w:szCs w:val="22"/>
        </w:rPr>
        <w:footnoteReference w:id="61"/>
      </w:r>
      <w:r w:rsidR="00965B61" w:rsidRPr="00D8671A">
        <w:rPr>
          <w:rFonts w:asciiTheme="majorBidi" w:hAnsiTheme="majorBidi" w:cstheme="majorBidi"/>
          <w:color w:val="auto"/>
          <w:sz w:val="22"/>
          <w:szCs w:val="22"/>
        </w:rPr>
        <w:t xml:space="preserve"> </w:t>
      </w:r>
      <w:r w:rsidR="00A1414E" w:rsidRPr="00D8671A">
        <w:rPr>
          <w:rFonts w:asciiTheme="majorBidi" w:hAnsiTheme="majorBidi" w:cstheme="majorBidi"/>
          <w:color w:val="auto"/>
          <w:sz w:val="22"/>
          <w:szCs w:val="22"/>
        </w:rPr>
        <w:t>In line with this approach, the Appeals Chamber</w:t>
      </w:r>
      <w:r w:rsidR="00600303" w:rsidRPr="00D8671A">
        <w:rPr>
          <w:rFonts w:asciiTheme="majorBidi" w:hAnsiTheme="majorBidi" w:cstheme="majorBidi"/>
          <w:color w:val="auto"/>
          <w:sz w:val="22"/>
          <w:szCs w:val="22"/>
        </w:rPr>
        <w:t xml:space="preserve"> upheld the Trial Chamber’s conclusions that Lubanga made an essential contribution to the crimes </w:t>
      </w:r>
      <w:r w:rsidR="00474996" w:rsidRPr="00D8671A">
        <w:rPr>
          <w:rFonts w:asciiTheme="majorBidi" w:hAnsiTheme="majorBidi" w:cstheme="majorBidi"/>
          <w:color w:val="auto"/>
          <w:sz w:val="22"/>
          <w:szCs w:val="22"/>
        </w:rPr>
        <w:t xml:space="preserve">he was charged with </w:t>
      </w:r>
      <w:r w:rsidR="00835288" w:rsidRPr="00D8671A">
        <w:rPr>
          <w:rFonts w:asciiTheme="majorBidi" w:hAnsiTheme="majorBidi" w:cstheme="majorBidi"/>
          <w:color w:val="auto"/>
          <w:sz w:val="22"/>
          <w:szCs w:val="22"/>
        </w:rPr>
        <w:t>on the basis of cumulative criteria</w:t>
      </w:r>
      <w:r w:rsidR="002E1AAB" w:rsidRPr="00D8671A">
        <w:rPr>
          <w:rFonts w:asciiTheme="majorBidi" w:hAnsiTheme="majorBidi" w:cstheme="majorBidi"/>
          <w:color w:val="auto"/>
          <w:sz w:val="22"/>
          <w:szCs w:val="22"/>
        </w:rPr>
        <w:t>, which included</w:t>
      </w:r>
      <w:r w:rsidR="00344523" w:rsidRPr="00D8671A">
        <w:rPr>
          <w:rFonts w:asciiTheme="majorBidi" w:hAnsiTheme="majorBidi" w:cstheme="majorBidi"/>
          <w:color w:val="auto"/>
          <w:sz w:val="22"/>
          <w:szCs w:val="22"/>
        </w:rPr>
        <w:t xml:space="preserve">, </w:t>
      </w:r>
      <w:r w:rsidR="00344523" w:rsidRPr="00D8671A">
        <w:rPr>
          <w:rFonts w:asciiTheme="majorBidi" w:hAnsiTheme="majorBidi" w:cstheme="majorBidi"/>
          <w:i/>
          <w:color w:val="auto"/>
          <w:sz w:val="22"/>
          <w:szCs w:val="22"/>
        </w:rPr>
        <w:t>inter alia</w:t>
      </w:r>
      <w:r w:rsidR="00344523" w:rsidRPr="00D8671A">
        <w:rPr>
          <w:rFonts w:asciiTheme="majorBidi" w:hAnsiTheme="majorBidi" w:cstheme="majorBidi"/>
          <w:color w:val="auto"/>
          <w:sz w:val="22"/>
          <w:szCs w:val="22"/>
        </w:rPr>
        <w:t>,</w:t>
      </w:r>
      <w:r w:rsidR="002E1AAB" w:rsidRPr="00D8671A">
        <w:rPr>
          <w:rFonts w:asciiTheme="majorBidi" w:hAnsiTheme="majorBidi" w:cstheme="majorBidi"/>
          <w:color w:val="auto"/>
          <w:sz w:val="22"/>
          <w:szCs w:val="22"/>
        </w:rPr>
        <w:t xml:space="preserve"> </w:t>
      </w:r>
      <w:r w:rsidR="002B2730" w:rsidRPr="00D8671A">
        <w:rPr>
          <w:rFonts w:asciiTheme="majorBidi" w:hAnsiTheme="majorBidi" w:cstheme="majorBidi"/>
          <w:color w:val="auto"/>
          <w:sz w:val="22"/>
          <w:szCs w:val="22"/>
        </w:rPr>
        <w:t xml:space="preserve">his involvement in </w:t>
      </w:r>
      <w:r w:rsidR="00474996" w:rsidRPr="00D8671A">
        <w:rPr>
          <w:rFonts w:asciiTheme="majorBidi" w:hAnsiTheme="majorBidi" w:cstheme="majorBidi"/>
          <w:color w:val="auto"/>
          <w:sz w:val="22"/>
          <w:szCs w:val="22"/>
        </w:rPr>
        <w:t xml:space="preserve">the </w:t>
      </w:r>
      <w:r w:rsidR="002B2730" w:rsidRPr="00D8671A">
        <w:rPr>
          <w:rFonts w:asciiTheme="majorBidi" w:hAnsiTheme="majorBidi" w:cstheme="majorBidi"/>
          <w:color w:val="auto"/>
          <w:sz w:val="22"/>
          <w:szCs w:val="22"/>
        </w:rPr>
        <w:t xml:space="preserve">planning </w:t>
      </w:r>
      <w:r w:rsidR="00474996" w:rsidRPr="00D8671A">
        <w:rPr>
          <w:rFonts w:asciiTheme="majorBidi" w:hAnsiTheme="majorBidi" w:cstheme="majorBidi"/>
          <w:color w:val="auto"/>
          <w:sz w:val="22"/>
          <w:szCs w:val="22"/>
        </w:rPr>
        <w:t>of</w:t>
      </w:r>
      <w:r w:rsidR="002B2730" w:rsidRPr="00D8671A">
        <w:rPr>
          <w:rFonts w:asciiTheme="majorBidi" w:hAnsiTheme="majorBidi" w:cstheme="majorBidi"/>
          <w:color w:val="auto"/>
          <w:sz w:val="22"/>
          <w:szCs w:val="22"/>
        </w:rPr>
        <w:t xml:space="preserve"> military operations</w:t>
      </w:r>
      <w:r w:rsidR="009E2893" w:rsidRPr="00D8671A">
        <w:rPr>
          <w:rFonts w:asciiTheme="majorBidi" w:hAnsiTheme="majorBidi" w:cstheme="majorBidi"/>
          <w:color w:val="auto"/>
          <w:sz w:val="22"/>
          <w:szCs w:val="22"/>
        </w:rPr>
        <w:t>, visits to the training camps and speeches</w:t>
      </w:r>
      <w:r w:rsidR="002B2730" w:rsidRPr="00D8671A">
        <w:rPr>
          <w:rFonts w:asciiTheme="majorBidi" w:hAnsiTheme="majorBidi" w:cstheme="majorBidi"/>
          <w:color w:val="auto"/>
          <w:sz w:val="22"/>
          <w:szCs w:val="22"/>
        </w:rPr>
        <w:t xml:space="preserve">. </w:t>
      </w:r>
      <w:r w:rsidR="00474996" w:rsidRPr="00D8671A">
        <w:rPr>
          <w:rFonts w:asciiTheme="majorBidi" w:hAnsiTheme="majorBidi" w:cstheme="majorBidi"/>
          <w:color w:val="auto"/>
          <w:sz w:val="22"/>
          <w:szCs w:val="22"/>
        </w:rPr>
        <w:t>The appellate panel rejected Lubanga</w:t>
      </w:r>
      <w:r w:rsidR="00344523" w:rsidRPr="00D8671A">
        <w:rPr>
          <w:rFonts w:asciiTheme="majorBidi" w:hAnsiTheme="majorBidi" w:cstheme="majorBidi"/>
          <w:color w:val="auto"/>
          <w:sz w:val="22"/>
          <w:szCs w:val="22"/>
        </w:rPr>
        <w:t xml:space="preserve">’s submissions </w:t>
      </w:r>
      <w:r w:rsidR="00474996" w:rsidRPr="00D8671A">
        <w:rPr>
          <w:rFonts w:asciiTheme="majorBidi" w:hAnsiTheme="majorBidi" w:cstheme="majorBidi"/>
          <w:color w:val="auto"/>
          <w:sz w:val="22"/>
          <w:szCs w:val="22"/>
        </w:rPr>
        <w:t>that his lack of day-to-day control over military affairs in the region rendered his contribution inessential.</w:t>
      </w:r>
      <w:r w:rsidR="00344523" w:rsidRPr="00D8671A">
        <w:rPr>
          <w:rFonts w:asciiTheme="majorBidi" w:hAnsiTheme="majorBidi" w:cstheme="majorBidi"/>
          <w:color w:val="auto"/>
          <w:sz w:val="22"/>
          <w:szCs w:val="22"/>
        </w:rPr>
        <w:t xml:space="preserve"> </w:t>
      </w:r>
      <w:r w:rsidR="002B2730" w:rsidRPr="00D8671A">
        <w:rPr>
          <w:rFonts w:asciiTheme="majorBidi" w:hAnsiTheme="majorBidi" w:cstheme="majorBidi"/>
          <w:color w:val="auto"/>
          <w:sz w:val="22"/>
          <w:szCs w:val="22"/>
        </w:rPr>
        <w:t>The key determination was the cumulative effect of the accused’s activities rather than any of them taken in isolation.</w:t>
      </w:r>
      <w:r w:rsidR="00474996" w:rsidRPr="00D8671A">
        <w:rPr>
          <w:rStyle w:val="FootnoteReference"/>
          <w:rFonts w:asciiTheme="majorBidi" w:hAnsiTheme="majorBidi" w:cstheme="majorBidi"/>
          <w:color w:val="auto"/>
          <w:sz w:val="22"/>
          <w:szCs w:val="22"/>
        </w:rPr>
        <w:footnoteReference w:id="62"/>
      </w:r>
      <w:r w:rsidR="002B2730" w:rsidRPr="00D8671A">
        <w:rPr>
          <w:rFonts w:asciiTheme="majorBidi" w:hAnsiTheme="majorBidi" w:cstheme="majorBidi"/>
          <w:color w:val="auto"/>
          <w:sz w:val="22"/>
          <w:szCs w:val="22"/>
        </w:rPr>
        <w:t xml:space="preserve"> </w:t>
      </w:r>
      <w:r w:rsidR="00A75CFA" w:rsidRPr="00D8671A">
        <w:rPr>
          <w:rFonts w:asciiTheme="majorBidi" w:hAnsiTheme="majorBidi" w:cstheme="majorBidi"/>
          <w:color w:val="auto"/>
          <w:sz w:val="22"/>
          <w:szCs w:val="22"/>
        </w:rPr>
        <w:t>The Appeals Chamber further established that the question of whether the accused ‘committed’ a crime does not depend on his proximity to the crime or the directness of his input.</w:t>
      </w:r>
      <w:r w:rsidR="00A75CFA" w:rsidRPr="00D8671A">
        <w:rPr>
          <w:rStyle w:val="FootnoteReference"/>
          <w:rFonts w:asciiTheme="majorBidi" w:hAnsiTheme="majorBidi" w:cstheme="majorBidi"/>
          <w:color w:val="auto"/>
          <w:sz w:val="22"/>
          <w:szCs w:val="22"/>
        </w:rPr>
        <w:footnoteReference w:id="63"/>
      </w:r>
    </w:p>
    <w:p w14:paraId="2ECE4D7B" w14:textId="619F32E1" w:rsidR="004A6B00" w:rsidRPr="00D8671A" w:rsidRDefault="005530A3" w:rsidP="00566D5D">
      <w:pPr>
        <w:spacing w:after="0" w:line="240" w:lineRule="auto"/>
        <w:ind w:firstLine="720"/>
        <w:rPr>
          <w:rFonts w:asciiTheme="majorBidi" w:hAnsiTheme="majorBidi" w:cstheme="majorBidi"/>
        </w:rPr>
      </w:pPr>
      <w:r w:rsidRPr="00D8671A">
        <w:rPr>
          <w:rFonts w:asciiTheme="majorBidi" w:hAnsiTheme="majorBidi" w:cstheme="majorBidi"/>
        </w:rPr>
        <w:t>Wi</w:t>
      </w:r>
      <w:r w:rsidR="004E28A2" w:rsidRPr="00D8671A">
        <w:rPr>
          <w:rFonts w:asciiTheme="majorBidi" w:hAnsiTheme="majorBidi" w:cstheme="majorBidi"/>
        </w:rPr>
        <w:t>th regard to the mental element</w:t>
      </w:r>
      <w:r w:rsidRPr="00D8671A">
        <w:rPr>
          <w:rFonts w:asciiTheme="majorBidi" w:hAnsiTheme="majorBidi" w:cstheme="majorBidi"/>
        </w:rPr>
        <w:t>, the Trial Chamber concluded that Thomas Lubanga acted with the intent and knowledge necessary to establish the charges pursuant to Article 30 of the Rome Statute.</w:t>
      </w:r>
      <w:r w:rsidR="00976B6B" w:rsidRPr="00D8671A">
        <w:rPr>
          <w:rFonts w:asciiTheme="majorBidi" w:hAnsiTheme="majorBidi" w:cstheme="majorBidi"/>
        </w:rPr>
        <w:t xml:space="preserve"> </w:t>
      </w:r>
      <w:r w:rsidRPr="00D8671A">
        <w:rPr>
          <w:rFonts w:asciiTheme="majorBidi" w:hAnsiTheme="majorBidi" w:cstheme="majorBidi"/>
        </w:rPr>
        <w:t xml:space="preserve">He was aware of the factual circumstances that established the existence of the armed conflict, and the nexus between those circumstances and his own conduct, which resulted in </w:t>
      </w:r>
      <w:r w:rsidR="00F9235D" w:rsidRPr="00D8671A">
        <w:rPr>
          <w:rFonts w:asciiTheme="majorBidi" w:hAnsiTheme="majorBidi" w:cstheme="majorBidi"/>
        </w:rPr>
        <w:t>the commission of a crime</w:t>
      </w:r>
      <w:r w:rsidRPr="00D8671A">
        <w:rPr>
          <w:rFonts w:asciiTheme="majorBidi" w:hAnsiTheme="majorBidi" w:cstheme="majorBidi"/>
        </w:rPr>
        <w:t>.</w:t>
      </w:r>
      <w:r w:rsidRPr="00D8671A">
        <w:rPr>
          <w:rStyle w:val="FootnoteReference"/>
          <w:rFonts w:asciiTheme="majorBidi" w:hAnsiTheme="majorBidi" w:cstheme="majorBidi"/>
        </w:rPr>
        <w:footnoteReference w:id="64"/>
      </w:r>
      <w:r w:rsidRPr="00D8671A">
        <w:rPr>
          <w:rFonts w:asciiTheme="majorBidi" w:hAnsiTheme="majorBidi" w:cstheme="majorBidi"/>
        </w:rPr>
        <w:t xml:space="preserve"> The definition of the mental element in </w:t>
      </w:r>
      <w:r w:rsidRPr="00D8671A">
        <w:rPr>
          <w:rFonts w:asciiTheme="majorBidi" w:hAnsiTheme="majorBidi" w:cstheme="majorBidi"/>
          <w:i/>
        </w:rPr>
        <w:t>Lubanga</w:t>
      </w:r>
      <w:r w:rsidRPr="00D8671A">
        <w:rPr>
          <w:rFonts w:asciiTheme="majorBidi" w:hAnsiTheme="majorBidi" w:cstheme="majorBidi"/>
        </w:rPr>
        <w:t xml:space="preserve"> raises some cri</w:t>
      </w:r>
      <w:r w:rsidR="00FE2F65" w:rsidRPr="00D8671A">
        <w:rPr>
          <w:rFonts w:asciiTheme="majorBidi" w:hAnsiTheme="majorBidi" w:cstheme="majorBidi"/>
        </w:rPr>
        <w:t>tical points. The court claimed that</w:t>
      </w:r>
      <w:r w:rsidRPr="00D8671A">
        <w:rPr>
          <w:rFonts w:asciiTheme="majorBidi" w:hAnsiTheme="majorBidi" w:cstheme="majorBidi"/>
        </w:rPr>
        <w:t xml:space="preserve"> </w:t>
      </w:r>
      <w:r w:rsidR="00F22C52" w:rsidRPr="00D8671A">
        <w:rPr>
          <w:rFonts w:asciiTheme="majorBidi" w:hAnsiTheme="majorBidi" w:cstheme="majorBidi"/>
        </w:rPr>
        <w:t>‘</w:t>
      </w:r>
      <w:r w:rsidRPr="00D8671A">
        <w:rPr>
          <w:rFonts w:asciiTheme="majorBidi" w:hAnsiTheme="majorBidi" w:cstheme="majorBidi"/>
        </w:rPr>
        <w:t>awareness that a consequence will occur in the ordinary course of events</w:t>
      </w:r>
      <w:r w:rsidR="00F22C52" w:rsidRPr="00D8671A">
        <w:rPr>
          <w:rFonts w:asciiTheme="majorBidi" w:hAnsiTheme="majorBidi" w:cstheme="majorBidi"/>
        </w:rPr>
        <w:t>’</w:t>
      </w:r>
      <w:r w:rsidRPr="00D8671A">
        <w:rPr>
          <w:rFonts w:asciiTheme="majorBidi" w:hAnsiTheme="majorBidi" w:cstheme="majorBidi"/>
        </w:rPr>
        <w:t xml:space="preserve"> involves consideration by the participants of the concepts of “possibility” and “probability”, which are inherent to the notions of “risk” and “danger”.</w:t>
      </w:r>
      <w:r w:rsidRPr="00D8671A">
        <w:rPr>
          <w:rStyle w:val="FootnoteReference"/>
          <w:rFonts w:asciiTheme="majorBidi" w:hAnsiTheme="majorBidi" w:cstheme="majorBidi"/>
        </w:rPr>
        <w:footnoteReference w:id="65"/>
      </w:r>
      <w:r w:rsidRPr="00D8671A">
        <w:rPr>
          <w:rFonts w:asciiTheme="majorBidi" w:hAnsiTheme="majorBidi" w:cstheme="majorBidi"/>
        </w:rPr>
        <w:t xml:space="preserve"> This comes dangerously close to accepting </w:t>
      </w:r>
      <w:r w:rsidRPr="00D8671A">
        <w:rPr>
          <w:rFonts w:asciiTheme="majorBidi" w:hAnsiTheme="majorBidi" w:cstheme="majorBidi"/>
          <w:i/>
        </w:rPr>
        <w:t>dolus eventualis</w:t>
      </w:r>
      <w:r w:rsidRPr="00D8671A">
        <w:rPr>
          <w:rFonts w:asciiTheme="majorBidi" w:hAnsiTheme="majorBidi" w:cstheme="majorBidi"/>
        </w:rPr>
        <w:t>, or inadvertent recklessness, as the applicable fault requirement at the ICC.</w:t>
      </w:r>
      <w:r w:rsidRPr="00D8671A">
        <w:rPr>
          <w:rStyle w:val="FootnoteReference"/>
          <w:rFonts w:asciiTheme="majorBidi" w:hAnsiTheme="majorBidi" w:cstheme="majorBidi"/>
        </w:rPr>
        <w:footnoteReference w:id="66"/>
      </w:r>
      <w:r w:rsidRPr="00D8671A">
        <w:rPr>
          <w:rFonts w:asciiTheme="majorBidi" w:hAnsiTheme="majorBidi" w:cstheme="majorBidi"/>
        </w:rPr>
        <w:t xml:space="preserve"> </w:t>
      </w:r>
      <w:r w:rsidRPr="00D8671A">
        <w:rPr>
          <w:rFonts w:asciiTheme="majorBidi" w:hAnsiTheme="majorBidi" w:cstheme="majorBidi"/>
          <w:i/>
        </w:rPr>
        <w:t>Dolus eventualis</w:t>
      </w:r>
      <w:r w:rsidRPr="00D8671A">
        <w:rPr>
          <w:rFonts w:asciiTheme="majorBidi" w:hAnsiTheme="majorBidi" w:cstheme="majorBidi"/>
        </w:rPr>
        <w:t xml:space="preserve"> is the lowest form of culpability and appears to </w:t>
      </w:r>
      <w:r w:rsidR="00FE2F65" w:rsidRPr="00D8671A">
        <w:rPr>
          <w:rFonts w:asciiTheme="majorBidi" w:hAnsiTheme="majorBidi" w:cstheme="majorBidi"/>
        </w:rPr>
        <w:t xml:space="preserve">go </w:t>
      </w:r>
      <w:r w:rsidRPr="00D8671A">
        <w:rPr>
          <w:rFonts w:asciiTheme="majorBidi" w:hAnsiTheme="majorBidi" w:cstheme="majorBidi"/>
        </w:rPr>
        <w:t>beyond what the drafters of the Rome Statute envisaged for the crimes in the court’s jurisdiction.</w:t>
      </w:r>
      <w:r w:rsidRPr="00D8671A">
        <w:rPr>
          <w:rStyle w:val="FootnoteReference"/>
          <w:rFonts w:asciiTheme="majorBidi" w:hAnsiTheme="majorBidi" w:cstheme="majorBidi"/>
        </w:rPr>
        <w:footnoteReference w:id="67"/>
      </w:r>
      <w:r w:rsidRPr="00D8671A">
        <w:rPr>
          <w:rFonts w:asciiTheme="majorBidi" w:hAnsiTheme="majorBidi" w:cstheme="majorBidi"/>
        </w:rPr>
        <w:t xml:space="preserve"> </w:t>
      </w:r>
      <w:r w:rsidR="00A2615E" w:rsidRPr="00D8671A">
        <w:rPr>
          <w:rFonts w:asciiTheme="majorBidi" w:hAnsiTheme="majorBidi" w:cstheme="majorBidi"/>
        </w:rPr>
        <w:t xml:space="preserve">The </w:t>
      </w:r>
      <w:r w:rsidR="00A2615E" w:rsidRPr="00D8671A">
        <w:rPr>
          <w:rFonts w:asciiTheme="majorBidi" w:hAnsiTheme="majorBidi" w:cstheme="majorBidi"/>
          <w:i/>
        </w:rPr>
        <w:t>Lubanga</w:t>
      </w:r>
      <w:r w:rsidR="00A2615E" w:rsidRPr="00D8671A">
        <w:rPr>
          <w:rFonts w:asciiTheme="majorBidi" w:hAnsiTheme="majorBidi" w:cstheme="majorBidi"/>
        </w:rPr>
        <w:t xml:space="preserve"> appeal judgment </w:t>
      </w:r>
      <w:r w:rsidR="006B1455" w:rsidRPr="00D8671A">
        <w:rPr>
          <w:rFonts w:asciiTheme="majorBidi" w:hAnsiTheme="majorBidi" w:cstheme="majorBidi"/>
        </w:rPr>
        <w:t xml:space="preserve">took a praiseworthy step and </w:t>
      </w:r>
      <w:r w:rsidR="00A2615E" w:rsidRPr="00D8671A">
        <w:rPr>
          <w:rFonts w:asciiTheme="majorBidi" w:hAnsiTheme="majorBidi" w:cstheme="majorBidi"/>
        </w:rPr>
        <w:t xml:space="preserve">corrected this </w:t>
      </w:r>
      <w:r w:rsidR="008B6D8C" w:rsidRPr="00D8671A">
        <w:rPr>
          <w:rFonts w:asciiTheme="majorBidi" w:hAnsiTheme="majorBidi" w:cstheme="majorBidi"/>
        </w:rPr>
        <w:t xml:space="preserve">discrepancy by pointing out that </w:t>
      </w:r>
      <w:r w:rsidR="00F22C52" w:rsidRPr="00D8671A">
        <w:rPr>
          <w:rFonts w:asciiTheme="majorBidi" w:hAnsiTheme="majorBidi" w:cstheme="majorBidi"/>
        </w:rPr>
        <w:t>the term “risk”</w:t>
      </w:r>
      <w:r w:rsidR="008B6D8C" w:rsidRPr="00D8671A">
        <w:rPr>
          <w:rFonts w:asciiTheme="majorBidi" w:hAnsiTheme="majorBidi" w:cstheme="majorBidi"/>
        </w:rPr>
        <w:t xml:space="preserve"> should have been </w:t>
      </w:r>
      <w:r w:rsidR="008B6D8C" w:rsidRPr="00D8671A">
        <w:rPr>
          <w:rFonts w:asciiTheme="majorBidi" w:hAnsiTheme="majorBidi" w:cstheme="majorBidi"/>
        </w:rPr>
        <w:lastRenderedPageBreak/>
        <w:t>avoided when interpreting Article 30.</w:t>
      </w:r>
      <w:r w:rsidR="008B6D8C" w:rsidRPr="00D8671A">
        <w:rPr>
          <w:rStyle w:val="FootnoteReference"/>
          <w:rFonts w:asciiTheme="majorBidi" w:hAnsiTheme="majorBidi" w:cstheme="majorBidi"/>
        </w:rPr>
        <w:footnoteReference w:id="68"/>
      </w:r>
      <w:r w:rsidR="008776EB" w:rsidRPr="00D8671A">
        <w:rPr>
          <w:rFonts w:asciiTheme="majorBidi" w:hAnsiTheme="majorBidi" w:cstheme="majorBidi"/>
        </w:rPr>
        <w:t xml:space="preserve"> </w:t>
      </w:r>
      <w:r w:rsidR="004A6B00" w:rsidRPr="00D8671A">
        <w:rPr>
          <w:rFonts w:asciiTheme="majorBidi" w:hAnsiTheme="majorBidi" w:cstheme="majorBidi"/>
        </w:rPr>
        <w:t xml:space="preserve">The Appeals Chamber found that the standard for the foreseeability of events in the meaning of Article 30 of the Rome Statute is </w:t>
      </w:r>
      <w:r w:rsidR="00FB63EF" w:rsidRPr="00D8671A">
        <w:rPr>
          <w:rFonts w:asciiTheme="majorBidi" w:hAnsiTheme="majorBidi" w:cstheme="majorBidi"/>
        </w:rPr>
        <w:t>‘</w:t>
      </w:r>
      <w:r w:rsidR="004A6B00" w:rsidRPr="00D8671A">
        <w:rPr>
          <w:rFonts w:asciiTheme="majorBidi" w:hAnsiTheme="majorBidi" w:cstheme="majorBidi"/>
        </w:rPr>
        <w:t>virtual certainty</w:t>
      </w:r>
      <w:r w:rsidR="00FB63EF" w:rsidRPr="00D8671A">
        <w:rPr>
          <w:rFonts w:asciiTheme="majorBidi" w:hAnsiTheme="majorBidi" w:cstheme="majorBidi"/>
        </w:rPr>
        <w:t>’</w:t>
      </w:r>
      <w:r w:rsidR="004A6B00" w:rsidRPr="00D8671A">
        <w:rPr>
          <w:rFonts w:asciiTheme="majorBidi" w:hAnsiTheme="majorBidi" w:cstheme="majorBidi"/>
        </w:rPr>
        <w:t>.</w:t>
      </w:r>
      <w:r w:rsidR="004A6B00" w:rsidRPr="00D8671A">
        <w:rPr>
          <w:rStyle w:val="FootnoteReference"/>
          <w:rFonts w:asciiTheme="majorBidi" w:hAnsiTheme="majorBidi" w:cstheme="majorBidi"/>
        </w:rPr>
        <w:footnoteReference w:id="69"/>
      </w:r>
    </w:p>
    <w:p w14:paraId="40EAB181" w14:textId="625918F8" w:rsidR="005530A3" w:rsidRPr="00D8671A" w:rsidRDefault="005530A3" w:rsidP="00566D5D">
      <w:pPr>
        <w:spacing w:after="0" w:line="240" w:lineRule="auto"/>
        <w:ind w:firstLine="720"/>
        <w:rPr>
          <w:rFonts w:asciiTheme="majorBidi" w:hAnsiTheme="majorBidi" w:cstheme="majorBidi"/>
        </w:rPr>
      </w:pPr>
      <w:r w:rsidRPr="00D8671A">
        <w:rPr>
          <w:rFonts w:asciiTheme="majorBidi" w:hAnsiTheme="majorBidi" w:cstheme="majorBidi"/>
        </w:rPr>
        <w:t xml:space="preserve">Without openly embracing inadvertent recklessness, the </w:t>
      </w:r>
      <w:r w:rsidRPr="00D8671A">
        <w:rPr>
          <w:rFonts w:asciiTheme="majorBidi" w:hAnsiTheme="majorBidi" w:cstheme="majorBidi"/>
          <w:i/>
        </w:rPr>
        <w:t xml:space="preserve">Lubanga </w:t>
      </w:r>
      <w:r w:rsidRPr="00D8671A">
        <w:rPr>
          <w:rFonts w:asciiTheme="majorBidi" w:hAnsiTheme="majorBidi" w:cstheme="majorBidi"/>
        </w:rPr>
        <w:t xml:space="preserve">Trial Chamber utilized the evidence more appropriate for this standard, rather than </w:t>
      </w:r>
      <w:r w:rsidR="00C74799" w:rsidRPr="00D8671A">
        <w:rPr>
          <w:rFonts w:asciiTheme="majorBidi" w:hAnsiTheme="majorBidi" w:cstheme="majorBidi"/>
          <w:i/>
        </w:rPr>
        <w:t>dolus directus</w:t>
      </w:r>
      <w:r w:rsidR="00C74799" w:rsidRPr="00D8671A">
        <w:rPr>
          <w:rFonts w:asciiTheme="majorBidi" w:hAnsiTheme="majorBidi" w:cstheme="majorBidi"/>
        </w:rPr>
        <w:t xml:space="preserve"> in second degree (or indirect intent). </w:t>
      </w:r>
      <w:r w:rsidRPr="00D8671A">
        <w:rPr>
          <w:rFonts w:asciiTheme="majorBidi" w:hAnsiTheme="majorBidi" w:cstheme="majorBidi"/>
        </w:rPr>
        <w:t>Among the facts supporting the conclusion that Lubanga was aware that his conduct would result in the conscription and enlistment of children were the accused’s speeches addressed to the population and</w:t>
      </w:r>
      <w:r w:rsidR="00D02DF1" w:rsidRPr="00D8671A">
        <w:rPr>
          <w:rFonts w:asciiTheme="majorBidi" w:hAnsiTheme="majorBidi" w:cstheme="majorBidi"/>
        </w:rPr>
        <w:t xml:space="preserve"> aimed at recruiting youngsters,</w:t>
      </w:r>
      <w:r w:rsidRPr="00D8671A">
        <w:rPr>
          <w:rFonts w:asciiTheme="majorBidi" w:hAnsiTheme="majorBidi" w:cstheme="majorBidi"/>
        </w:rPr>
        <w:t xml:space="preserve"> </w:t>
      </w:r>
      <w:r w:rsidR="00D02DF1" w:rsidRPr="00D8671A">
        <w:rPr>
          <w:rFonts w:asciiTheme="majorBidi" w:hAnsiTheme="majorBidi" w:cstheme="majorBidi"/>
        </w:rPr>
        <w:t>using</w:t>
      </w:r>
      <w:r w:rsidRPr="00D8671A">
        <w:rPr>
          <w:rFonts w:asciiTheme="majorBidi" w:hAnsiTheme="majorBidi" w:cstheme="majorBidi"/>
        </w:rPr>
        <w:t xml:space="preserve"> soldiers below the age of </w:t>
      </w:r>
      <w:r w:rsidR="00F9235D" w:rsidRPr="00D8671A">
        <w:rPr>
          <w:rFonts w:asciiTheme="majorBidi" w:hAnsiTheme="majorBidi" w:cstheme="majorBidi"/>
        </w:rPr>
        <w:t>fifteen</w:t>
      </w:r>
      <w:r w:rsidR="00D02DF1" w:rsidRPr="00D8671A">
        <w:rPr>
          <w:rFonts w:asciiTheme="majorBidi" w:hAnsiTheme="majorBidi" w:cstheme="majorBidi"/>
        </w:rPr>
        <w:t xml:space="preserve"> as his bodyguards,</w:t>
      </w:r>
      <w:r w:rsidRPr="00D8671A">
        <w:rPr>
          <w:rFonts w:asciiTheme="majorBidi" w:hAnsiTheme="majorBidi" w:cstheme="majorBidi"/>
        </w:rPr>
        <w:t xml:space="preserve"> and </w:t>
      </w:r>
      <w:r w:rsidR="00D02DF1" w:rsidRPr="00D8671A">
        <w:rPr>
          <w:rFonts w:asciiTheme="majorBidi" w:hAnsiTheme="majorBidi" w:cstheme="majorBidi"/>
        </w:rPr>
        <w:t>being in close</w:t>
      </w:r>
      <w:r w:rsidRPr="00D8671A">
        <w:rPr>
          <w:rFonts w:asciiTheme="majorBidi" w:hAnsiTheme="majorBidi" w:cstheme="majorBidi"/>
        </w:rPr>
        <w:t xml:space="preserve"> contact with </w:t>
      </w:r>
      <w:r w:rsidR="00F9235D" w:rsidRPr="00D8671A">
        <w:rPr>
          <w:rFonts w:asciiTheme="majorBidi" w:hAnsiTheme="majorBidi" w:cstheme="majorBidi"/>
        </w:rPr>
        <w:t>someone</w:t>
      </w:r>
      <w:r w:rsidRPr="00D8671A">
        <w:rPr>
          <w:rFonts w:asciiTheme="majorBidi" w:hAnsiTheme="majorBidi" w:cstheme="majorBidi"/>
        </w:rPr>
        <w:t xml:space="preserve">, </w:t>
      </w:r>
      <w:r w:rsidR="00F22C52" w:rsidRPr="00D8671A">
        <w:rPr>
          <w:rFonts w:asciiTheme="majorBidi" w:hAnsiTheme="majorBidi" w:cstheme="majorBidi"/>
        </w:rPr>
        <w:t>‘</w:t>
      </w:r>
      <w:r w:rsidRPr="00D8671A">
        <w:rPr>
          <w:rFonts w:asciiTheme="majorBidi" w:hAnsiTheme="majorBidi" w:cstheme="majorBidi"/>
        </w:rPr>
        <w:t>who is said to have played an important role in recruiting children and advising the accused on policy.</w:t>
      </w:r>
      <w:r w:rsidR="00F22C52" w:rsidRPr="00D8671A">
        <w:rPr>
          <w:rFonts w:asciiTheme="majorBidi" w:hAnsiTheme="majorBidi" w:cstheme="majorBidi"/>
        </w:rPr>
        <w:t>’</w:t>
      </w:r>
      <w:r w:rsidRPr="00D8671A">
        <w:rPr>
          <w:rStyle w:val="FootnoteReference"/>
          <w:rFonts w:asciiTheme="majorBidi" w:hAnsiTheme="majorBidi" w:cstheme="majorBidi"/>
        </w:rPr>
        <w:footnoteReference w:id="70"/>
      </w:r>
      <w:r w:rsidRPr="00D8671A">
        <w:rPr>
          <w:rFonts w:asciiTheme="majorBidi" w:hAnsiTheme="majorBidi" w:cstheme="majorBidi"/>
        </w:rPr>
        <w:t xml:space="preserve"> All of these facts do not </w:t>
      </w:r>
      <w:r w:rsidR="00D02DF1" w:rsidRPr="00D8671A">
        <w:rPr>
          <w:rFonts w:asciiTheme="majorBidi" w:hAnsiTheme="majorBidi" w:cstheme="majorBidi"/>
        </w:rPr>
        <w:t>necessarily</w:t>
      </w:r>
      <w:r w:rsidRPr="00D8671A">
        <w:rPr>
          <w:rFonts w:asciiTheme="majorBidi" w:hAnsiTheme="majorBidi" w:cstheme="majorBidi"/>
        </w:rPr>
        <w:t xml:space="preserve"> </w:t>
      </w:r>
      <w:r w:rsidR="004E28A2" w:rsidRPr="00D8671A">
        <w:rPr>
          <w:rFonts w:asciiTheme="majorBidi" w:hAnsiTheme="majorBidi" w:cstheme="majorBidi"/>
        </w:rPr>
        <w:t>lead to</w:t>
      </w:r>
      <w:r w:rsidRPr="00D8671A">
        <w:rPr>
          <w:rFonts w:asciiTheme="majorBidi" w:hAnsiTheme="majorBidi" w:cstheme="majorBidi"/>
        </w:rPr>
        <w:t xml:space="preserve"> the conclusion that the recruitment of children would have been an inevitable outcome in the ordinary course of events, but </w:t>
      </w:r>
      <w:r w:rsidR="00D02DF1" w:rsidRPr="00D8671A">
        <w:rPr>
          <w:rFonts w:asciiTheme="majorBidi" w:hAnsiTheme="majorBidi" w:cstheme="majorBidi"/>
        </w:rPr>
        <w:t xml:space="preserve">may </w:t>
      </w:r>
      <w:r w:rsidR="00FE2F65" w:rsidRPr="00D8671A">
        <w:rPr>
          <w:rFonts w:asciiTheme="majorBidi" w:hAnsiTheme="majorBidi" w:cstheme="majorBidi"/>
        </w:rPr>
        <w:t xml:space="preserve">provide </w:t>
      </w:r>
      <w:r w:rsidR="00D02DF1" w:rsidRPr="00D8671A">
        <w:rPr>
          <w:rFonts w:asciiTheme="majorBidi" w:hAnsiTheme="majorBidi" w:cstheme="majorBidi"/>
        </w:rPr>
        <w:t>evidence that</w:t>
      </w:r>
      <w:r w:rsidR="00DD1735" w:rsidRPr="00D8671A">
        <w:rPr>
          <w:rFonts w:asciiTheme="majorBidi" w:hAnsiTheme="majorBidi" w:cstheme="majorBidi"/>
        </w:rPr>
        <w:t xml:space="preserve"> there was a high risk of </w:t>
      </w:r>
      <w:r w:rsidR="005D79FE" w:rsidRPr="00D8671A">
        <w:rPr>
          <w:rFonts w:asciiTheme="majorBidi" w:hAnsiTheme="majorBidi" w:cstheme="majorBidi"/>
        </w:rPr>
        <w:t xml:space="preserve">the </w:t>
      </w:r>
      <w:r w:rsidRPr="00D8671A">
        <w:rPr>
          <w:rFonts w:asciiTheme="majorBidi" w:hAnsiTheme="majorBidi" w:cstheme="majorBidi"/>
        </w:rPr>
        <w:t>crime to occur.</w:t>
      </w:r>
      <w:r w:rsidRPr="00D8671A">
        <w:rPr>
          <w:rStyle w:val="FootnoteReference"/>
          <w:rFonts w:asciiTheme="majorBidi" w:hAnsiTheme="majorBidi" w:cstheme="majorBidi"/>
        </w:rPr>
        <w:footnoteReference w:id="71"/>
      </w:r>
      <w:r w:rsidR="00FC7B36" w:rsidRPr="00D8671A">
        <w:rPr>
          <w:rFonts w:asciiTheme="majorBidi" w:hAnsiTheme="majorBidi" w:cstheme="majorBidi"/>
        </w:rPr>
        <w:t xml:space="preserve"> </w:t>
      </w:r>
      <w:r w:rsidR="00D80FD5" w:rsidRPr="00D8671A">
        <w:rPr>
          <w:rFonts w:asciiTheme="majorBidi" w:hAnsiTheme="majorBidi" w:cstheme="majorBidi"/>
        </w:rPr>
        <w:t>D</w:t>
      </w:r>
      <w:r w:rsidR="00D43A09" w:rsidRPr="00D8671A">
        <w:rPr>
          <w:rFonts w:asciiTheme="majorBidi" w:hAnsiTheme="majorBidi" w:cstheme="majorBidi"/>
        </w:rPr>
        <w:t>espite having rejected the</w:t>
      </w:r>
      <w:r w:rsidR="00F22C52" w:rsidRPr="00D8671A">
        <w:rPr>
          <w:rFonts w:asciiTheme="majorBidi" w:hAnsiTheme="majorBidi" w:cstheme="majorBidi"/>
        </w:rPr>
        <w:t xml:space="preserve"> term “</w:t>
      </w:r>
      <w:r w:rsidR="00362E91" w:rsidRPr="00D8671A">
        <w:rPr>
          <w:rFonts w:asciiTheme="majorBidi" w:hAnsiTheme="majorBidi" w:cstheme="majorBidi"/>
        </w:rPr>
        <w:t>risk</w:t>
      </w:r>
      <w:r w:rsidR="00F22C52" w:rsidRPr="00D8671A">
        <w:rPr>
          <w:rFonts w:asciiTheme="majorBidi" w:hAnsiTheme="majorBidi" w:cstheme="majorBidi"/>
        </w:rPr>
        <w:t xml:space="preserve">” </w:t>
      </w:r>
      <w:r w:rsidR="00D80FD5" w:rsidRPr="00D8671A">
        <w:rPr>
          <w:rFonts w:asciiTheme="majorBidi" w:hAnsiTheme="majorBidi" w:cstheme="majorBidi"/>
        </w:rPr>
        <w:t xml:space="preserve">and reaffirming </w:t>
      </w:r>
      <w:r w:rsidR="00F22C52" w:rsidRPr="00D8671A">
        <w:rPr>
          <w:rFonts w:asciiTheme="majorBidi" w:hAnsiTheme="majorBidi" w:cstheme="majorBidi"/>
        </w:rPr>
        <w:t>“virtual certainty”</w:t>
      </w:r>
      <w:r w:rsidR="00D80FD5" w:rsidRPr="00D8671A">
        <w:rPr>
          <w:rFonts w:asciiTheme="majorBidi" w:hAnsiTheme="majorBidi" w:cstheme="majorBidi"/>
        </w:rPr>
        <w:t xml:space="preserve"> as the applicable </w:t>
      </w:r>
      <w:r w:rsidR="006E2C0F" w:rsidRPr="00D8671A">
        <w:rPr>
          <w:rFonts w:asciiTheme="majorBidi" w:hAnsiTheme="majorBidi" w:cstheme="majorBidi"/>
        </w:rPr>
        <w:t xml:space="preserve">legal </w:t>
      </w:r>
      <w:r w:rsidR="00D80FD5" w:rsidRPr="00D8671A">
        <w:rPr>
          <w:rFonts w:asciiTheme="majorBidi" w:hAnsiTheme="majorBidi" w:cstheme="majorBidi"/>
        </w:rPr>
        <w:t>standard</w:t>
      </w:r>
      <w:r w:rsidR="00D43A09" w:rsidRPr="00D8671A">
        <w:rPr>
          <w:rFonts w:asciiTheme="majorBidi" w:hAnsiTheme="majorBidi" w:cstheme="majorBidi"/>
        </w:rPr>
        <w:t>,</w:t>
      </w:r>
      <w:r w:rsidR="00D80FD5" w:rsidRPr="00D8671A">
        <w:rPr>
          <w:rFonts w:asciiTheme="majorBidi" w:hAnsiTheme="majorBidi" w:cstheme="majorBidi"/>
        </w:rPr>
        <w:t xml:space="preserve"> the Appeals Chamber</w:t>
      </w:r>
      <w:r w:rsidR="00D43A09" w:rsidRPr="00D8671A">
        <w:rPr>
          <w:rFonts w:asciiTheme="majorBidi" w:hAnsiTheme="majorBidi" w:cstheme="majorBidi"/>
        </w:rPr>
        <w:t xml:space="preserve"> </w:t>
      </w:r>
      <w:r w:rsidR="006E2C0F" w:rsidRPr="00D8671A">
        <w:rPr>
          <w:rFonts w:asciiTheme="majorBidi" w:hAnsiTheme="majorBidi" w:cstheme="majorBidi"/>
        </w:rPr>
        <w:t>left the door open for some degree of probability in the evaluation of evidence pertaining to the accused’s knowledge.</w:t>
      </w:r>
      <w:r w:rsidR="00FC7B36" w:rsidRPr="00D8671A">
        <w:rPr>
          <w:rFonts w:asciiTheme="majorBidi" w:hAnsiTheme="majorBidi" w:cstheme="majorBidi"/>
        </w:rPr>
        <w:t xml:space="preserve"> The </w:t>
      </w:r>
      <w:r w:rsidR="00D43A09" w:rsidRPr="00D8671A">
        <w:rPr>
          <w:rFonts w:asciiTheme="majorBidi" w:hAnsiTheme="majorBidi" w:cstheme="majorBidi"/>
        </w:rPr>
        <w:t>judges were</w:t>
      </w:r>
      <w:r w:rsidR="00FC7B36" w:rsidRPr="00D8671A">
        <w:rPr>
          <w:rFonts w:asciiTheme="majorBidi" w:hAnsiTheme="majorBidi" w:cstheme="majorBidi"/>
        </w:rPr>
        <w:t xml:space="preserve"> satisfied that the issue at stake </w:t>
      </w:r>
      <w:r w:rsidR="008C00BE" w:rsidRPr="00D8671A">
        <w:rPr>
          <w:rFonts w:asciiTheme="majorBidi" w:hAnsiTheme="majorBidi" w:cstheme="majorBidi"/>
        </w:rPr>
        <w:t xml:space="preserve">in </w:t>
      </w:r>
      <w:r w:rsidR="008C00BE" w:rsidRPr="00D8671A">
        <w:rPr>
          <w:rFonts w:asciiTheme="majorBidi" w:hAnsiTheme="majorBidi" w:cstheme="majorBidi"/>
          <w:i/>
        </w:rPr>
        <w:t xml:space="preserve">Lubanga </w:t>
      </w:r>
      <w:r w:rsidR="00FC7B36" w:rsidRPr="00D8671A">
        <w:rPr>
          <w:rFonts w:asciiTheme="majorBidi" w:hAnsiTheme="majorBidi" w:cstheme="majorBidi"/>
        </w:rPr>
        <w:t>was not</w:t>
      </w:r>
      <w:r w:rsidR="00D43A09" w:rsidRPr="00D8671A">
        <w:rPr>
          <w:rFonts w:asciiTheme="majorBidi" w:hAnsiTheme="majorBidi" w:cstheme="majorBidi"/>
        </w:rPr>
        <w:t xml:space="preserve"> </w:t>
      </w:r>
      <w:r w:rsidR="00F22C52" w:rsidRPr="00D8671A">
        <w:rPr>
          <w:rFonts w:asciiTheme="majorBidi" w:hAnsiTheme="majorBidi" w:cstheme="majorBidi"/>
        </w:rPr>
        <w:t>so-called “low risk”</w:t>
      </w:r>
      <w:r w:rsidR="00FC7B36" w:rsidRPr="00D8671A">
        <w:rPr>
          <w:rFonts w:asciiTheme="majorBidi" w:hAnsiTheme="majorBidi" w:cstheme="majorBidi"/>
        </w:rPr>
        <w:t xml:space="preserve"> </w:t>
      </w:r>
      <w:r w:rsidR="00D43A09" w:rsidRPr="00D8671A">
        <w:rPr>
          <w:rFonts w:asciiTheme="majorBidi" w:hAnsiTheme="majorBidi" w:cstheme="majorBidi"/>
        </w:rPr>
        <w:t xml:space="preserve">that broadens the scope of Article 30 in an unacceptable fashion. </w:t>
      </w:r>
      <w:r w:rsidR="008C00BE" w:rsidRPr="00D8671A">
        <w:rPr>
          <w:rFonts w:asciiTheme="majorBidi" w:hAnsiTheme="majorBidi" w:cstheme="majorBidi"/>
        </w:rPr>
        <w:t>In contrast, t</w:t>
      </w:r>
      <w:r w:rsidR="00D43A09" w:rsidRPr="00D8671A">
        <w:rPr>
          <w:rFonts w:asciiTheme="majorBidi" w:hAnsiTheme="majorBidi" w:cstheme="majorBidi"/>
        </w:rPr>
        <w:t>he</w:t>
      </w:r>
      <w:r w:rsidR="00362E91" w:rsidRPr="00D8671A">
        <w:rPr>
          <w:rFonts w:asciiTheme="majorBidi" w:hAnsiTheme="majorBidi" w:cstheme="majorBidi"/>
        </w:rPr>
        <w:t xml:space="preserve"> events forming the basis of the assessment </w:t>
      </w:r>
      <w:r w:rsidR="00EF0FB1" w:rsidRPr="00D8671A">
        <w:rPr>
          <w:rFonts w:asciiTheme="majorBidi" w:hAnsiTheme="majorBidi" w:cstheme="majorBidi"/>
        </w:rPr>
        <w:t>followed</w:t>
      </w:r>
      <w:r w:rsidR="00362E91" w:rsidRPr="00D8671A">
        <w:rPr>
          <w:rFonts w:asciiTheme="majorBidi" w:hAnsiTheme="majorBidi" w:cstheme="majorBidi"/>
        </w:rPr>
        <w:t xml:space="preserve"> from a long-term plan, which presupposed that co-perpetrators </w:t>
      </w:r>
      <w:r w:rsidR="00FC7B36" w:rsidRPr="00D8671A">
        <w:rPr>
          <w:rFonts w:asciiTheme="majorBidi" w:hAnsiTheme="majorBidi" w:cstheme="majorBidi"/>
        </w:rPr>
        <w:t>were</w:t>
      </w:r>
      <w:r w:rsidR="00362E91" w:rsidRPr="00D8671A">
        <w:rPr>
          <w:rFonts w:asciiTheme="majorBidi" w:hAnsiTheme="majorBidi" w:cstheme="majorBidi"/>
        </w:rPr>
        <w:t xml:space="preserve"> aware that the consequences will occur in the ordinary course of events</w:t>
      </w:r>
      <w:r w:rsidR="009466C8" w:rsidRPr="00D8671A">
        <w:rPr>
          <w:rFonts w:asciiTheme="majorBidi" w:hAnsiTheme="majorBidi" w:cstheme="majorBidi"/>
        </w:rPr>
        <w:t>.</w:t>
      </w:r>
      <w:r w:rsidR="00362E91" w:rsidRPr="00D8671A">
        <w:rPr>
          <w:rStyle w:val="FootnoteReference"/>
          <w:rFonts w:asciiTheme="majorBidi" w:hAnsiTheme="majorBidi" w:cstheme="majorBidi"/>
        </w:rPr>
        <w:footnoteReference w:id="72"/>
      </w:r>
      <w:r w:rsidR="00362E91" w:rsidRPr="00D8671A">
        <w:rPr>
          <w:rFonts w:asciiTheme="majorBidi" w:hAnsiTheme="majorBidi" w:cstheme="majorBidi"/>
        </w:rPr>
        <w:t xml:space="preserve"> </w:t>
      </w:r>
      <w:r w:rsidR="00026664" w:rsidRPr="00D8671A">
        <w:rPr>
          <w:rFonts w:asciiTheme="majorBidi" w:hAnsiTheme="majorBidi" w:cstheme="majorBidi"/>
        </w:rPr>
        <w:t xml:space="preserve">Accordingly, the </w:t>
      </w:r>
      <w:r w:rsidR="008C00BE" w:rsidRPr="00D8671A">
        <w:rPr>
          <w:rFonts w:asciiTheme="majorBidi" w:hAnsiTheme="majorBidi" w:cstheme="majorBidi"/>
        </w:rPr>
        <w:t>appellate panel</w:t>
      </w:r>
      <w:r w:rsidR="00026664" w:rsidRPr="00D8671A">
        <w:rPr>
          <w:rFonts w:asciiTheme="majorBidi" w:hAnsiTheme="majorBidi" w:cstheme="majorBidi"/>
        </w:rPr>
        <w:t xml:space="preserve"> </w:t>
      </w:r>
      <w:r w:rsidR="00FC7B36" w:rsidRPr="00D8671A">
        <w:rPr>
          <w:rFonts w:asciiTheme="majorBidi" w:hAnsiTheme="majorBidi" w:cstheme="majorBidi"/>
        </w:rPr>
        <w:t>was convinced that</w:t>
      </w:r>
      <w:r w:rsidR="00026664" w:rsidRPr="00D8671A">
        <w:rPr>
          <w:rFonts w:asciiTheme="majorBidi" w:hAnsiTheme="majorBidi" w:cstheme="majorBidi"/>
        </w:rPr>
        <w:t xml:space="preserve"> the threshold set out in Article 30 of the Rome Statute </w:t>
      </w:r>
      <w:r w:rsidR="00F100A3" w:rsidRPr="00D8671A">
        <w:rPr>
          <w:rFonts w:asciiTheme="majorBidi" w:hAnsiTheme="majorBidi" w:cstheme="majorBidi"/>
        </w:rPr>
        <w:t>was</w:t>
      </w:r>
      <w:r w:rsidR="00026664" w:rsidRPr="00D8671A">
        <w:rPr>
          <w:rFonts w:asciiTheme="majorBidi" w:hAnsiTheme="majorBidi" w:cstheme="majorBidi"/>
        </w:rPr>
        <w:t xml:space="preserve"> met </w:t>
      </w:r>
      <w:r w:rsidR="00F100A3" w:rsidRPr="00D8671A">
        <w:rPr>
          <w:rFonts w:asciiTheme="majorBidi" w:hAnsiTheme="majorBidi" w:cstheme="majorBidi"/>
        </w:rPr>
        <w:t>-</w:t>
      </w:r>
      <w:r w:rsidR="00026664" w:rsidRPr="00D8671A">
        <w:rPr>
          <w:rFonts w:asciiTheme="majorBidi" w:hAnsiTheme="majorBidi" w:cstheme="majorBidi"/>
        </w:rPr>
        <w:t xml:space="preserve"> Lubanga was aware of the circumstances</w:t>
      </w:r>
      <w:r w:rsidR="00F100A3" w:rsidRPr="00D8671A">
        <w:rPr>
          <w:rFonts w:asciiTheme="majorBidi" w:hAnsiTheme="majorBidi" w:cstheme="majorBidi"/>
        </w:rPr>
        <w:t xml:space="preserve"> prevailing in Ituri, for instance, by being in close contact with the senior UPC members involved in conscripting and enlisting children.</w:t>
      </w:r>
      <w:r w:rsidR="00F100A3" w:rsidRPr="00D8671A">
        <w:rPr>
          <w:rStyle w:val="FootnoteReference"/>
          <w:rFonts w:asciiTheme="majorBidi" w:hAnsiTheme="majorBidi" w:cstheme="majorBidi"/>
        </w:rPr>
        <w:footnoteReference w:id="73"/>
      </w:r>
      <w:r w:rsidR="0022640F" w:rsidRPr="00D8671A">
        <w:rPr>
          <w:rFonts w:asciiTheme="majorBidi" w:hAnsiTheme="majorBidi" w:cstheme="majorBidi"/>
        </w:rPr>
        <w:t xml:space="preserve"> This conclusion appears to stretch the evidence beyond the declared standard of virtual certainty and back to the notion of risk.</w:t>
      </w:r>
      <w:r w:rsidR="0022640F" w:rsidRPr="00D8671A">
        <w:rPr>
          <w:rStyle w:val="FootnoteReference"/>
          <w:rFonts w:asciiTheme="majorBidi" w:hAnsiTheme="majorBidi" w:cstheme="majorBidi"/>
        </w:rPr>
        <w:footnoteReference w:id="74"/>
      </w:r>
      <w:r w:rsidR="0022640F" w:rsidRPr="00D8671A">
        <w:rPr>
          <w:rFonts w:asciiTheme="majorBidi" w:hAnsiTheme="majorBidi" w:cstheme="majorBidi"/>
        </w:rPr>
        <w:t xml:space="preserve">  </w:t>
      </w:r>
      <w:r w:rsidR="00FE2F65" w:rsidRPr="00D8671A">
        <w:rPr>
          <w:rFonts w:asciiTheme="majorBidi" w:hAnsiTheme="majorBidi" w:cstheme="majorBidi"/>
        </w:rPr>
        <w:t>F</w:t>
      </w:r>
      <w:r w:rsidR="0022640F" w:rsidRPr="00D8671A">
        <w:rPr>
          <w:rFonts w:asciiTheme="majorBidi" w:hAnsiTheme="majorBidi" w:cstheme="majorBidi"/>
        </w:rPr>
        <w:t xml:space="preserve">uture </w:t>
      </w:r>
      <w:r w:rsidR="00A10CFB" w:rsidRPr="00D8671A">
        <w:rPr>
          <w:rFonts w:asciiTheme="majorBidi" w:hAnsiTheme="majorBidi" w:cstheme="majorBidi"/>
        </w:rPr>
        <w:t>jurisprudence will have</w:t>
      </w:r>
      <w:r w:rsidR="0022640F" w:rsidRPr="00D8671A">
        <w:rPr>
          <w:rFonts w:asciiTheme="majorBidi" w:hAnsiTheme="majorBidi" w:cstheme="majorBidi"/>
        </w:rPr>
        <w:t xml:space="preserve"> to provide more guidance </w:t>
      </w:r>
      <w:r w:rsidR="003B7F29" w:rsidRPr="00D8671A">
        <w:rPr>
          <w:rFonts w:asciiTheme="majorBidi" w:hAnsiTheme="majorBidi" w:cstheme="majorBidi"/>
        </w:rPr>
        <w:t>on this matter</w:t>
      </w:r>
      <w:r w:rsidR="0022640F" w:rsidRPr="00D8671A">
        <w:rPr>
          <w:rFonts w:asciiTheme="majorBidi" w:hAnsiTheme="majorBidi" w:cstheme="majorBidi"/>
        </w:rPr>
        <w:t>.</w:t>
      </w:r>
      <w:r w:rsidR="009466C8" w:rsidRPr="00D8671A">
        <w:rPr>
          <w:rStyle w:val="FootnoteReference"/>
          <w:rFonts w:asciiTheme="majorBidi" w:hAnsiTheme="majorBidi" w:cstheme="majorBidi"/>
        </w:rPr>
        <w:footnoteReference w:id="75"/>
      </w:r>
      <w:r w:rsidR="0022640F" w:rsidRPr="00D8671A">
        <w:rPr>
          <w:rFonts w:asciiTheme="majorBidi" w:hAnsiTheme="majorBidi" w:cstheme="majorBidi"/>
        </w:rPr>
        <w:t xml:space="preserve"> </w:t>
      </w:r>
    </w:p>
    <w:p w14:paraId="1A8121D1" w14:textId="2E1D07E2" w:rsidR="00DE27E1" w:rsidRPr="00D8671A" w:rsidRDefault="00DE27E1" w:rsidP="00D8671A">
      <w:pPr>
        <w:spacing w:after="0" w:line="240" w:lineRule="auto"/>
        <w:rPr>
          <w:rFonts w:asciiTheme="majorBidi" w:hAnsiTheme="majorBidi" w:cstheme="majorBidi"/>
          <w:b/>
          <w:i/>
        </w:rPr>
      </w:pPr>
      <w:r w:rsidRPr="00D8671A">
        <w:rPr>
          <w:rFonts w:asciiTheme="majorBidi" w:hAnsiTheme="majorBidi" w:cstheme="majorBidi"/>
          <w:b/>
        </w:rPr>
        <w:t>2.2.</w:t>
      </w:r>
      <w:r w:rsidRPr="00D8671A">
        <w:rPr>
          <w:rFonts w:asciiTheme="majorBidi" w:hAnsiTheme="majorBidi" w:cstheme="majorBidi"/>
          <w:b/>
          <w:i/>
        </w:rPr>
        <w:t xml:space="preserve"> </w:t>
      </w:r>
      <w:r w:rsidR="00564C12" w:rsidRPr="00D8671A">
        <w:rPr>
          <w:rFonts w:asciiTheme="majorBidi" w:hAnsiTheme="majorBidi" w:cstheme="majorBidi"/>
          <w:b/>
          <w:i/>
        </w:rPr>
        <w:t>The Katanga case</w:t>
      </w:r>
      <w:r w:rsidRPr="00D8671A">
        <w:rPr>
          <w:rFonts w:asciiTheme="majorBidi" w:hAnsiTheme="majorBidi" w:cstheme="majorBidi"/>
          <w:b/>
          <w:i/>
        </w:rPr>
        <w:t xml:space="preserve"> </w:t>
      </w:r>
    </w:p>
    <w:p w14:paraId="06A86B86" w14:textId="21E7C74D" w:rsidR="005530A3" w:rsidRPr="00D8671A" w:rsidRDefault="005530A3" w:rsidP="00BE3AE2">
      <w:pPr>
        <w:autoSpaceDE w:val="0"/>
        <w:autoSpaceDN w:val="0"/>
        <w:adjustRightInd w:val="0"/>
        <w:spacing w:after="0" w:line="240" w:lineRule="auto"/>
        <w:rPr>
          <w:rFonts w:asciiTheme="majorBidi" w:hAnsiTheme="majorBidi" w:cstheme="majorBidi"/>
        </w:rPr>
      </w:pPr>
      <w:r w:rsidRPr="00D8671A">
        <w:rPr>
          <w:rFonts w:asciiTheme="majorBidi" w:hAnsiTheme="majorBidi" w:cstheme="majorBidi"/>
        </w:rPr>
        <w:t xml:space="preserve">The notion of control over crime has been </w:t>
      </w:r>
      <w:r w:rsidR="00AE51B6" w:rsidRPr="00D8671A">
        <w:rPr>
          <w:rFonts w:asciiTheme="majorBidi" w:hAnsiTheme="majorBidi" w:cstheme="majorBidi"/>
        </w:rPr>
        <w:t xml:space="preserve">further </w:t>
      </w:r>
      <w:r w:rsidR="00BA41D9" w:rsidRPr="00D8671A">
        <w:rPr>
          <w:rFonts w:asciiTheme="majorBidi" w:hAnsiTheme="majorBidi" w:cstheme="majorBidi"/>
        </w:rPr>
        <w:t xml:space="preserve">developed </w:t>
      </w:r>
      <w:r w:rsidRPr="00D8671A">
        <w:rPr>
          <w:rFonts w:asciiTheme="majorBidi" w:hAnsiTheme="majorBidi" w:cstheme="majorBidi"/>
        </w:rPr>
        <w:t xml:space="preserve">in </w:t>
      </w:r>
      <w:r w:rsidRPr="00D8671A">
        <w:rPr>
          <w:rFonts w:asciiTheme="majorBidi" w:hAnsiTheme="majorBidi" w:cstheme="majorBidi"/>
          <w:i/>
        </w:rPr>
        <w:t>Katanga</w:t>
      </w:r>
      <w:r w:rsidRPr="00D8671A">
        <w:rPr>
          <w:rFonts w:asciiTheme="majorBidi" w:hAnsiTheme="majorBidi" w:cstheme="majorBidi"/>
        </w:rPr>
        <w:t xml:space="preserve"> and took the shape of the so-called </w:t>
      </w:r>
      <w:r w:rsidR="00F22C52" w:rsidRPr="00D8671A">
        <w:rPr>
          <w:rFonts w:asciiTheme="majorBidi" w:hAnsiTheme="majorBidi" w:cstheme="majorBidi"/>
        </w:rPr>
        <w:t>“</w:t>
      </w:r>
      <w:r w:rsidRPr="00D8671A">
        <w:rPr>
          <w:rFonts w:asciiTheme="majorBidi" w:hAnsiTheme="majorBidi" w:cstheme="majorBidi"/>
        </w:rPr>
        <w:t>indirect co-perpetration</w:t>
      </w:r>
      <w:r w:rsidR="00F22C52" w:rsidRPr="00D8671A">
        <w:rPr>
          <w:rFonts w:asciiTheme="majorBidi" w:hAnsiTheme="majorBidi" w:cstheme="majorBidi"/>
        </w:rPr>
        <w:t>”</w:t>
      </w:r>
      <w:r w:rsidRPr="00D8671A">
        <w:rPr>
          <w:rFonts w:asciiTheme="majorBidi" w:hAnsiTheme="majorBidi" w:cstheme="majorBidi"/>
        </w:rPr>
        <w:t>. The Pre-Trial Chamber upheld the idea of combining co-perpetration and indirect perpetration</w:t>
      </w:r>
      <w:r w:rsidR="00844CE8" w:rsidRPr="00D8671A">
        <w:rPr>
          <w:rFonts w:asciiTheme="majorBidi" w:hAnsiTheme="majorBidi" w:cstheme="majorBidi"/>
        </w:rPr>
        <w:t>, claiming</w:t>
      </w:r>
      <w:r w:rsidRPr="00D8671A">
        <w:rPr>
          <w:rFonts w:asciiTheme="majorBidi" w:hAnsiTheme="majorBidi" w:cstheme="majorBidi"/>
        </w:rPr>
        <w:t>:</w:t>
      </w:r>
      <w:r w:rsidRPr="00D8671A">
        <w:rPr>
          <w:rStyle w:val="FootnoteReference"/>
          <w:rFonts w:asciiTheme="majorBidi" w:hAnsiTheme="majorBidi" w:cstheme="majorBidi"/>
        </w:rPr>
        <w:t xml:space="preserve"> </w:t>
      </w:r>
    </w:p>
    <w:p w14:paraId="06319600" w14:textId="10886B09" w:rsidR="005530A3" w:rsidRDefault="005530A3" w:rsidP="00D8671A">
      <w:pPr>
        <w:autoSpaceDE w:val="0"/>
        <w:autoSpaceDN w:val="0"/>
        <w:adjustRightInd w:val="0"/>
        <w:spacing w:after="0" w:line="240" w:lineRule="auto"/>
        <w:ind w:left="567"/>
        <w:rPr>
          <w:rFonts w:asciiTheme="majorBidi" w:hAnsiTheme="majorBidi" w:cstheme="majorBidi"/>
        </w:rPr>
      </w:pPr>
      <w:r w:rsidRPr="00D8671A">
        <w:rPr>
          <w:rFonts w:asciiTheme="majorBidi" w:hAnsiTheme="majorBidi" w:cstheme="majorBidi"/>
        </w:rPr>
        <w:t xml:space="preserve">There are no legal grounds for limiting the joint commission of the crime solely to cases in which the perpetrators execute a portion of the crime by exercising direct </w:t>
      </w:r>
      <w:r w:rsidRPr="00D8671A">
        <w:rPr>
          <w:rFonts w:asciiTheme="majorBidi" w:hAnsiTheme="majorBidi" w:cstheme="majorBidi"/>
        </w:rPr>
        <w:lastRenderedPageBreak/>
        <w:t>control over it. Rather, through a combination of individual responsibility for committing crimes through other persons together with the mutual attribution among the co-perpetrators at the senior level, a mode of liability arises which allows the Court to assess the blameworthiness of "senior leaders" adequately.</w:t>
      </w:r>
      <w:r w:rsidRPr="00D8671A">
        <w:rPr>
          <w:rStyle w:val="FootnoteReference"/>
          <w:rFonts w:asciiTheme="majorBidi" w:hAnsiTheme="majorBidi" w:cstheme="majorBidi"/>
        </w:rPr>
        <w:footnoteReference w:id="76"/>
      </w:r>
    </w:p>
    <w:p w14:paraId="35E69E8A" w14:textId="77777777" w:rsidR="00566D5D" w:rsidRPr="00D8671A" w:rsidRDefault="00566D5D" w:rsidP="00D8671A">
      <w:pPr>
        <w:autoSpaceDE w:val="0"/>
        <w:autoSpaceDN w:val="0"/>
        <w:adjustRightInd w:val="0"/>
        <w:spacing w:after="0" w:line="240" w:lineRule="auto"/>
        <w:ind w:left="567"/>
        <w:rPr>
          <w:rFonts w:asciiTheme="majorBidi" w:hAnsiTheme="majorBidi" w:cstheme="majorBidi"/>
        </w:rPr>
      </w:pPr>
    </w:p>
    <w:p w14:paraId="2144C948" w14:textId="7E7E1BC4" w:rsidR="005530A3" w:rsidRPr="00D8671A" w:rsidRDefault="005530A3" w:rsidP="00566D5D">
      <w:pPr>
        <w:spacing w:after="0" w:line="240" w:lineRule="auto"/>
        <w:ind w:firstLine="567"/>
        <w:rPr>
          <w:rFonts w:asciiTheme="majorBidi" w:hAnsiTheme="majorBidi" w:cstheme="majorBidi"/>
        </w:rPr>
      </w:pPr>
      <w:r w:rsidRPr="00D8671A">
        <w:rPr>
          <w:rFonts w:asciiTheme="majorBidi" w:hAnsiTheme="majorBidi" w:cstheme="majorBidi"/>
        </w:rPr>
        <w:t xml:space="preserve">Consequently, the </w:t>
      </w:r>
      <w:r w:rsidRPr="00D8671A">
        <w:rPr>
          <w:rFonts w:asciiTheme="majorBidi" w:hAnsiTheme="majorBidi" w:cstheme="majorBidi"/>
          <w:i/>
        </w:rPr>
        <w:t>Katanga</w:t>
      </w:r>
      <w:r w:rsidRPr="00D8671A">
        <w:rPr>
          <w:rFonts w:asciiTheme="majorBidi" w:hAnsiTheme="majorBidi" w:cstheme="majorBidi"/>
        </w:rPr>
        <w:t xml:space="preserve"> Pre-Trial Chamber created a</w:t>
      </w:r>
      <w:r w:rsidR="00FE2F65" w:rsidRPr="00D8671A">
        <w:rPr>
          <w:rFonts w:asciiTheme="majorBidi" w:hAnsiTheme="majorBidi" w:cstheme="majorBidi"/>
        </w:rPr>
        <w:t>n elaborate</w:t>
      </w:r>
      <w:r w:rsidRPr="00D8671A">
        <w:rPr>
          <w:rFonts w:asciiTheme="majorBidi" w:hAnsiTheme="majorBidi" w:cstheme="majorBidi"/>
        </w:rPr>
        <w:t xml:space="preserve"> structure of indirect co-perpetration by combining </w:t>
      </w:r>
      <w:r w:rsidR="00D10B7C" w:rsidRPr="00D8671A">
        <w:rPr>
          <w:rFonts w:asciiTheme="majorBidi" w:hAnsiTheme="majorBidi" w:cstheme="majorBidi"/>
        </w:rPr>
        <w:t xml:space="preserve">the features of both </w:t>
      </w:r>
      <w:r w:rsidR="00FE2F65" w:rsidRPr="00D8671A">
        <w:rPr>
          <w:rFonts w:asciiTheme="majorBidi" w:hAnsiTheme="majorBidi" w:cstheme="majorBidi"/>
        </w:rPr>
        <w:t xml:space="preserve">the subjective and objective </w:t>
      </w:r>
      <w:r w:rsidR="00D10B7C" w:rsidRPr="00D8671A">
        <w:rPr>
          <w:rFonts w:asciiTheme="majorBidi" w:hAnsiTheme="majorBidi" w:cstheme="majorBidi"/>
        </w:rPr>
        <w:t xml:space="preserve">doctrines. The elements of the newly </w:t>
      </w:r>
      <w:r w:rsidR="008F6D3F" w:rsidRPr="00D8671A">
        <w:rPr>
          <w:rFonts w:asciiTheme="majorBidi" w:hAnsiTheme="majorBidi" w:cstheme="majorBidi"/>
        </w:rPr>
        <w:t xml:space="preserve">crafted </w:t>
      </w:r>
      <w:r w:rsidR="00BF48E6" w:rsidRPr="00D8671A">
        <w:rPr>
          <w:rFonts w:asciiTheme="majorBidi" w:hAnsiTheme="majorBidi" w:cstheme="majorBidi"/>
        </w:rPr>
        <w:t>modes of liability</w:t>
      </w:r>
      <w:r w:rsidR="00D10B7C" w:rsidRPr="00D8671A">
        <w:rPr>
          <w:rFonts w:asciiTheme="majorBidi" w:hAnsiTheme="majorBidi" w:cstheme="majorBidi"/>
        </w:rPr>
        <w:t xml:space="preserve"> included </w:t>
      </w:r>
      <w:r w:rsidR="00D13DEB" w:rsidRPr="00D8671A">
        <w:rPr>
          <w:rFonts w:asciiTheme="majorBidi" w:hAnsiTheme="majorBidi" w:cstheme="majorBidi"/>
        </w:rPr>
        <w:t>sharing a</w:t>
      </w:r>
      <w:r w:rsidR="00D10B7C" w:rsidRPr="00D8671A">
        <w:rPr>
          <w:rFonts w:asciiTheme="majorBidi" w:hAnsiTheme="majorBidi" w:cstheme="majorBidi"/>
        </w:rPr>
        <w:t xml:space="preserve"> common plan, carrying out essential contributions in a coordinated manner, having control over the organization, </w:t>
      </w:r>
      <w:r w:rsidR="007206AA" w:rsidRPr="00D8671A">
        <w:rPr>
          <w:rFonts w:asciiTheme="majorBidi" w:hAnsiTheme="majorBidi" w:cstheme="majorBidi"/>
        </w:rPr>
        <w:t xml:space="preserve">and </w:t>
      </w:r>
      <w:r w:rsidR="00D10B7C" w:rsidRPr="00D8671A">
        <w:rPr>
          <w:rFonts w:asciiTheme="majorBidi" w:hAnsiTheme="majorBidi" w:cstheme="majorBidi"/>
        </w:rPr>
        <w:t>satisfying the subjective elements of th</w:t>
      </w:r>
      <w:r w:rsidR="001975C3" w:rsidRPr="00D8671A">
        <w:rPr>
          <w:rFonts w:asciiTheme="majorBidi" w:hAnsiTheme="majorBidi" w:cstheme="majorBidi"/>
        </w:rPr>
        <w:t>e crime in question in the form of</w:t>
      </w:r>
      <w:r w:rsidR="00D10B7C" w:rsidRPr="00D8671A">
        <w:rPr>
          <w:rFonts w:asciiTheme="majorBidi" w:hAnsiTheme="majorBidi" w:cstheme="majorBidi"/>
        </w:rPr>
        <w:t xml:space="preserve"> mutual awareness and acceptance that the implementing the plan will result in a crime</w:t>
      </w:r>
      <w:r w:rsidRPr="00D8671A">
        <w:rPr>
          <w:rFonts w:asciiTheme="majorBidi" w:hAnsiTheme="majorBidi" w:cstheme="majorBidi"/>
        </w:rPr>
        <w:t>.</w:t>
      </w:r>
      <w:r w:rsidRPr="00D8671A">
        <w:rPr>
          <w:rStyle w:val="FootnoteReference"/>
          <w:rFonts w:asciiTheme="majorBidi" w:hAnsiTheme="majorBidi" w:cstheme="majorBidi"/>
        </w:rPr>
        <w:footnoteReference w:id="77"/>
      </w:r>
    </w:p>
    <w:p w14:paraId="4FCA39B1" w14:textId="6F537060" w:rsidR="005530A3" w:rsidRPr="00D8671A" w:rsidRDefault="005530A3" w:rsidP="00D8671A">
      <w:pPr>
        <w:widowControl w:val="0"/>
        <w:autoSpaceDE w:val="0"/>
        <w:autoSpaceDN w:val="0"/>
        <w:adjustRightInd w:val="0"/>
        <w:spacing w:after="0" w:line="240" w:lineRule="auto"/>
        <w:rPr>
          <w:rFonts w:asciiTheme="majorBidi" w:hAnsiTheme="majorBidi" w:cstheme="majorBidi"/>
        </w:rPr>
      </w:pPr>
      <w:r w:rsidRPr="00D8671A">
        <w:rPr>
          <w:rFonts w:asciiTheme="majorBidi" w:hAnsiTheme="majorBidi" w:cstheme="majorBidi"/>
        </w:rPr>
        <w:t>The Pre-Trial Chamber found that both co-accused in the case - Germain Katanga and Mathieu Ngudjolo - satisfied the numerous conditions for indirect co-perpetration crimes against humanity and war crimes committed during the attack on Bogoro village on 24 February 2003 and confirmed the charges.</w:t>
      </w:r>
      <w:r w:rsidRPr="00D8671A">
        <w:rPr>
          <w:rStyle w:val="FootnoteReference"/>
          <w:rFonts w:asciiTheme="majorBidi" w:hAnsiTheme="majorBidi" w:cstheme="majorBidi"/>
        </w:rPr>
        <w:footnoteReference w:id="78"/>
      </w:r>
      <w:r w:rsidRPr="00D8671A">
        <w:rPr>
          <w:rFonts w:asciiTheme="majorBidi" w:hAnsiTheme="majorBidi" w:cstheme="majorBidi"/>
        </w:rPr>
        <w:t xml:space="preserve"> At the trial stage, however, indirect co-perpetration as a mode of liability proved to be unsuccessful in respect </w:t>
      </w:r>
      <w:r w:rsidR="007206AA" w:rsidRPr="00D8671A">
        <w:rPr>
          <w:rFonts w:asciiTheme="majorBidi" w:hAnsiTheme="majorBidi" w:cstheme="majorBidi"/>
        </w:rPr>
        <w:t>of</w:t>
      </w:r>
      <w:r w:rsidRPr="00D8671A">
        <w:rPr>
          <w:rFonts w:asciiTheme="majorBidi" w:hAnsiTheme="majorBidi" w:cstheme="majorBidi"/>
        </w:rPr>
        <w:t xml:space="preserve"> both accused. After the closing arguments of the parties and the participants, the Trial Chamber proceeded with severing charges against Mathieu Ngudjolo</w:t>
      </w:r>
      <w:r w:rsidRPr="00D8671A">
        <w:rPr>
          <w:rStyle w:val="FootnoteReference"/>
          <w:rFonts w:asciiTheme="majorBidi" w:hAnsiTheme="majorBidi" w:cstheme="majorBidi"/>
        </w:rPr>
        <w:footnoteReference w:id="79"/>
      </w:r>
      <w:r w:rsidRPr="00D8671A">
        <w:rPr>
          <w:rFonts w:asciiTheme="majorBidi" w:hAnsiTheme="majorBidi" w:cstheme="majorBidi"/>
        </w:rPr>
        <w:t xml:space="preserve"> and subsequently acquitting him.</w:t>
      </w:r>
      <w:r w:rsidRPr="00D8671A">
        <w:rPr>
          <w:rStyle w:val="FootnoteReference"/>
          <w:rFonts w:asciiTheme="majorBidi" w:hAnsiTheme="majorBidi" w:cstheme="majorBidi"/>
        </w:rPr>
        <w:footnoteReference w:id="80"/>
      </w:r>
      <w:r w:rsidRPr="00D8671A">
        <w:rPr>
          <w:rFonts w:asciiTheme="majorBidi" w:hAnsiTheme="majorBidi" w:cstheme="majorBidi"/>
        </w:rPr>
        <w:t xml:space="preserve"> The judges failed to find sufficient evidence that Ngudjolo served as a military commander, despite the important role he played in the region due to his high social status.</w:t>
      </w:r>
      <w:r w:rsidRPr="00D8671A">
        <w:rPr>
          <w:rStyle w:val="FootnoteReference"/>
          <w:rFonts w:asciiTheme="majorBidi" w:hAnsiTheme="majorBidi" w:cstheme="majorBidi"/>
        </w:rPr>
        <w:footnoteReference w:id="81"/>
      </w:r>
      <w:r w:rsidRPr="00D8671A">
        <w:rPr>
          <w:rFonts w:asciiTheme="majorBidi" w:hAnsiTheme="majorBidi" w:cstheme="majorBidi"/>
        </w:rPr>
        <w:t xml:space="preserve"> Furthermore, the Chamber did not establish that the accused gave military orders or attempted to secure their compliance.</w:t>
      </w:r>
      <w:r w:rsidRPr="00D8671A">
        <w:rPr>
          <w:rStyle w:val="FootnoteReference"/>
          <w:rFonts w:asciiTheme="majorBidi" w:hAnsiTheme="majorBidi" w:cstheme="majorBidi"/>
        </w:rPr>
        <w:footnoteReference w:id="82"/>
      </w:r>
      <w:r w:rsidRPr="00D8671A">
        <w:rPr>
          <w:rFonts w:asciiTheme="majorBidi" w:hAnsiTheme="majorBidi" w:cstheme="majorBidi"/>
        </w:rPr>
        <w:t xml:space="preserve"> Accordingly, at least two elements of indirect perpetration failed, leading to the acquittal of Ngudjolo.</w:t>
      </w:r>
      <w:r w:rsidRPr="00D8671A">
        <w:rPr>
          <w:rStyle w:val="FootnoteReference"/>
          <w:rFonts w:asciiTheme="majorBidi" w:hAnsiTheme="majorBidi" w:cstheme="majorBidi"/>
        </w:rPr>
        <w:footnoteReference w:id="83"/>
      </w:r>
      <w:r w:rsidRPr="00D8671A">
        <w:rPr>
          <w:rFonts w:asciiTheme="majorBidi" w:hAnsiTheme="majorBidi" w:cstheme="majorBidi"/>
        </w:rPr>
        <w:t xml:space="preserve"> </w:t>
      </w:r>
    </w:p>
    <w:p w14:paraId="1C142314" w14:textId="4081C99D" w:rsidR="005530A3" w:rsidRPr="00D8671A" w:rsidRDefault="005530A3" w:rsidP="00566D5D">
      <w:pPr>
        <w:widowControl w:val="0"/>
        <w:autoSpaceDE w:val="0"/>
        <w:autoSpaceDN w:val="0"/>
        <w:adjustRightInd w:val="0"/>
        <w:spacing w:after="0" w:line="240" w:lineRule="auto"/>
        <w:ind w:firstLine="720"/>
        <w:rPr>
          <w:rFonts w:asciiTheme="majorBidi" w:hAnsiTheme="majorBidi" w:cstheme="majorBidi"/>
        </w:rPr>
      </w:pPr>
      <w:r w:rsidRPr="00D8671A">
        <w:rPr>
          <w:rFonts w:asciiTheme="majorBidi" w:hAnsiTheme="majorBidi" w:cstheme="majorBidi"/>
        </w:rPr>
        <w:t xml:space="preserve">With respect to Katanga, the Trial Chamber chose to change </w:t>
      </w:r>
      <w:r w:rsidR="00CA5965" w:rsidRPr="00D8671A">
        <w:rPr>
          <w:rFonts w:asciiTheme="majorBidi" w:hAnsiTheme="majorBidi" w:cstheme="majorBidi"/>
        </w:rPr>
        <w:t xml:space="preserve">the </w:t>
      </w:r>
      <w:r w:rsidRPr="00D8671A">
        <w:rPr>
          <w:rFonts w:asciiTheme="majorBidi" w:hAnsiTheme="majorBidi" w:cstheme="majorBidi"/>
        </w:rPr>
        <w:t>legal characterization of his mode of liability from indirect perpetration on the basis of Article 25(3)(a), which failed to provide basis for conviction, to complicity in the commission of a crime by a group of persons acting with a common purpose pursuant to Article 25(3)(d)(ii).</w:t>
      </w:r>
      <w:r w:rsidRPr="00D8671A">
        <w:rPr>
          <w:rStyle w:val="FootnoteReference"/>
          <w:rFonts w:asciiTheme="majorBidi" w:hAnsiTheme="majorBidi" w:cstheme="majorBidi"/>
        </w:rPr>
        <w:footnoteReference w:id="84"/>
      </w:r>
      <w:r w:rsidRPr="00D8671A">
        <w:rPr>
          <w:rFonts w:asciiTheme="majorBidi" w:hAnsiTheme="majorBidi" w:cstheme="majorBidi"/>
        </w:rPr>
        <w:t xml:space="preserve"> While a detailed investigation of the implications of this decision falls outside the scope of </w:t>
      </w:r>
      <w:r w:rsidR="00CA5965" w:rsidRPr="00D8671A">
        <w:rPr>
          <w:rFonts w:asciiTheme="majorBidi" w:hAnsiTheme="majorBidi" w:cstheme="majorBidi"/>
        </w:rPr>
        <w:t xml:space="preserve">the </w:t>
      </w:r>
      <w:r w:rsidRPr="00D8671A">
        <w:rPr>
          <w:rFonts w:asciiTheme="majorBidi" w:hAnsiTheme="majorBidi" w:cstheme="majorBidi"/>
        </w:rPr>
        <w:t xml:space="preserve">present analysis, it is sufficient to note that legal re-characterization of the </w:t>
      </w:r>
      <w:r w:rsidR="00BF48E6" w:rsidRPr="00D8671A">
        <w:rPr>
          <w:rFonts w:asciiTheme="majorBidi" w:hAnsiTheme="majorBidi" w:cstheme="majorBidi"/>
        </w:rPr>
        <w:t>modes of liability</w:t>
      </w:r>
      <w:r w:rsidRPr="00D8671A">
        <w:rPr>
          <w:rFonts w:asciiTheme="majorBidi" w:hAnsiTheme="majorBidi" w:cstheme="majorBidi"/>
        </w:rPr>
        <w:t xml:space="preserve"> at such a late stage of proceedings divided the Chamber. The majority considered legal re-characterization of the mode of responsibility compatible with the rights of the accused because it did not alter, in the view of the majority, the narrative of facts described in the Decision on the Confirmation of Charges</w:t>
      </w:r>
      <w:r w:rsidR="00CA5965" w:rsidRPr="00D8671A">
        <w:rPr>
          <w:rFonts w:asciiTheme="majorBidi" w:hAnsiTheme="majorBidi" w:cstheme="majorBidi"/>
        </w:rPr>
        <w:t>,</w:t>
      </w:r>
      <w:r w:rsidRPr="00D8671A">
        <w:rPr>
          <w:rStyle w:val="FootnoteReference"/>
          <w:rFonts w:asciiTheme="majorBidi" w:hAnsiTheme="majorBidi" w:cstheme="majorBidi"/>
        </w:rPr>
        <w:footnoteReference w:id="85"/>
      </w:r>
      <w:r w:rsidRPr="00D8671A">
        <w:rPr>
          <w:rFonts w:asciiTheme="majorBidi" w:hAnsiTheme="majorBidi" w:cstheme="majorBidi"/>
        </w:rPr>
        <w:t xml:space="preserve"> Judge Van den Wyngaert dissent</w:t>
      </w:r>
      <w:r w:rsidR="00CA5965" w:rsidRPr="00D8671A">
        <w:rPr>
          <w:rFonts w:asciiTheme="majorBidi" w:hAnsiTheme="majorBidi" w:cstheme="majorBidi"/>
        </w:rPr>
        <w:t>ing</w:t>
      </w:r>
      <w:r w:rsidRPr="00D8671A">
        <w:rPr>
          <w:rFonts w:asciiTheme="majorBidi" w:hAnsiTheme="majorBidi" w:cstheme="majorBidi"/>
        </w:rPr>
        <w:t xml:space="preserve"> on this point.</w:t>
      </w:r>
      <w:r w:rsidRPr="00D8671A">
        <w:rPr>
          <w:rStyle w:val="FootnoteReference"/>
          <w:rFonts w:asciiTheme="majorBidi" w:hAnsiTheme="majorBidi" w:cstheme="majorBidi"/>
        </w:rPr>
        <w:footnoteReference w:id="86"/>
      </w:r>
      <w:r w:rsidRPr="00D8671A">
        <w:rPr>
          <w:rFonts w:asciiTheme="majorBidi" w:hAnsiTheme="majorBidi" w:cstheme="majorBidi"/>
        </w:rPr>
        <w:t xml:space="preserve"> </w:t>
      </w:r>
    </w:p>
    <w:p w14:paraId="4B927FB2" w14:textId="7C459EF0" w:rsidR="005530A3" w:rsidRPr="00D8671A" w:rsidRDefault="005530A3" w:rsidP="00566D5D">
      <w:pPr>
        <w:spacing w:after="0" w:line="240" w:lineRule="auto"/>
        <w:ind w:firstLine="720"/>
        <w:rPr>
          <w:rFonts w:asciiTheme="majorBidi" w:hAnsiTheme="majorBidi" w:cstheme="majorBidi"/>
        </w:rPr>
      </w:pPr>
      <w:r w:rsidRPr="00D8671A">
        <w:rPr>
          <w:rFonts w:asciiTheme="majorBidi" w:hAnsiTheme="majorBidi" w:cstheme="majorBidi"/>
        </w:rPr>
        <w:t xml:space="preserve">The recent </w:t>
      </w:r>
      <w:r w:rsidRPr="00D8671A">
        <w:rPr>
          <w:rFonts w:asciiTheme="majorBidi" w:hAnsiTheme="majorBidi" w:cstheme="majorBidi"/>
          <w:i/>
        </w:rPr>
        <w:t>Katanga</w:t>
      </w:r>
      <w:r w:rsidRPr="00D8671A">
        <w:rPr>
          <w:rFonts w:asciiTheme="majorBidi" w:hAnsiTheme="majorBidi" w:cstheme="majorBidi"/>
        </w:rPr>
        <w:t xml:space="preserve"> judgment acquitted Germain Katanga as an indirect perpetrator, while convicting him pursuant to Article 25(3)(d)(ii).</w:t>
      </w:r>
      <w:r w:rsidRPr="00D8671A">
        <w:rPr>
          <w:rStyle w:val="FootnoteReference"/>
          <w:rFonts w:asciiTheme="majorBidi" w:hAnsiTheme="majorBidi" w:cstheme="majorBidi"/>
        </w:rPr>
        <w:footnoteReference w:id="87"/>
      </w:r>
      <w:r w:rsidRPr="00D8671A">
        <w:rPr>
          <w:rFonts w:asciiTheme="majorBidi" w:hAnsiTheme="majorBidi" w:cstheme="majorBidi"/>
        </w:rPr>
        <w:t xml:space="preserve"> </w:t>
      </w:r>
      <w:r w:rsidR="00CA5965" w:rsidRPr="00D8671A">
        <w:rPr>
          <w:rFonts w:asciiTheme="majorBidi" w:hAnsiTheme="majorBidi" w:cstheme="majorBidi"/>
        </w:rPr>
        <w:t>T</w:t>
      </w:r>
      <w:r w:rsidRPr="00D8671A">
        <w:rPr>
          <w:rFonts w:asciiTheme="majorBidi" w:hAnsiTheme="majorBidi" w:cstheme="majorBidi"/>
        </w:rPr>
        <w:t xml:space="preserve">he Trial Chamber confirmed the allegations that the accused facilitated the supply of weapons used by the local Ngiti militia in </w:t>
      </w:r>
      <w:r w:rsidRPr="00D8671A">
        <w:rPr>
          <w:rFonts w:asciiTheme="majorBidi" w:hAnsiTheme="majorBidi" w:cstheme="majorBidi"/>
        </w:rPr>
        <w:lastRenderedPageBreak/>
        <w:t>an attack on the village of Bogoro – a stronghold of the Union of Congolese Patriots (UPC). </w:t>
      </w:r>
      <w:r w:rsidRPr="00D8671A">
        <w:rPr>
          <w:rStyle w:val="FootnoteReference"/>
          <w:rFonts w:asciiTheme="majorBidi" w:hAnsiTheme="majorBidi" w:cstheme="majorBidi"/>
        </w:rPr>
        <w:footnoteReference w:id="88"/>
      </w:r>
      <w:r w:rsidRPr="00D8671A">
        <w:rPr>
          <w:rFonts w:asciiTheme="majorBidi" w:hAnsiTheme="majorBidi" w:cstheme="majorBidi"/>
        </w:rPr>
        <w:t xml:space="preserve"> The Hema-dominated UPC constituted a legitimate military target, but, in addition to the military causalities, a number of civilians died during the attack on Bogoro. The Majority regarded the operation in Bogoro as an attack against the civilian population.</w:t>
      </w:r>
      <w:r w:rsidRPr="00D8671A">
        <w:rPr>
          <w:rStyle w:val="FootnoteReference"/>
          <w:rFonts w:asciiTheme="majorBidi" w:hAnsiTheme="majorBidi" w:cstheme="majorBidi"/>
        </w:rPr>
        <w:footnoteReference w:id="89"/>
      </w:r>
      <w:r w:rsidRPr="00D8671A">
        <w:rPr>
          <w:rFonts w:asciiTheme="majorBidi" w:hAnsiTheme="majorBidi" w:cstheme="majorBidi"/>
        </w:rPr>
        <w:t xml:space="preserve"> The argument was that Ngiti militia, driven by the ethnic hatred against Hema, regarded the UPC and the Hema civilians as </w:t>
      </w:r>
      <w:r w:rsidR="00CA5965" w:rsidRPr="00D8671A">
        <w:rPr>
          <w:rFonts w:asciiTheme="majorBidi" w:hAnsiTheme="majorBidi" w:cstheme="majorBidi"/>
        </w:rPr>
        <w:t xml:space="preserve">a </w:t>
      </w:r>
      <w:r w:rsidRPr="00D8671A">
        <w:rPr>
          <w:rFonts w:asciiTheme="majorBidi" w:hAnsiTheme="majorBidi" w:cstheme="majorBidi"/>
        </w:rPr>
        <w:t>single enemy; hence the attack was primarily directed against the civilians.</w:t>
      </w:r>
      <w:r w:rsidRPr="00D8671A">
        <w:rPr>
          <w:rStyle w:val="FootnoteReference"/>
          <w:rFonts w:asciiTheme="majorBidi" w:hAnsiTheme="majorBidi" w:cstheme="majorBidi"/>
        </w:rPr>
        <w:footnoteReference w:id="90"/>
      </w:r>
      <w:r w:rsidRPr="00D8671A">
        <w:rPr>
          <w:rFonts w:asciiTheme="majorBidi" w:hAnsiTheme="majorBidi" w:cstheme="majorBidi"/>
        </w:rPr>
        <w:t xml:space="preserve"> </w:t>
      </w:r>
    </w:p>
    <w:p w14:paraId="7625673A" w14:textId="0863478A" w:rsidR="00BD3018" w:rsidRPr="00D8671A" w:rsidRDefault="005530A3" w:rsidP="00566D5D">
      <w:pPr>
        <w:widowControl w:val="0"/>
        <w:autoSpaceDE w:val="0"/>
        <w:autoSpaceDN w:val="0"/>
        <w:adjustRightInd w:val="0"/>
        <w:spacing w:after="0" w:line="240" w:lineRule="auto"/>
        <w:ind w:firstLine="720"/>
        <w:rPr>
          <w:rFonts w:asciiTheme="majorBidi" w:hAnsiTheme="majorBidi" w:cstheme="majorBidi"/>
        </w:rPr>
      </w:pPr>
      <w:r w:rsidRPr="00D8671A">
        <w:rPr>
          <w:rFonts w:asciiTheme="majorBidi" w:hAnsiTheme="majorBidi" w:cstheme="majorBidi"/>
        </w:rPr>
        <w:t xml:space="preserve">Prior to dealing with Katanga’s responsibility </w:t>
      </w:r>
      <w:r w:rsidR="00993AE2" w:rsidRPr="00D8671A">
        <w:rPr>
          <w:rFonts w:asciiTheme="majorBidi" w:hAnsiTheme="majorBidi" w:cstheme="majorBidi"/>
        </w:rPr>
        <w:t xml:space="preserve">for contributing to the crime committed by the group of persons, </w:t>
      </w:r>
      <w:r w:rsidRPr="00D8671A">
        <w:rPr>
          <w:rFonts w:asciiTheme="majorBidi" w:hAnsiTheme="majorBidi" w:cstheme="majorBidi"/>
        </w:rPr>
        <w:t>the Trial Chamber clarified the elements of indirect perpetration pursuant to the subparagraph (a) of the same article.</w:t>
      </w:r>
      <w:r w:rsidRPr="00D8671A">
        <w:rPr>
          <w:rStyle w:val="FootnoteReference"/>
          <w:rFonts w:asciiTheme="majorBidi" w:hAnsiTheme="majorBidi" w:cstheme="majorBidi"/>
        </w:rPr>
        <w:footnoteReference w:id="91"/>
      </w:r>
      <w:r w:rsidRPr="00D8671A">
        <w:rPr>
          <w:rFonts w:asciiTheme="majorBidi" w:hAnsiTheme="majorBidi" w:cstheme="majorBidi"/>
        </w:rPr>
        <w:t xml:space="preserve"> In analysing the provision, the Trial Chamber unanimously rejected the hierarchy of </w:t>
      </w:r>
      <w:r w:rsidR="00BF48E6" w:rsidRPr="00D8671A">
        <w:rPr>
          <w:rFonts w:asciiTheme="majorBidi" w:hAnsiTheme="majorBidi" w:cstheme="majorBidi"/>
        </w:rPr>
        <w:t>modes of liability</w:t>
      </w:r>
      <w:r w:rsidRPr="00D8671A">
        <w:rPr>
          <w:rFonts w:asciiTheme="majorBidi" w:hAnsiTheme="majorBidi" w:cstheme="majorBidi"/>
        </w:rPr>
        <w:t>s inherent in Article 25(3).</w:t>
      </w:r>
      <w:r w:rsidRPr="00D8671A">
        <w:rPr>
          <w:rStyle w:val="FootnoteReference"/>
          <w:rFonts w:asciiTheme="majorBidi" w:hAnsiTheme="majorBidi" w:cstheme="majorBidi"/>
        </w:rPr>
        <w:footnoteReference w:id="92"/>
      </w:r>
      <w:r w:rsidRPr="00D8671A">
        <w:rPr>
          <w:rFonts w:asciiTheme="majorBidi" w:hAnsiTheme="majorBidi" w:cstheme="majorBidi"/>
        </w:rPr>
        <w:t xml:space="preserve">  The judges correctly reasoned that neither the Rome Statute nor the Rules of Evidence and Procedure provide for a mitigation of punishment for the forms of responsibility other than </w:t>
      </w:r>
      <w:r w:rsidR="00F22C52" w:rsidRPr="00D8671A">
        <w:rPr>
          <w:rFonts w:asciiTheme="majorBidi" w:hAnsiTheme="majorBidi" w:cstheme="majorBidi"/>
        </w:rPr>
        <w:t>“</w:t>
      </w:r>
      <w:r w:rsidRPr="00D8671A">
        <w:rPr>
          <w:rFonts w:asciiTheme="majorBidi" w:hAnsiTheme="majorBidi" w:cstheme="majorBidi"/>
        </w:rPr>
        <w:t>commission</w:t>
      </w:r>
      <w:r w:rsidR="00F22C52" w:rsidRPr="00D8671A">
        <w:rPr>
          <w:rFonts w:asciiTheme="majorBidi" w:hAnsiTheme="majorBidi" w:cstheme="majorBidi"/>
        </w:rPr>
        <w:t>”</w:t>
      </w:r>
      <w:r w:rsidRPr="00D8671A">
        <w:rPr>
          <w:rFonts w:asciiTheme="majorBidi" w:hAnsiTheme="majorBidi" w:cstheme="majorBidi"/>
        </w:rPr>
        <w:t>, and there is no reason why an accomplice shall be accorded lesser guilt or receive lighter penalty than a perpetrator.</w:t>
      </w:r>
      <w:r w:rsidRPr="00D8671A">
        <w:rPr>
          <w:rStyle w:val="FootnoteReference"/>
          <w:rFonts w:asciiTheme="majorBidi" w:hAnsiTheme="majorBidi" w:cstheme="majorBidi"/>
        </w:rPr>
        <w:footnoteReference w:id="93"/>
      </w:r>
      <w:r w:rsidRPr="00D8671A">
        <w:rPr>
          <w:rFonts w:asciiTheme="majorBidi" w:hAnsiTheme="majorBidi" w:cstheme="majorBidi"/>
        </w:rPr>
        <w:t xml:space="preserve"> </w:t>
      </w:r>
      <w:r w:rsidR="00FD7D30" w:rsidRPr="00D8671A">
        <w:rPr>
          <w:rFonts w:asciiTheme="majorBidi" w:hAnsiTheme="majorBidi" w:cstheme="majorBidi"/>
        </w:rPr>
        <w:t>Thus, t</w:t>
      </w:r>
      <w:r w:rsidR="00F57752" w:rsidRPr="00D8671A">
        <w:rPr>
          <w:rFonts w:asciiTheme="majorBidi" w:hAnsiTheme="majorBidi" w:cstheme="majorBidi"/>
        </w:rPr>
        <w:t xml:space="preserve">here is clear rift in the jurisprudence of the ICC when it comes to the question of hierarchy of the forms of participation in Article 25(3) with the recent </w:t>
      </w:r>
      <w:r w:rsidR="00306BD5" w:rsidRPr="00D8671A">
        <w:rPr>
          <w:rFonts w:asciiTheme="majorBidi" w:hAnsiTheme="majorBidi" w:cstheme="majorBidi"/>
          <w:i/>
        </w:rPr>
        <w:t>Lubanga</w:t>
      </w:r>
      <w:r w:rsidR="00306BD5" w:rsidRPr="00D8671A">
        <w:rPr>
          <w:rFonts w:asciiTheme="majorBidi" w:hAnsiTheme="majorBidi" w:cstheme="majorBidi"/>
        </w:rPr>
        <w:t xml:space="preserve"> appeal judgement</w:t>
      </w:r>
      <w:r w:rsidR="008F0A6C" w:rsidRPr="00D8671A">
        <w:rPr>
          <w:rFonts w:asciiTheme="majorBidi" w:hAnsiTheme="majorBidi" w:cstheme="majorBidi"/>
        </w:rPr>
        <w:t xml:space="preserve"> upholding the </w:t>
      </w:r>
      <w:r w:rsidR="00BD3018" w:rsidRPr="00D8671A">
        <w:rPr>
          <w:rFonts w:asciiTheme="majorBidi" w:hAnsiTheme="majorBidi" w:cstheme="majorBidi"/>
        </w:rPr>
        <w:t>implicit value</w:t>
      </w:r>
      <w:r w:rsidR="00C06A3C" w:rsidRPr="00D8671A">
        <w:rPr>
          <w:rFonts w:asciiTheme="majorBidi" w:hAnsiTheme="majorBidi" w:cstheme="majorBidi"/>
        </w:rPr>
        <w:t>-</w:t>
      </w:r>
      <w:r w:rsidR="00BD3018" w:rsidRPr="00D8671A">
        <w:rPr>
          <w:rFonts w:asciiTheme="majorBidi" w:hAnsiTheme="majorBidi" w:cstheme="majorBidi"/>
        </w:rPr>
        <w:t xml:space="preserve">based differentiation of the </w:t>
      </w:r>
      <w:r w:rsidR="00BF48E6" w:rsidRPr="00D8671A">
        <w:rPr>
          <w:rFonts w:asciiTheme="majorBidi" w:hAnsiTheme="majorBidi" w:cstheme="majorBidi"/>
        </w:rPr>
        <w:t>modes of liability</w:t>
      </w:r>
      <w:r w:rsidR="00BD3018" w:rsidRPr="00D8671A">
        <w:rPr>
          <w:rFonts w:asciiTheme="majorBidi" w:hAnsiTheme="majorBidi" w:cstheme="majorBidi"/>
        </w:rPr>
        <w:t>s.</w:t>
      </w:r>
      <w:r w:rsidR="00BD3018" w:rsidRPr="00D8671A">
        <w:rPr>
          <w:rStyle w:val="FootnoteReference"/>
          <w:rFonts w:asciiTheme="majorBidi" w:hAnsiTheme="majorBidi" w:cstheme="majorBidi"/>
        </w:rPr>
        <w:footnoteReference w:id="94"/>
      </w:r>
      <w:r w:rsidR="00F57752" w:rsidRPr="00D8671A">
        <w:rPr>
          <w:rFonts w:asciiTheme="majorBidi" w:hAnsiTheme="majorBidi" w:cstheme="majorBidi"/>
        </w:rPr>
        <w:t xml:space="preserve"> </w:t>
      </w:r>
    </w:p>
    <w:p w14:paraId="15340B05" w14:textId="19F3325D" w:rsidR="005530A3" w:rsidRPr="00D8671A" w:rsidRDefault="00FD7D30" w:rsidP="00566D5D">
      <w:pPr>
        <w:widowControl w:val="0"/>
        <w:autoSpaceDE w:val="0"/>
        <w:autoSpaceDN w:val="0"/>
        <w:adjustRightInd w:val="0"/>
        <w:spacing w:after="0" w:line="240" w:lineRule="auto"/>
        <w:ind w:firstLine="720"/>
        <w:rPr>
          <w:rFonts w:asciiTheme="majorBidi" w:hAnsiTheme="majorBidi" w:cstheme="majorBidi"/>
        </w:rPr>
      </w:pPr>
      <w:r w:rsidRPr="00D8671A">
        <w:rPr>
          <w:rFonts w:asciiTheme="majorBidi" w:hAnsiTheme="majorBidi" w:cstheme="majorBidi"/>
        </w:rPr>
        <w:t>In contrast, the</w:t>
      </w:r>
      <w:r w:rsidR="008F0A6C" w:rsidRPr="00D8671A">
        <w:rPr>
          <w:rFonts w:asciiTheme="majorBidi" w:hAnsiTheme="majorBidi" w:cstheme="majorBidi"/>
        </w:rPr>
        <w:t xml:space="preserve"> Majority in </w:t>
      </w:r>
      <w:r w:rsidR="008F0A6C" w:rsidRPr="00D8671A">
        <w:rPr>
          <w:rFonts w:asciiTheme="majorBidi" w:hAnsiTheme="majorBidi" w:cstheme="majorBidi"/>
          <w:i/>
        </w:rPr>
        <w:t>Katanga</w:t>
      </w:r>
      <w:r w:rsidR="008F0A6C" w:rsidRPr="00D8671A">
        <w:rPr>
          <w:rFonts w:asciiTheme="majorBidi" w:hAnsiTheme="majorBidi" w:cstheme="majorBidi"/>
        </w:rPr>
        <w:t xml:space="preserve"> and the </w:t>
      </w:r>
      <w:r w:rsidR="008F0A6C" w:rsidRPr="00D8671A">
        <w:rPr>
          <w:rFonts w:asciiTheme="majorBidi" w:hAnsiTheme="majorBidi" w:cstheme="majorBidi"/>
          <w:i/>
        </w:rPr>
        <w:t xml:space="preserve">Lubanga </w:t>
      </w:r>
      <w:r w:rsidR="008F0A6C" w:rsidRPr="00D8671A">
        <w:rPr>
          <w:rFonts w:asciiTheme="majorBidi" w:hAnsiTheme="majorBidi" w:cstheme="majorBidi"/>
        </w:rPr>
        <w:t xml:space="preserve">Appeals Chamber </w:t>
      </w:r>
      <w:r w:rsidRPr="00D8671A">
        <w:rPr>
          <w:rFonts w:asciiTheme="majorBidi" w:hAnsiTheme="majorBidi" w:cstheme="majorBidi"/>
        </w:rPr>
        <w:t>are</w:t>
      </w:r>
      <w:r w:rsidR="008F0A6C" w:rsidRPr="00D8671A">
        <w:rPr>
          <w:rFonts w:asciiTheme="majorBidi" w:hAnsiTheme="majorBidi" w:cstheme="majorBidi"/>
        </w:rPr>
        <w:t xml:space="preserve"> united </w:t>
      </w:r>
      <w:r w:rsidRPr="00D8671A">
        <w:rPr>
          <w:rFonts w:asciiTheme="majorBidi" w:hAnsiTheme="majorBidi" w:cstheme="majorBidi"/>
        </w:rPr>
        <w:t xml:space="preserve">in </w:t>
      </w:r>
      <w:r w:rsidR="008F0A6C" w:rsidRPr="00D8671A">
        <w:rPr>
          <w:rFonts w:asciiTheme="majorBidi" w:hAnsiTheme="majorBidi" w:cstheme="majorBidi"/>
        </w:rPr>
        <w:t xml:space="preserve">their </w:t>
      </w:r>
      <w:r w:rsidR="00061457" w:rsidRPr="00D8671A">
        <w:rPr>
          <w:rFonts w:asciiTheme="majorBidi" w:hAnsiTheme="majorBidi" w:cstheme="majorBidi"/>
        </w:rPr>
        <w:t>commitment</w:t>
      </w:r>
      <w:r w:rsidR="008F0A6C" w:rsidRPr="00D8671A">
        <w:rPr>
          <w:rFonts w:asciiTheme="majorBidi" w:hAnsiTheme="majorBidi" w:cstheme="majorBidi"/>
        </w:rPr>
        <w:t xml:space="preserve"> </w:t>
      </w:r>
      <w:r w:rsidR="005530A3" w:rsidRPr="00D8671A">
        <w:rPr>
          <w:rFonts w:asciiTheme="majorBidi" w:hAnsiTheme="majorBidi" w:cstheme="majorBidi"/>
        </w:rPr>
        <w:t>to retain</w:t>
      </w:r>
      <w:r w:rsidR="00061457" w:rsidRPr="00D8671A">
        <w:rPr>
          <w:rFonts w:asciiTheme="majorBidi" w:hAnsiTheme="majorBidi" w:cstheme="majorBidi"/>
        </w:rPr>
        <w:t>ing</w:t>
      </w:r>
      <w:r w:rsidR="00CA5965" w:rsidRPr="00D8671A">
        <w:rPr>
          <w:rFonts w:asciiTheme="majorBidi" w:hAnsiTheme="majorBidi" w:cstheme="majorBidi"/>
        </w:rPr>
        <w:t xml:space="preserve"> the control over crime theory</w:t>
      </w:r>
      <w:r w:rsidR="005530A3" w:rsidRPr="00D8671A">
        <w:rPr>
          <w:rFonts w:asciiTheme="majorBidi" w:hAnsiTheme="majorBidi" w:cstheme="majorBidi"/>
        </w:rPr>
        <w:t xml:space="preserve"> as a guiding principle for distinguishing perpetrators and accessories.</w:t>
      </w:r>
      <w:r w:rsidR="005530A3" w:rsidRPr="00D8671A">
        <w:rPr>
          <w:rStyle w:val="FootnoteReference"/>
          <w:rFonts w:asciiTheme="majorBidi" w:hAnsiTheme="majorBidi" w:cstheme="majorBidi"/>
        </w:rPr>
        <w:footnoteReference w:id="95"/>
      </w:r>
      <w:r w:rsidR="005530A3" w:rsidRPr="00D8671A">
        <w:rPr>
          <w:rFonts w:asciiTheme="majorBidi" w:hAnsiTheme="majorBidi" w:cstheme="majorBidi"/>
        </w:rPr>
        <w:t xml:space="preserve"> The justification for upholding control over crime approach</w:t>
      </w:r>
      <w:r w:rsidRPr="00D8671A">
        <w:rPr>
          <w:rFonts w:asciiTheme="majorBidi" w:hAnsiTheme="majorBidi" w:cstheme="majorBidi"/>
        </w:rPr>
        <w:t xml:space="preserve"> in </w:t>
      </w:r>
      <w:r w:rsidRPr="00D8671A">
        <w:rPr>
          <w:rFonts w:asciiTheme="majorBidi" w:hAnsiTheme="majorBidi" w:cstheme="majorBidi"/>
          <w:i/>
        </w:rPr>
        <w:t>Katanga</w:t>
      </w:r>
      <w:r w:rsidR="005530A3" w:rsidRPr="00D8671A">
        <w:rPr>
          <w:rFonts w:asciiTheme="majorBidi" w:hAnsiTheme="majorBidi" w:cstheme="majorBidi"/>
        </w:rPr>
        <w:t xml:space="preserve"> was the need to give full effect to Article 25(3), in the light of the distinction between the perpetrators and the accomplices inherent in this provision</w:t>
      </w:r>
      <w:r w:rsidR="00CA5965" w:rsidRPr="00D8671A">
        <w:rPr>
          <w:rFonts w:asciiTheme="majorBidi" w:hAnsiTheme="majorBidi" w:cstheme="majorBidi"/>
        </w:rPr>
        <w:t>.</w:t>
      </w:r>
      <w:r w:rsidR="005530A3" w:rsidRPr="00D8671A">
        <w:rPr>
          <w:rStyle w:val="FootnoteReference"/>
          <w:rFonts w:asciiTheme="majorBidi" w:hAnsiTheme="majorBidi" w:cstheme="majorBidi"/>
        </w:rPr>
        <w:footnoteReference w:id="96"/>
      </w:r>
      <w:r w:rsidR="005530A3" w:rsidRPr="00D8671A">
        <w:rPr>
          <w:rFonts w:asciiTheme="majorBidi" w:hAnsiTheme="majorBidi" w:cstheme="majorBidi"/>
        </w:rPr>
        <w:t xml:space="preserve"> The judges reiterated already familiar arguments </w:t>
      </w:r>
      <w:r w:rsidR="00CA5965" w:rsidRPr="00D8671A">
        <w:rPr>
          <w:rFonts w:asciiTheme="majorBidi" w:hAnsiTheme="majorBidi" w:cstheme="majorBidi"/>
        </w:rPr>
        <w:t xml:space="preserve">concerning </w:t>
      </w:r>
      <w:r w:rsidR="005530A3" w:rsidRPr="00D8671A">
        <w:rPr>
          <w:rFonts w:asciiTheme="majorBidi" w:hAnsiTheme="majorBidi" w:cstheme="majorBidi"/>
        </w:rPr>
        <w:t>the inapplicability of the objective and subjective approaches for differentiating crime participants.</w:t>
      </w:r>
      <w:r w:rsidR="005530A3" w:rsidRPr="00D8671A">
        <w:rPr>
          <w:rStyle w:val="FootnoteReference"/>
          <w:rFonts w:asciiTheme="majorBidi" w:hAnsiTheme="majorBidi" w:cstheme="majorBidi"/>
        </w:rPr>
        <w:footnoteReference w:id="97"/>
      </w:r>
      <w:r w:rsidR="005530A3" w:rsidRPr="00D8671A">
        <w:rPr>
          <w:rFonts w:asciiTheme="majorBidi" w:hAnsiTheme="majorBidi" w:cstheme="majorBidi"/>
        </w:rPr>
        <w:t xml:space="preserve"> The exercise of giving full effect to Article 25(3) through control over crime theory avoided </w:t>
      </w:r>
      <w:r w:rsidR="00CA5965" w:rsidRPr="00D8671A">
        <w:rPr>
          <w:rFonts w:asciiTheme="majorBidi" w:hAnsiTheme="majorBidi" w:cstheme="majorBidi"/>
        </w:rPr>
        <w:t xml:space="preserve">both a </w:t>
      </w:r>
      <w:r w:rsidR="005530A3" w:rsidRPr="00D8671A">
        <w:rPr>
          <w:rFonts w:asciiTheme="majorBidi" w:hAnsiTheme="majorBidi" w:cstheme="majorBidi"/>
        </w:rPr>
        <w:t xml:space="preserve">plain reading of this provision - its language does not contain any trace of the theory in question, - </w:t>
      </w:r>
      <w:r w:rsidR="00CA5965" w:rsidRPr="00D8671A">
        <w:rPr>
          <w:rFonts w:asciiTheme="majorBidi" w:hAnsiTheme="majorBidi" w:cstheme="majorBidi"/>
        </w:rPr>
        <w:t xml:space="preserve">and </w:t>
      </w:r>
      <w:r w:rsidR="005530A3" w:rsidRPr="00D8671A">
        <w:rPr>
          <w:rFonts w:asciiTheme="majorBidi" w:hAnsiTheme="majorBidi" w:cstheme="majorBidi"/>
        </w:rPr>
        <w:t>interpreting the article in accordance with the rules established in international law.</w:t>
      </w:r>
      <w:r w:rsidR="007E0038" w:rsidRPr="00D8671A">
        <w:rPr>
          <w:rFonts w:asciiTheme="majorBidi" w:hAnsiTheme="majorBidi" w:cstheme="majorBidi"/>
        </w:rPr>
        <w:t xml:space="preserve"> </w:t>
      </w:r>
      <w:r w:rsidR="00CA5965" w:rsidRPr="00D8671A">
        <w:rPr>
          <w:rFonts w:asciiTheme="majorBidi" w:hAnsiTheme="majorBidi" w:cstheme="majorBidi"/>
        </w:rPr>
        <w:t xml:space="preserve">As </w:t>
      </w:r>
      <w:r w:rsidR="001F66AA" w:rsidRPr="00D8671A">
        <w:rPr>
          <w:rFonts w:asciiTheme="majorBidi" w:hAnsiTheme="majorBidi" w:cstheme="majorBidi"/>
        </w:rPr>
        <w:t xml:space="preserve">in the </w:t>
      </w:r>
      <w:r w:rsidR="001F66AA" w:rsidRPr="00D8671A">
        <w:rPr>
          <w:rFonts w:asciiTheme="majorBidi" w:hAnsiTheme="majorBidi" w:cstheme="majorBidi"/>
          <w:i/>
        </w:rPr>
        <w:t xml:space="preserve">Lubanga </w:t>
      </w:r>
      <w:r w:rsidR="001F66AA" w:rsidRPr="00D8671A">
        <w:rPr>
          <w:rFonts w:asciiTheme="majorBidi" w:hAnsiTheme="majorBidi" w:cstheme="majorBidi"/>
        </w:rPr>
        <w:t>case, t</w:t>
      </w:r>
      <w:r w:rsidR="005530A3" w:rsidRPr="00D8671A">
        <w:rPr>
          <w:rFonts w:asciiTheme="majorBidi" w:hAnsiTheme="majorBidi" w:cstheme="majorBidi"/>
        </w:rPr>
        <w:t xml:space="preserve">he judges </w:t>
      </w:r>
      <w:r w:rsidR="006950B3" w:rsidRPr="00D8671A">
        <w:rPr>
          <w:rFonts w:asciiTheme="majorBidi" w:hAnsiTheme="majorBidi" w:cstheme="majorBidi"/>
        </w:rPr>
        <w:t xml:space="preserve">in </w:t>
      </w:r>
      <w:r w:rsidR="006950B3" w:rsidRPr="00D8671A">
        <w:rPr>
          <w:rFonts w:asciiTheme="majorBidi" w:hAnsiTheme="majorBidi" w:cstheme="majorBidi"/>
          <w:i/>
        </w:rPr>
        <w:t>Katanga</w:t>
      </w:r>
      <w:r w:rsidR="006950B3" w:rsidRPr="00D8671A">
        <w:rPr>
          <w:rFonts w:asciiTheme="majorBidi" w:hAnsiTheme="majorBidi" w:cstheme="majorBidi"/>
        </w:rPr>
        <w:t xml:space="preserve"> </w:t>
      </w:r>
      <w:r w:rsidR="005530A3" w:rsidRPr="00D8671A">
        <w:rPr>
          <w:rFonts w:asciiTheme="majorBidi" w:hAnsiTheme="majorBidi" w:cstheme="majorBidi"/>
        </w:rPr>
        <w:t>brushed away, unconvincingly, the arguments regarding the theory’s recognition in various national legal systems or in the customary international law. Examining these sources of law would have likely resulted in the dismissal of the theory altogether.</w:t>
      </w:r>
      <w:r w:rsidR="005530A3" w:rsidRPr="00D8671A">
        <w:rPr>
          <w:rStyle w:val="FootnoteReference"/>
          <w:rFonts w:asciiTheme="majorBidi" w:hAnsiTheme="majorBidi" w:cstheme="majorBidi"/>
        </w:rPr>
        <w:footnoteReference w:id="98"/>
      </w:r>
    </w:p>
    <w:p w14:paraId="089787BA" w14:textId="00FE574E" w:rsidR="005530A3" w:rsidRPr="00D8671A" w:rsidRDefault="005530A3" w:rsidP="00566D5D">
      <w:pPr>
        <w:widowControl w:val="0"/>
        <w:autoSpaceDE w:val="0"/>
        <w:autoSpaceDN w:val="0"/>
        <w:adjustRightInd w:val="0"/>
        <w:spacing w:after="0" w:line="240" w:lineRule="auto"/>
        <w:ind w:firstLine="720"/>
        <w:rPr>
          <w:rFonts w:asciiTheme="majorBidi" w:hAnsiTheme="majorBidi" w:cstheme="majorBidi"/>
        </w:rPr>
      </w:pPr>
      <w:r w:rsidRPr="00D8671A">
        <w:rPr>
          <w:rFonts w:asciiTheme="majorBidi" w:hAnsiTheme="majorBidi" w:cstheme="majorBidi"/>
        </w:rPr>
        <w:t xml:space="preserve">The Majority thus concluded that </w:t>
      </w:r>
      <w:r w:rsidR="00CA5965" w:rsidRPr="00D8671A">
        <w:rPr>
          <w:rFonts w:asciiTheme="majorBidi" w:hAnsiTheme="majorBidi" w:cstheme="majorBidi"/>
        </w:rPr>
        <w:t xml:space="preserve">the </w:t>
      </w:r>
      <w:r w:rsidRPr="00D8671A">
        <w:rPr>
          <w:rFonts w:asciiTheme="majorBidi" w:hAnsiTheme="majorBidi" w:cstheme="majorBidi"/>
        </w:rPr>
        <w:t>indirect perpetrator</w:t>
      </w:r>
      <w:r w:rsidR="00CA5965" w:rsidRPr="00D8671A">
        <w:rPr>
          <w:rFonts w:asciiTheme="majorBidi" w:hAnsiTheme="majorBidi" w:cstheme="majorBidi"/>
        </w:rPr>
        <w:t>, within the organization,</w:t>
      </w:r>
      <w:r w:rsidRPr="00D8671A">
        <w:rPr>
          <w:rFonts w:asciiTheme="majorBidi" w:hAnsiTheme="majorBidi" w:cstheme="majorBidi"/>
        </w:rPr>
        <w:t xml:space="preserve"> </w:t>
      </w:r>
      <w:r w:rsidR="00CA5965" w:rsidRPr="00D8671A">
        <w:rPr>
          <w:rFonts w:asciiTheme="majorBidi" w:hAnsiTheme="majorBidi" w:cstheme="majorBidi"/>
        </w:rPr>
        <w:t xml:space="preserve">exercises </w:t>
      </w:r>
      <w:r w:rsidRPr="00D8671A">
        <w:rPr>
          <w:rFonts w:asciiTheme="majorBidi" w:hAnsiTheme="majorBidi" w:cstheme="majorBidi"/>
        </w:rPr>
        <w:t xml:space="preserve">control over </w:t>
      </w:r>
      <w:r w:rsidR="00CA5965" w:rsidRPr="00D8671A">
        <w:rPr>
          <w:rFonts w:asciiTheme="majorBidi" w:hAnsiTheme="majorBidi" w:cstheme="majorBidi"/>
        </w:rPr>
        <w:t xml:space="preserve">a </w:t>
      </w:r>
      <w:r w:rsidRPr="00D8671A">
        <w:rPr>
          <w:rFonts w:asciiTheme="majorBidi" w:hAnsiTheme="majorBidi" w:cstheme="majorBidi"/>
        </w:rPr>
        <w:t>crime committed through another person</w:t>
      </w:r>
      <w:r w:rsidR="00CA5965" w:rsidRPr="00D8671A">
        <w:rPr>
          <w:rFonts w:asciiTheme="majorBidi" w:hAnsiTheme="majorBidi" w:cstheme="majorBidi"/>
        </w:rPr>
        <w:t>.</w:t>
      </w:r>
      <w:r w:rsidRPr="00D8671A">
        <w:rPr>
          <w:rStyle w:val="FootnoteReference"/>
          <w:rFonts w:asciiTheme="majorBidi" w:hAnsiTheme="majorBidi" w:cstheme="majorBidi"/>
        </w:rPr>
        <w:footnoteReference w:id="99"/>
      </w:r>
      <w:r w:rsidRPr="00D8671A">
        <w:rPr>
          <w:rFonts w:asciiTheme="majorBidi" w:hAnsiTheme="majorBidi" w:cstheme="majorBidi"/>
        </w:rPr>
        <w:t xml:space="preserve"> The organization in question must be a </w:t>
      </w:r>
      <w:r w:rsidR="00F22C52" w:rsidRPr="00D8671A">
        <w:rPr>
          <w:rFonts w:asciiTheme="majorBidi" w:hAnsiTheme="majorBidi" w:cstheme="majorBidi"/>
        </w:rPr>
        <w:t>“</w:t>
      </w:r>
      <w:r w:rsidRPr="00D8671A">
        <w:rPr>
          <w:rFonts w:asciiTheme="majorBidi" w:hAnsiTheme="majorBidi" w:cstheme="majorBidi"/>
        </w:rPr>
        <w:t>power structure</w:t>
      </w:r>
      <w:r w:rsidR="00F22C52" w:rsidRPr="00D8671A">
        <w:rPr>
          <w:rFonts w:asciiTheme="majorBidi" w:hAnsiTheme="majorBidi" w:cstheme="majorBidi"/>
        </w:rPr>
        <w:t>”</w:t>
      </w:r>
      <w:r w:rsidRPr="00D8671A">
        <w:rPr>
          <w:rFonts w:asciiTheme="majorBidi" w:hAnsiTheme="majorBidi" w:cstheme="majorBidi"/>
        </w:rPr>
        <w:t xml:space="preserve"> characterized by automatic compliance - the link between the superior and the actual perpetrators is of little importance, making </w:t>
      </w:r>
      <w:r w:rsidR="00CA5965" w:rsidRPr="00D8671A">
        <w:rPr>
          <w:rFonts w:asciiTheme="majorBidi" w:hAnsiTheme="majorBidi" w:cstheme="majorBidi"/>
        </w:rPr>
        <w:t xml:space="preserve">the </w:t>
      </w:r>
      <w:r w:rsidRPr="00D8671A">
        <w:rPr>
          <w:rFonts w:asciiTheme="majorBidi" w:hAnsiTheme="majorBidi" w:cstheme="majorBidi"/>
        </w:rPr>
        <w:t>latter interchangeable.</w:t>
      </w:r>
      <w:r w:rsidRPr="00D8671A">
        <w:rPr>
          <w:rStyle w:val="FootnoteReference"/>
          <w:rFonts w:asciiTheme="majorBidi" w:hAnsiTheme="majorBidi" w:cstheme="majorBidi"/>
        </w:rPr>
        <w:footnoteReference w:id="100"/>
      </w:r>
      <w:r w:rsidRPr="00D8671A">
        <w:rPr>
          <w:rFonts w:asciiTheme="majorBidi" w:hAnsiTheme="majorBidi" w:cstheme="majorBidi"/>
        </w:rPr>
        <w:t xml:space="preserve"> The indirect perpetrator must hold real authority within the organization, </w:t>
      </w:r>
      <w:r w:rsidRPr="00D8671A">
        <w:rPr>
          <w:rFonts w:asciiTheme="majorBidi" w:hAnsiTheme="majorBidi" w:cstheme="majorBidi"/>
        </w:rPr>
        <w:lastRenderedPageBreak/>
        <w:t>including the power to decide whether or not to execute the crime.</w:t>
      </w:r>
      <w:r w:rsidRPr="00D8671A">
        <w:rPr>
          <w:rStyle w:val="FootnoteReference"/>
          <w:rFonts w:asciiTheme="majorBidi" w:hAnsiTheme="majorBidi" w:cstheme="majorBidi"/>
        </w:rPr>
        <w:footnoteReference w:id="101"/>
      </w:r>
      <w:r w:rsidRPr="00D8671A">
        <w:rPr>
          <w:rFonts w:asciiTheme="majorBidi" w:hAnsiTheme="majorBidi" w:cstheme="majorBidi"/>
        </w:rPr>
        <w:t xml:space="preserve"> Relying on this definition, the Trial Chamber acquitted Germain Katanga of the charges as indirect perpetrator upon finding that Ngiti militia lacked </w:t>
      </w:r>
      <w:r w:rsidR="00CA5965" w:rsidRPr="00D8671A">
        <w:rPr>
          <w:rFonts w:asciiTheme="majorBidi" w:hAnsiTheme="majorBidi" w:cstheme="majorBidi"/>
        </w:rPr>
        <w:t xml:space="preserve">sufficient </w:t>
      </w:r>
      <w:r w:rsidRPr="00D8671A">
        <w:rPr>
          <w:rFonts w:asciiTheme="majorBidi" w:hAnsiTheme="majorBidi" w:cstheme="majorBidi"/>
        </w:rPr>
        <w:t xml:space="preserve">organization to qualify as a </w:t>
      </w:r>
      <w:r w:rsidR="00F22C52" w:rsidRPr="00D8671A">
        <w:rPr>
          <w:rFonts w:asciiTheme="majorBidi" w:hAnsiTheme="majorBidi" w:cstheme="majorBidi"/>
        </w:rPr>
        <w:t>“</w:t>
      </w:r>
      <w:r w:rsidRPr="00D8671A">
        <w:rPr>
          <w:rFonts w:asciiTheme="majorBidi" w:hAnsiTheme="majorBidi" w:cstheme="majorBidi"/>
        </w:rPr>
        <w:t>power structure</w:t>
      </w:r>
      <w:r w:rsidR="00F22C52" w:rsidRPr="00D8671A">
        <w:rPr>
          <w:rFonts w:asciiTheme="majorBidi" w:hAnsiTheme="majorBidi" w:cstheme="majorBidi"/>
        </w:rPr>
        <w:t>”</w:t>
      </w:r>
      <w:r w:rsidRPr="00D8671A">
        <w:rPr>
          <w:rFonts w:asciiTheme="majorBidi" w:hAnsiTheme="majorBidi" w:cstheme="majorBidi"/>
        </w:rPr>
        <w:t xml:space="preserve">. </w:t>
      </w:r>
      <w:r w:rsidR="00CA5965" w:rsidRPr="00D8671A">
        <w:rPr>
          <w:rFonts w:asciiTheme="majorBidi" w:hAnsiTheme="majorBidi" w:cstheme="majorBidi"/>
        </w:rPr>
        <w:t>Additionally</w:t>
      </w:r>
      <w:r w:rsidRPr="00D8671A">
        <w:rPr>
          <w:rFonts w:asciiTheme="majorBidi" w:hAnsiTheme="majorBidi" w:cstheme="majorBidi"/>
        </w:rPr>
        <w:t xml:space="preserve">, the evidence was not conclusive as to the exact nature of </w:t>
      </w:r>
      <w:r w:rsidR="00CA5965" w:rsidRPr="00D8671A">
        <w:rPr>
          <w:rFonts w:asciiTheme="majorBidi" w:hAnsiTheme="majorBidi" w:cstheme="majorBidi"/>
        </w:rPr>
        <w:t xml:space="preserve">the </w:t>
      </w:r>
      <w:r w:rsidRPr="00D8671A">
        <w:rPr>
          <w:rFonts w:asciiTheme="majorBidi" w:hAnsiTheme="majorBidi" w:cstheme="majorBidi"/>
        </w:rPr>
        <w:t>relationships between the commanders and their subordinates.</w:t>
      </w:r>
      <w:r w:rsidRPr="00D8671A">
        <w:rPr>
          <w:rStyle w:val="FootnoteReference"/>
          <w:rFonts w:asciiTheme="majorBidi" w:hAnsiTheme="majorBidi" w:cstheme="majorBidi"/>
        </w:rPr>
        <w:footnoteReference w:id="102"/>
      </w:r>
    </w:p>
    <w:p w14:paraId="36FD63A5" w14:textId="0D5A7AA3" w:rsidR="005530A3" w:rsidRPr="00D8671A" w:rsidRDefault="004C18E7" w:rsidP="00566D5D">
      <w:pPr>
        <w:widowControl w:val="0"/>
        <w:autoSpaceDE w:val="0"/>
        <w:autoSpaceDN w:val="0"/>
        <w:adjustRightInd w:val="0"/>
        <w:spacing w:after="0" w:line="240" w:lineRule="auto"/>
        <w:ind w:right="-64" w:firstLine="720"/>
        <w:rPr>
          <w:rFonts w:asciiTheme="majorBidi" w:hAnsiTheme="majorBidi" w:cstheme="majorBidi"/>
        </w:rPr>
      </w:pPr>
      <w:r w:rsidRPr="00D8671A">
        <w:rPr>
          <w:rFonts w:asciiTheme="majorBidi" w:hAnsiTheme="majorBidi" w:cstheme="majorBidi"/>
        </w:rPr>
        <w:t>The conviction</w:t>
      </w:r>
      <w:r w:rsidR="00A316F0" w:rsidRPr="00D8671A">
        <w:rPr>
          <w:rFonts w:asciiTheme="majorBidi" w:hAnsiTheme="majorBidi" w:cstheme="majorBidi"/>
        </w:rPr>
        <w:t xml:space="preserve"> in the </w:t>
      </w:r>
      <w:r w:rsidR="00A316F0" w:rsidRPr="00D8671A">
        <w:rPr>
          <w:rFonts w:asciiTheme="majorBidi" w:hAnsiTheme="majorBidi" w:cstheme="majorBidi"/>
          <w:i/>
        </w:rPr>
        <w:t xml:space="preserve">Katanga </w:t>
      </w:r>
      <w:r w:rsidR="00A316F0" w:rsidRPr="00D8671A">
        <w:rPr>
          <w:rFonts w:asciiTheme="majorBidi" w:hAnsiTheme="majorBidi" w:cstheme="majorBidi"/>
        </w:rPr>
        <w:t>case</w:t>
      </w:r>
      <w:r w:rsidRPr="00D8671A">
        <w:rPr>
          <w:rFonts w:asciiTheme="majorBidi" w:hAnsiTheme="majorBidi" w:cstheme="majorBidi"/>
        </w:rPr>
        <w:t xml:space="preserve"> </w:t>
      </w:r>
      <w:r w:rsidR="00CA5965" w:rsidRPr="00D8671A">
        <w:rPr>
          <w:rFonts w:asciiTheme="majorBidi" w:hAnsiTheme="majorBidi" w:cstheme="majorBidi"/>
        </w:rPr>
        <w:t xml:space="preserve">took place </w:t>
      </w:r>
      <w:r w:rsidRPr="00D8671A">
        <w:rPr>
          <w:rFonts w:asciiTheme="majorBidi" w:hAnsiTheme="majorBidi" w:cstheme="majorBidi"/>
        </w:rPr>
        <w:t>under s</w:t>
      </w:r>
      <w:r w:rsidR="005530A3" w:rsidRPr="00D8671A">
        <w:rPr>
          <w:rFonts w:asciiTheme="majorBidi" w:hAnsiTheme="majorBidi" w:cstheme="majorBidi"/>
        </w:rPr>
        <w:t>ubparagraph (d) of the Rome Statute</w:t>
      </w:r>
      <w:r w:rsidR="00A316F0" w:rsidRPr="00D8671A">
        <w:rPr>
          <w:rFonts w:asciiTheme="majorBidi" w:hAnsiTheme="majorBidi" w:cstheme="majorBidi"/>
        </w:rPr>
        <w:t>, which</w:t>
      </w:r>
      <w:r w:rsidR="005530A3" w:rsidRPr="00D8671A">
        <w:rPr>
          <w:rFonts w:asciiTheme="majorBidi" w:hAnsiTheme="majorBidi" w:cstheme="majorBidi"/>
        </w:rPr>
        <w:t xml:space="preserve"> introduces a new category of criminal participation, namely “contributing to the commission of a crime by a group acting with a common purpose”. This provision was modelled on the 1997 International Convention for the Suppression of Terrorist Bombings,</w:t>
      </w:r>
      <w:r w:rsidR="005530A3" w:rsidRPr="00D8671A">
        <w:rPr>
          <w:rStyle w:val="FootnoteReference"/>
          <w:rFonts w:asciiTheme="majorBidi" w:hAnsiTheme="majorBidi" w:cstheme="majorBidi"/>
        </w:rPr>
        <w:footnoteReference w:id="103"/>
      </w:r>
      <w:r w:rsidR="005530A3" w:rsidRPr="00D8671A">
        <w:rPr>
          <w:rFonts w:asciiTheme="majorBidi" w:hAnsiTheme="majorBidi" w:cstheme="majorBidi"/>
        </w:rPr>
        <w:t xml:space="preserve"> and was inserted in the Rome Statute during the last stage of negotiations.</w:t>
      </w:r>
      <w:r w:rsidR="005530A3" w:rsidRPr="00D8671A">
        <w:rPr>
          <w:rStyle w:val="FootnoteReference"/>
          <w:rFonts w:asciiTheme="majorBidi" w:hAnsiTheme="majorBidi" w:cstheme="majorBidi"/>
        </w:rPr>
        <w:footnoteReference w:id="104"/>
      </w:r>
      <w:r w:rsidR="005530A3" w:rsidRPr="00D8671A">
        <w:rPr>
          <w:rFonts w:asciiTheme="majorBidi" w:hAnsiTheme="majorBidi" w:cstheme="majorBidi"/>
        </w:rPr>
        <w:t xml:space="preserve"> It replaced the earlier draft provisions on planning and conspiracy,</w:t>
      </w:r>
      <w:r w:rsidR="005530A3" w:rsidRPr="00D8671A">
        <w:rPr>
          <w:rStyle w:val="FootnoteReference"/>
          <w:rFonts w:asciiTheme="majorBidi" w:hAnsiTheme="majorBidi" w:cstheme="majorBidi"/>
        </w:rPr>
        <w:footnoteReference w:id="105"/>
      </w:r>
      <w:r w:rsidR="005530A3" w:rsidRPr="00D8671A">
        <w:rPr>
          <w:rFonts w:asciiTheme="majorBidi" w:hAnsiTheme="majorBidi" w:cstheme="majorBidi"/>
        </w:rPr>
        <w:t xml:space="preserve"> which gave rise to divergent views during the </w:t>
      </w:r>
      <w:r w:rsidR="00C325EB" w:rsidRPr="00D8671A">
        <w:rPr>
          <w:rFonts w:asciiTheme="majorBidi" w:hAnsiTheme="majorBidi" w:cstheme="majorBidi"/>
        </w:rPr>
        <w:t>drafting process</w:t>
      </w:r>
      <w:r w:rsidR="005530A3" w:rsidRPr="00D8671A">
        <w:rPr>
          <w:rFonts w:asciiTheme="majorBidi" w:hAnsiTheme="majorBidi" w:cstheme="majorBidi"/>
        </w:rPr>
        <w:t>.</w:t>
      </w:r>
      <w:r w:rsidR="005530A3" w:rsidRPr="00D8671A">
        <w:rPr>
          <w:rStyle w:val="FootnoteReference"/>
          <w:rFonts w:asciiTheme="majorBidi" w:hAnsiTheme="majorBidi" w:cstheme="majorBidi"/>
        </w:rPr>
        <w:footnoteReference w:id="106"/>
      </w:r>
      <w:r w:rsidR="005530A3" w:rsidRPr="00D8671A">
        <w:rPr>
          <w:rFonts w:asciiTheme="majorBidi" w:hAnsiTheme="majorBidi" w:cstheme="majorBidi"/>
        </w:rPr>
        <w:t xml:space="preserve"> Thus, notwithstanding the wide acceptance of planning as a form of criminal responsibility in international criminal law,</w:t>
      </w:r>
      <w:r w:rsidR="005530A3" w:rsidRPr="00D8671A">
        <w:rPr>
          <w:rStyle w:val="FootnoteReference"/>
          <w:rFonts w:asciiTheme="majorBidi" w:hAnsiTheme="majorBidi" w:cstheme="majorBidi"/>
        </w:rPr>
        <w:footnoteReference w:id="107"/>
      </w:r>
      <w:r w:rsidR="005530A3" w:rsidRPr="00D8671A">
        <w:rPr>
          <w:rFonts w:asciiTheme="majorBidi" w:hAnsiTheme="majorBidi" w:cstheme="majorBidi"/>
        </w:rPr>
        <w:t xml:space="preserve"> neither planning nor conspiracy </w:t>
      </w:r>
      <w:r w:rsidR="00CA5965" w:rsidRPr="00D8671A">
        <w:rPr>
          <w:rFonts w:asciiTheme="majorBidi" w:hAnsiTheme="majorBidi" w:cstheme="majorBidi"/>
        </w:rPr>
        <w:t xml:space="preserve">have been </w:t>
      </w:r>
      <w:r w:rsidR="005530A3" w:rsidRPr="00D8671A">
        <w:rPr>
          <w:rFonts w:asciiTheme="majorBidi" w:hAnsiTheme="majorBidi" w:cstheme="majorBidi"/>
        </w:rPr>
        <w:t xml:space="preserve">included in the Rome Statute, paving the way </w:t>
      </w:r>
      <w:r w:rsidR="00CA5965" w:rsidRPr="00D8671A">
        <w:rPr>
          <w:rFonts w:asciiTheme="majorBidi" w:hAnsiTheme="majorBidi" w:cstheme="majorBidi"/>
        </w:rPr>
        <w:t xml:space="preserve">for </w:t>
      </w:r>
      <w:r w:rsidR="005530A3" w:rsidRPr="00D8671A">
        <w:rPr>
          <w:rFonts w:asciiTheme="majorBidi" w:hAnsiTheme="majorBidi" w:cstheme="majorBidi"/>
        </w:rPr>
        <w:t xml:space="preserve">the novel category of criminal participation </w:t>
      </w:r>
      <w:r w:rsidR="00F22C52" w:rsidRPr="00D8671A">
        <w:rPr>
          <w:rFonts w:asciiTheme="majorBidi" w:hAnsiTheme="majorBidi" w:cstheme="majorBidi"/>
        </w:rPr>
        <w:t>–</w:t>
      </w:r>
      <w:r w:rsidR="005530A3" w:rsidRPr="00D8671A">
        <w:rPr>
          <w:rFonts w:asciiTheme="majorBidi" w:hAnsiTheme="majorBidi" w:cstheme="majorBidi"/>
        </w:rPr>
        <w:t xml:space="preserve"> </w:t>
      </w:r>
      <w:r w:rsidR="00F22C52" w:rsidRPr="00D8671A">
        <w:rPr>
          <w:rFonts w:asciiTheme="majorBidi" w:hAnsiTheme="majorBidi" w:cstheme="majorBidi"/>
        </w:rPr>
        <w:t>“</w:t>
      </w:r>
      <w:r w:rsidR="005530A3" w:rsidRPr="00D8671A">
        <w:rPr>
          <w:rFonts w:asciiTheme="majorBidi" w:hAnsiTheme="majorBidi" w:cstheme="majorBidi"/>
        </w:rPr>
        <w:t>contribution to the commission of a crime</w:t>
      </w:r>
      <w:r w:rsidR="00F22C52" w:rsidRPr="00D8671A">
        <w:rPr>
          <w:rFonts w:asciiTheme="majorBidi" w:hAnsiTheme="majorBidi" w:cstheme="majorBidi"/>
        </w:rPr>
        <w:t>”</w:t>
      </w:r>
      <w:r w:rsidR="005530A3" w:rsidRPr="00D8671A">
        <w:rPr>
          <w:rFonts w:asciiTheme="majorBidi" w:hAnsiTheme="majorBidi" w:cstheme="majorBidi"/>
        </w:rPr>
        <w:t xml:space="preserve">. This form of liability merits detailed analysis because it could </w:t>
      </w:r>
      <w:r w:rsidR="00CA5965" w:rsidRPr="00D8671A">
        <w:rPr>
          <w:rFonts w:asciiTheme="majorBidi" w:hAnsiTheme="majorBidi" w:cstheme="majorBidi"/>
        </w:rPr>
        <w:t xml:space="preserve">be in the process of </w:t>
      </w:r>
      <w:r w:rsidR="005530A3" w:rsidRPr="00D8671A">
        <w:rPr>
          <w:rFonts w:asciiTheme="majorBidi" w:hAnsiTheme="majorBidi" w:cstheme="majorBidi"/>
        </w:rPr>
        <w:t xml:space="preserve">replacing (in)direction co-perpetration, which </w:t>
      </w:r>
      <w:r w:rsidR="00056D45" w:rsidRPr="00D8671A">
        <w:rPr>
          <w:rFonts w:asciiTheme="majorBidi" w:hAnsiTheme="majorBidi" w:cstheme="majorBidi"/>
        </w:rPr>
        <w:t>might yet fall</w:t>
      </w:r>
      <w:r w:rsidR="005530A3" w:rsidRPr="00D8671A">
        <w:rPr>
          <w:rFonts w:asciiTheme="majorBidi" w:hAnsiTheme="majorBidi" w:cstheme="majorBidi"/>
        </w:rPr>
        <w:t xml:space="preserve"> out of favour at the ICC. </w:t>
      </w:r>
    </w:p>
    <w:p w14:paraId="31E471D5" w14:textId="470A12C9" w:rsidR="005530A3" w:rsidRPr="00D8671A" w:rsidRDefault="005530A3" w:rsidP="00D8671A">
      <w:pPr>
        <w:widowControl w:val="0"/>
        <w:autoSpaceDE w:val="0"/>
        <w:autoSpaceDN w:val="0"/>
        <w:adjustRightInd w:val="0"/>
        <w:spacing w:after="0" w:line="240" w:lineRule="auto"/>
        <w:ind w:right="-64"/>
        <w:rPr>
          <w:rFonts w:asciiTheme="majorBidi" w:hAnsiTheme="majorBidi" w:cstheme="majorBidi"/>
        </w:rPr>
      </w:pPr>
      <w:r w:rsidRPr="00D8671A">
        <w:rPr>
          <w:rFonts w:asciiTheme="majorBidi" w:hAnsiTheme="majorBidi" w:cstheme="majorBidi"/>
        </w:rPr>
        <w:t xml:space="preserve">The ICC practice so far </w:t>
      </w:r>
      <w:r w:rsidR="008F4CBC" w:rsidRPr="00D8671A">
        <w:rPr>
          <w:rFonts w:asciiTheme="majorBidi" w:hAnsiTheme="majorBidi" w:cstheme="majorBidi"/>
        </w:rPr>
        <w:t xml:space="preserve">has </w:t>
      </w:r>
      <w:r w:rsidRPr="00D8671A">
        <w:rPr>
          <w:rFonts w:asciiTheme="majorBidi" w:hAnsiTheme="majorBidi" w:cstheme="majorBidi"/>
        </w:rPr>
        <w:t xml:space="preserve">established </w:t>
      </w:r>
      <w:r w:rsidR="00A316F0" w:rsidRPr="00D8671A">
        <w:rPr>
          <w:rFonts w:asciiTheme="majorBidi" w:hAnsiTheme="majorBidi" w:cstheme="majorBidi"/>
        </w:rPr>
        <w:t>a number of</w:t>
      </w:r>
      <w:r w:rsidRPr="00D8671A">
        <w:rPr>
          <w:rFonts w:asciiTheme="majorBidi" w:hAnsiTheme="majorBidi" w:cstheme="majorBidi"/>
        </w:rPr>
        <w:t xml:space="preserve"> objective and subjective elements of liability under article 25(3)(d) of the Statute</w:t>
      </w:r>
      <w:r w:rsidR="008F4CBC" w:rsidRPr="00D8671A">
        <w:rPr>
          <w:rFonts w:asciiTheme="majorBidi" w:hAnsiTheme="majorBidi" w:cstheme="majorBidi"/>
        </w:rPr>
        <w:t xml:space="preserve"> including</w:t>
      </w:r>
      <w:r w:rsidR="008341D3" w:rsidRPr="00D8671A">
        <w:rPr>
          <w:rFonts w:asciiTheme="majorBidi" w:hAnsiTheme="majorBidi" w:cstheme="majorBidi"/>
        </w:rPr>
        <w:t xml:space="preserve"> the commission of</w:t>
      </w:r>
      <w:r w:rsidR="00A316F0" w:rsidRPr="00D8671A">
        <w:rPr>
          <w:rFonts w:asciiTheme="majorBidi" w:hAnsiTheme="majorBidi" w:cstheme="majorBidi"/>
        </w:rPr>
        <w:t xml:space="preserve"> a crime with</w:t>
      </w:r>
      <w:r w:rsidR="00D2790F" w:rsidRPr="00D8671A">
        <w:rPr>
          <w:rFonts w:asciiTheme="majorBidi" w:hAnsiTheme="majorBidi" w:cstheme="majorBidi"/>
        </w:rPr>
        <w:t>i</w:t>
      </w:r>
      <w:r w:rsidR="00A316F0" w:rsidRPr="00D8671A">
        <w:rPr>
          <w:rFonts w:asciiTheme="majorBidi" w:hAnsiTheme="majorBidi" w:cstheme="majorBidi"/>
        </w:rPr>
        <w:t xml:space="preserve">n the jurisdiction of the court, carrying out this crime by a group of persons, </w:t>
      </w:r>
      <w:r w:rsidR="00D2790F" w:rsidRPr="00D8671A">
        <w:rPr>
          <w:rFonts w:asciiTheme="majorBidi" w:hAnsiTheme="majorBidi" w:cstheme="majorBidi"/>
        </w:rPr>
        <w:t xml:space="preserve">intentionally </w:t>
      </w:r>
      <w:r w:rsidR="00A316F0" w:rsidRPr="00D8671A">
        <w:rPr>
          <w:rFonts w:asciiTheme="majorBidi" w:hAnsiTheme="majorBidi" w:cstheme="majorBidi"/>
        </w:rPr>
        <w:t>contributing to the crime</w:t>
      </w:r>
      <w:r w:rsidR="00D2790F" w:rsidRPr="00D8671A">
        <w:rPr>
          <w:rFonts w:asciiTheme="majorBidi" w:hAnsiTheme="majorBidi" w:cstheme="majorBidi"/>
        </w:rPr>
        <w:t xml:space="preserve"> either (1) with the aim of furthering criminal purpose of the group, where such purpose involves the commission of a crime, or (2) in the knowledge of the intention of the group to commit a crime.</w:t>
      </w:r>
      <w:r w:rsidRPr="00D8671A">
        <w:rPr>
          <w:rStyle w:val="FootnoteReference"/>
          <w:rFonts w:asciiTheme="majorBidi" w:hAnsiTheme="majorBidi" w:cstheme="majorBidi"/>
        </w:rPr>
        <w:footnoteReference w:id="108"/>
      </w:r>
    </w:p>
    <w:p w14:paraId="2CCBDE06" w14:textId="1D18CA3C" w:rsidR="005530A3" w:rsidRPr="00D8671A" w:rsidRDefault="005530A3" w:rsidP="00566D5D">
      <w:pPr>
        <w:spacing w:after="0" w:line="240" w:lineRule="auto"/>
        <w:ind w:firstLine="720"/>
        <w:rPr>
          <w:rFonts w:asciiTheme="majorBidi" w:hAnsiTheme="majorBidi" w:cstheme="majorBidi"/>
        </w:rPr>
      </w:pPr>
      <w:r w:rsidRPr="00D8671A">
        <w:rPr>
          <w:rFonts w:asciiTheme="majorBidi" w:hAnsiTheme="majorBidi" w:cstheme="majorBidi"/>
        </w:rPr>
        <w:t xml:space="preserve">The </w:t>
      </w:r>
      <w:r w:rsidR="00F22C52" w:rsidRPr="00D8671A">
        <w:rPr>
          <w:rFonts w:asciiTheme="majorBidi" w:hAnsiTheme="majorBidi" w:cstheme="majorBidi"/>
        </w:rPr>
        <w:t>“</w:t>
      </w:r>
      <w:r w:rsidR="00D2790F" w:rsidRPr="00D8671A">
        <w:rPr>
          <w:rFonts w:asciiTheme="majorBidi" w:hAnsiTheme="majorBidi" w:cstheme="majorBidi"/>
        </w:rPr>
        <w:t>group</w:t>
      </w:r>
      <w:r w:rsidR="00F22C52" w:rsidRPr="00D8671A">
        <w:rPr>
          <w:rFonts w:asciiTheme="majorBidi" w:hAnsiTheme="majorBidi" w:cstheme="majorBidi"/>
        </w:rPr>
        <w:t>”</w:t>
      </w:r>
      <w:r w:rsidR="00D2790F" w:rsidRPr="00D8671A">
        <w:rPr>
          <w:rFonts w:asciiTheme="majorBidi" w:hAnsiTheme="majorBidi" w:cstheme="majorBidi"/>
        </w:rPr>
        <w:t xml:space="preserve"> criterion is still highly contested.</w:t>
      </w:r>
      <w:r w:rsidRPr="00D8671A">
        <w:rPr>
          <w:rFonts w:asciiTheme="majorBidi" w:hAnsiTheme="majorBidi" w:cstheme="majorBidi"/>
        </w:rPr>
        <w:t xml:space="preserve"> In </w:t>
      </w:r>
      <w:r w:rsidRPr="00D8671A">
        <w:rPr>
          <w:rFonts w:asciiTheme="majorBidi" w:hAnsiTheme="majorBidi" w:cstheme="majorBidi"/>
          <w:i/>
        </w:rPr>
        <w:t>Katanga</w:t>
      </w:r>
      <w:r w:rsidRPr="00D8671A">
        <w:rPr>
          <w:rFonts w:asciiTheme="majorBidi" w:hAnsiTheme="majorBidi" w:cstheme="majorBidi"/>
        </w:rPr>
        <w:t>, the Trial Chamber used the concept of the joint criminal enterprise developed by the ad hoc tribunals in interpreting the notion of a group pursuant to Article 25(3)(d).</w:t>
      </w:r>
      <w:r w:rsidRPr="00D8671A">
        <w:rPr>
          <w:rStyle w:val="FootnoteReference"/>
          <w:rFonts w:asciiTheme="majorBidi" w:hAnsiTheme="majorBidi" w:cstheme="majorBidi"/>
        </w:rPr>
        <w:footnoteReference w:id="109"/>
      </w:r>
      <w:r w:rsidRPr="00D8671A">
        <w:rPr>
          <w:rFonts w:asciiTheme="majorBidi" w:hAnsiTheme="majorBidi" w:cstheme="majorBidi"/>
        </w:rPr>
        <w:t xml:space="preserve"> The judges held that while it is not necessary that the group pursues solely criminal aims, it is important that the participants of the group are aware that crimes will be committed in the ordinary course of events.</w:t>
      </w:r>
      <w:r w:rsidRPr="00D8671A">
        <w:rPr>
          <w:rStyle w:val="FootnoteReference"/>
          <w:rFonts w:asciiTheme="majorBidi" w:hAnsiTheme="majorBidi" w:cstheme="majorBidi"/>
        </w:rPr>
        <w:t xml:space="preserve"> </w:t>
      </w:r>
      <w:r w:rsidRPr="00D8671A">
        <w:rPr>
          <w:rStyle w:val="FootnoteReference"/>
          <w:rFonts w:asciiTheme="majorBidi" w:hAnsiTheme="majorBidi" w:cstheme="majorBidi"/>
        </w:rPr>
        <w:footnoteReference w:id="110"/>
      </w:r>
      <w:r w:rsidRPr="00D8671A">
        <w:rPr>
          <w:rFonts w:asciiTheme="majorBidi" w:hAnsiTheme="majorBidi" w:cstheme="majorBidi"/>
        </w:rPr>
        <w:t xml:space="preserve">  On the basis of these elements, the Majority in </w:t>
      </w:r>
      <w:r w:rsidRPr="00D8671A">
        <w:rPr>
          <w:rFonts w:asciiTheme="majorBidi" w:hAnsiTheme="majorBidi" w:cstheme="majorBidi"/>
          <w:i/>
        </w:rPr>
        <w:t xml:space="preserve">Katanga </w:t>
      </w:r>
      <w:r w:rsidR="008F4CBC" w:rsidRPr="00D8671A">
        <w:rPr>
          <w:rFonts w:asciiTheme="majorBidi" w:hAnsiTheme="majorBidi" w:cstheme="majorBidi"/>
        </w:rPr>
        <w:t xml:space="preserve">concluded </w:t>
      </w:r>
      <w:r w:rsidRPr="00D8671A">
        <w:rPr>
          <w:rFonts w:asciiTheme="majorBidi" w:hAnsiTheme="majorBidi" w:cstheme="majorBidi"/>
        </w:rPr>
        <w:t xml:space="preserve">that </w:t>
      </w:r>
      <w:r w:rsidR="008F4CBC" w:rsidRPr="00D8671A">
        <w:rPr>
          <w:rFonts w:asciiTheme="majorBidi" w:hAnsiTheme="majorBidi" w:cstheme="majorBidi"/>
        </w:rPr>
        <w:t xml:space="preserve">the </w:t>
      </w:r>
      <w:r w:rsidRPr="00D8671A">
        <w:rPr>
          <w:rFonts w:asciiTheme="majorBidi" w:hAnsiTheme="majorBidi" w:cstheme="majorBidi"/>
        </w:rPr>
        <w:t>Ngiti militia was a self-contained group acting with the primary purpose of regaining Bogoro through the attack on Hema civilians.</w:t>
      </w:r>
      <w:r w:rsidRPr="00D8671A">
        <w:rPr>
          <w:rStyle w:val="FootnoteReference"/>
          <w:rFonts w:asciiTheme="majorBidi" w:hAnsiTheme="majorBidi" w:cstheme="majorBidi"/>
        </w:rPr>
        <w:footnoteReference w:id="111"/>
      </w:r>
      <w:r w:rsidRPr="00D8671A">
        <w:rPr>
          <w:rFonts w:asciiTheme="majorBidi" w:hAnsiTheme="majorBidi" w:cstheme="majorBidi"/>
        </w:rPr>
        <w:t xml:space="preserve"> The Majority inferred the common purpose from the way in which Bogoro was attacked - in the early morning hours when the civilians were still sleeping. The assault involved looting and destruction of property and violence against the civilian population.</w:t>
      </w:r>
      <w:r w:rsidRPr="00D8671A">
        <w:rPr>
          <w:rStyle w:val="FootnoteReference"/>
          <w:rFonts w:asciiTheme="majorBidi" w:hAnsiTheme="majorBidi" w:cstheme="majorBidi"/>
        </w:rPr>
        <w:footnoteReference w:id="112"/>
      </w:r>
      <w:r w:rsidRPr="00D8671A">
        <w:rPr>
          <w:rFonts w:asciiTheme="majorBidi" w:hAnsiTheme="majorBidi" w:cstheme="majorBidi"/>
        </w:rPr>
        <w:t xml:space="preserve"> Judge van den Wyngaert dissented on this point, arguing that there was no sufficient evidence </w:t>
      </w:r>
      <w:r w:rsidRPr="00D8671A">
        <w:rPr>
          <w:rFonts w:asciiTheme="majorBidi" w:hAnsiTheme="majorBidi" w:cstheme="majorBidi"/>
        </w:rPr>
        <w:lastRenderedPageBreak/>
        <w:t>to establish the existence of the common purpose to attack the Hema civilians.</w:t>
      </w:r>
      <w:r w:rsidRPr="00D8671A">
        <w:rPr>
          <w:rStyle w:val="FootnoteReference"/>
          <w:rFonts w:asciiTheme="majorBidi" w:hAnsiTheme="majorBidi" w:cstheme="majorBidi"/>
        </w:rPr>
        <w:footnoteReference w:id="113"/>
      </w:r>
      <w:r w:rsidRPr="00D8671A">
        <w:rPr>
          <w:rFonts w:asciiTheme="majorBidi" w:hAnsiTheme="majorBidi" w:cstheme="majorBidi"/>
        </w:rPr>
        <w:t xml:space="preserve"> She maintained that it is plausible that the UPC – the legitimate military target – was the primary object of the attack.</w:t>
      </w:r>
      <w:r w:rsidRPr="00D8671A">
        <w:rPr>
          <w:rStyle w:val="FootnoteReference"/>
          <w:rFonts w:asciiTheme="majorBidi" w:hAnsiTheme="majorBidi" w:cstheme="majorBidi"/>
        </w:rPr>
        <w:footnoteReference w:id="114"/>
      </w:r>
      <w:r w:rsidRPr="00D8671A">
        <w:rPr>
          <w:rFonts w:asciiTheme="majorBidi" w:hAnsiTheme="majorBidi" w:cstheme="majorBidi"/>
        </w:rPr>
        <w:t xml:space="preserve"> Judge van den Wyngaert questioned the Majority’s assumption that the attack on the UPC equals the attack on the entire Hema population</w:t>
      </w:r>
      <w:r w:rsidR="008F4CBC" w:rsidRPr="00D8671A">
        <w:rPr>
          <w:rFonts w:asciiTheme="majorBidi" w:hAnsiTheme="majorBidi" w:cstheme="majorBidi"/>
        </w:rPr>
        <w:t xml:space="preserve">; </w:t>
      </w:r>
      <w:r w:rsidRPr="00D8671A">
        <w:rPr>
          <w:rFonts w:asciiTheme="majorBidi" w:hAnsiTheme="majorBidi" w:cstheme="majorBidi"/>
        </w:rPr>
        <w:t>it is one thing to regard them as an enemy, but quite another - to deny their right to exist.</w:t>
      </w:r>
      <w:r w:rsidRPr="00D8671A">
        <w:rPr>
          <w:rStyle w:val="FootnoteReference"/>
          <w:rFonts w:asciiTheme="majorBidi" w:hAnsiTheme="majorBidi" w:cstheme="majorBidi"/>
        </w:rPr>
        <w:footnoteReference w:id="115"/>
      </w:r>
      <w:r w:rsidRPr="00D8671A">
        <w:rPr>
          <w:rFonts w:asciiTheme="majorBidi" w:hAnsiTheme="majorBidi" w:cstheme="majorBidi"/>
        </w:rPr>
        <w:t xml:space="preserve">  </w:t>
      </w:r>
    </w:p>
    <w:p w14:paraId="241147D3" w14:textId="31B9CED0" w:rsidR="005530A3" w:rsidRPr="00D8671A" w:rsidRDefault="005530A3" w:rsidP="00566D5D">
      <w:pPr>
        <w:spacing w:after="0" w:line="240" w:lineRule="auto"/>
        <w:ind w:firstLine="720"/>
        <w:rPr>
          <w:rFonts w:asciiTheme="majorBidi" w:eastAsia="Times New Roman" w:hAnsiTheme="majorBidi" w:cstheme="majorBidi"/>
        </w:rPr>
      </w:pPr>
      <w:r w:rsidRPr="00D8671A">
        <w:rPr>
          <w:rFonts w:asciiTheme="majorBidi" w:hAnsiTheme="majorBidi" w:cstheme="majorBidi"/>
        </w:rPr>
        <w:t xml:space="preserve">The group requirement was challenged on another two occasions. In </w:t>
      </w:r>
      <w:r w:rsidR="00A25D01" w:rsidRPr="00D8671A">
        <w:rPr>
          <w:rFonts w:asciiTheme="majorBidi" w:hAnsiTheme="majorBidi" w:cstheme="majorBidi"/>
          <w:i/>
        </w:rPr>
        <w:t>Muth</w:t>
      </w:r>
      <w:r w:rsidRPr="00D8671A">
        <w:rPr>
          <w:rFonts w:asciiTheme="majorBidi" w:hAnsiTheme="majorBidi" w:cstheme="majorBidi"/>
          <w:i/>
        </w:rPr>
        <w:t>u</w:t>
      </w:r>
      <w:r w:rsidR="00A25D01" w:rsidRPr="00D8671A">
        <w:rPr>
          <w:rFonts w:asciiTheme="majorBidi" w:hAnsiTheme="majorBidi" w:cstheme="majorBidi"/>
          <w:i/>
        </w:rPr>
        <w:t>a</w:t>
      </w:r>
      <w:r w:rsidRPr="00D8671A">
        <w:rPr>
          <w:rFonts w:asciiTheme="majorBidi" w:hAnsiTheme="majorBidi" w:cstheme="majorBidi"/>
          <w:i/>
        </w:rPr>
        <w:t>ra</w:t>
      </w:r>
      <w:r w:rsidRPr="00D8671A">
        <w:rPr>
          <w:rFonts w:asciiTheme="majorBidi" w:hAnsiTheme="majorBidi" w:cstheme="majorBidi"/>
        </w:rPr>
        <w:t>, the prosecution charged one of the accused - Mohammed Ali – with responsibility under Article 25(3)(d) for</w:t>
      </w:r>
      <w:r w:rsidRPr="00D8671A">
        <w:rPr>
          <w:rFonts w:asciiTheme="majorBidi" w:eastAsia="Times New Roman" w:hAnsiTheme="majorBidi" w:cstheme="majorBidi"/>
        </w:rPr>
        <w:t xml:space="preserve"> </w:t>
      </w:r>
      <w:r w:rsidRPr="00D8671A">
        <w:rPr>
          <w:rFonts w:asciiTheme="majorBidi" w:hAnsiTheme="majorBidi" w:cstheme="majorBidi"/>
        </w:rPr>
        <w:t>contributing to the commission of crimes in Kenya by instructing Kenyan police and ensuring their response to post-election violence was ineffective</w:t>
      </w:r>
      <w:r w:rsidR="00A25D01" w:rsidRPr="00D8671A">
        <w:rPr>
          <w:rFonts w:asciiTheme="majorBidi" w:hAnsiTheme="majorBidi" w:cstheme="majorBidi"/>
        </w:rPr>
        <w:t>.</w:t>
      </w:r>
      <w:r w:rsidRPr="00D8671A">
        <w:rPr>
          <w:rStyle w:val="FootnoteReference"/>
          <w:rFonts w:asciiTheme="majorBidi" w:hAnsiTheme="majorBidi" w:cstheme="majorBidi"/>
        </w:rPr>
        <w:footnoteReference w:id="116"/>
      </w:r>
      <w:r w:rsidRPr="00D8671A">
        <w:rPr>
          <w:rFonts w:asciiTheme="majorBidi" w:hAnsiTheme="majorBidi" w:cstheme="majorBidi"/>
        </w:rPr>
        <w:t xml:space="preserve"> The Pre-Trial Chamber held a prerequisite for Ali’s criminal responsibility for crimes allegedly committed </w:t>
      </w:r>
      <w:r w:rsidRPr="00D8671A">
        <w:rPr>
          <w:rFonts w:asciiTheme="majorBidi" w:hAnsiTheme="majorBidi" w:cstheme="majorBidi"/>
          <w:i/>
        </w:rPr>
        <w:t xml:space="preserve">through </w:t>
      </w:r>
      <w:r w:rsidRPr="00D8671A">
        <w:rPr>
          <w:rFonts w:asciiTheme="majorBidi" w:hAnsiTheme="majorBidi" w:cstheme="majorBidi"/>
        </w:rPr>
        <w:t>the Kenyan police, would have been the finding that Kenyan police indeed carried out the objective elements of the crimes charged, but since the evidence in this regard was insufficient, the crimes could not be attributed to Ali.</w:t>
      </w:r>
      <w:r w:rsidRPr="00D8671A">
        <w:rPr>
          <w:rStyle w:val="FootnoteReference"/>
          <w:rFonts w:asciiTheme="majorBidi" w:hAnsiTheme="majorBidi" w:cstheme="majorBidi"/>
        </w:rPr>
        <w:footnoteReference w:id="117"/>
      </w:r>
      <w:r w:rsidRPr="00D8671A">
        <w:rPr>
          <w:rFonts w:asciiTheme="majorBidi" w:hAnsiTheme="majorBidi" w:cstheme="majorBidi"/>
        </w:rPr>
        <w:t xml:space="preserve"> Likewise in </w:t>
      </w:r>
      <w:r w:rsidRPr="00D8671A">
        <w:rPr>
          <w:rFonts w:asciiTheme="majorBidi" w:hAnsiTheme="majorBidi" w:cstheme="majorBidi"/>
          <w:i/>
        </w:rPr>
        <w:t>Mbarushimana</w:t>
      </w:r>
      <w:r w:rsidRPr="00D8671A">
        <w:rPr>
          <w:rFonts w:asciiTheme="majorBidi" w:hAnsiTheme="majorBidi" w:cstheme="majorBidi"/>
        </w:rPr>
        <w:t xml:space="preserve">, the Majority was unable to conclude that the armed group in question – the Democratic Forces for the Liberation of Rwanda (FDLR) </w:t>
      </w:r>
      <w:r w:rsidR="008F4CBC" w:rsidRPr="00D8671A">
        <w:rPr>
          <w:rFonts w:asciiTheme="majorBidi" w:hAnsiTheme="majorBidi" w:cstheme="majorBidi"/>
        </w:rPr>
        <w:t>–</w:t>
      </w:r>
      <w:r w:rsidRPr="00D8671A">
        <w:rPr>
          <w:rFonts w:asciiTheme="majorBidi" w:hAnsiTheme="majorBidi" w:cstheme="majorBidi"/>
        </w:rPr>
        <w:t xml:space="preserve"> </w:t>
      </w:r>
      <w:r w:rsidR="008F4CBC" w:rsidRPr="00D8671A">
        <w:rPr>
          <w:rFonts w:asciiTheme="majorBidi" w:hAnsiTheme="majorBidi" w:cstheme="majorBidi"/>
        </w:rPr>
        <w:t>did in fact pursue</w:t>
      </w:r>
      <w:r w:rsidRPr="00D8671A">
        <w:rPr>
          <w:rFonts w:asciiTheme="majorBidi" w:hAnsiTheme="majorBidi" w:cstheme="majorBidi"/>
        </w:rPr>
        <w:t xml:space="preserve"> the policy of attacking the civilian population in the Kivu region of the Democratic Republic of Congo.</w:t>
      </w:r>
      <w:r w:rsidRPr="00D8671A">
        <w:rPr>
          <w:rStyle w:val="FootnoteReference"/>
          <w:rFonts w:asciiTheme="majorBidi" w:hAnsiTheme="majorBidi" w:cstheme="majorBidi"/>
        </w:rPr>
        <w:footnoteReference w:id="118"/>
      </w:r>
      <w:r w:rsidRPr="00D8671A">
        <w:rPr>
          <w:rFonts w:asciiTheme="majorBidi" w:hAnsiTheme="majorBidi" w:cstheme="majorBidi"/>
        </w:rPr>
        <w:t xml:space="preserve"> This conclusion led </w:t>
      </w:r>
      <w:r w:rsidR="008F4CBC" w:rsidRPr="00D8671A">
        <w:rPr>
          <w:rFonts w:asciiTheme="majorBidi" w:hAnsiTheme="majorBidi" w:cstheme="majorBidi"/>
        </w:rPr>
        <w:t xml:space="preserve">the </w:t>
      </w:r>
      <w:r w:rsidRPr="00D8671A">
        <w:rPr>
          <w:rFonts w:asciiTheme="majorBidi" w:hAnsiTheme="majorBidi" w:cstheme="majorBidi"/>
        </w:rPr>
        <w:t xml:space="preserve">Majority to believe that the FDLR does not constitute a </w:t>
      </w:r>
      <w:r w:rsidR="00F22C52" w:rsidRPr="00D8671A">
        <w:rPr>
          <w:rFonts w:asciiTheme="majorBidi" w:hAnsiTheme="majorBidi" w:cstheme="majorBidi"/>
        </w:rPr>
        <w:t>“</w:t>
      </w:r>
      <w:r w:rsidRPr="00D8671A">
        <w:rPr>
          <w:rFonts w:asciiTheme="majorBidi" w:hAnsiTheme="majorBidi" w:cstheme="majorBidi"/>
        </w:rPr>
        <w:t>group of persons acting with a common purpose</w:t>
      </w:r>
      <w:r w:rsidR="00F22C52" w:rsidRPr="00D8671A">
        <w:rPr>
          <w:rFonts w:asciiTheme="majorBidi" w:hAnsiTheme="majorBidi" w:cstheme="majorBidi"/>
        </w:rPr>
        <w:t>”</w:t>
      </w:r>
      <w:r w:rsidRPr="00D8671A">
        <w:rPr>
          <w:rFonts w:asciiTheme="majorBidi" w:hAnsiTheme="majorBidi" w:cstheme="majorBidi"/>
        </w:rPr>
        <w:t xml:space="preserve"> as required by Article 25(3)(d)</w:t>
      </w:r>
      <w:r w:rsidR="008F4CBC" w:rsidRPr="00D8671A">
        <w:rPr>
          <w:rFonts w:asciiTheme="majorBidi" w:hAnsiTheme="majorBidi" w:cstheme="majorBidi"/>
        </w:rPr>
        <w:t>.</w:t>
      </w:r>
      <w:r w:rsidRPr="00D8671A">
        <w:rPr>
          <w:rStyle w:val="FootnoteReference"/>
          <w:rFonts w:asciiTheme="majorBidi" w:hAnsiTheme="majorBidi" w:cstheme="majorBidi"/>
        </w:rPr>
        <w:footnoteReference w:id="119"/>
      </w:r>
    </w:p>
    <w:p w14:paraId="1DB1A5DD" w14:textId="466121C7" w:rsidR="005530A3" w:rsidRPr="00D8671A" w:rsidRDefault="005530A3" w:rsidP="00D8671A">
      <w:pPr>
        <w:spacing w:after="0" w:line="240" w:lineRule="auto"/>
        <w:rPr>
          <w:rFonts w:asciiTheme="majorBidi" w:hAnsiTheme="majorBidi" w:cstheme="majorBidi"/>
        </w:rPr>
      </w:pPr>
      <w:r w:rsidRPr="00D8671A">
        <w:rPr>
          <w:rFonts w:asciiTheme="majorBidi" w:hAnsiTheme="majorBidi" w:cstheme="majorBidi"/>
        </w:rPr>
        <w:t>The</w:t>
      </w:r>
      <w:r w:rsidR="00D2790F" w:rsidRPr="00D8671A">
        <w:rPr>
          <w:rFonts w:asciiTheme="majorBidi" w:hAnsiTheme="majorBidi" w:cstheme="majorBidi"/>
        </w:rPr>
        <w:t xml:space="preserve"> level of contribution to the crime </w:t>
      </w:r>
      <w:r w:rsidRPr="00D8671A">
        <w:rPr>
          <w:rFonts w:asciiTheme="majorBidi" w:hAnsiTheme="majorBidi" w:cstheme="majorBidi"/>
        </w:rPr>
        <w:t>is far from being settled in the jurisprudence of the ICC. In</w:t>
      </w:r>
      <w:r w:rsidRPr="00D8671A">
        <w:rPr>
          <w:rFonts w:asciiTheme="majorBidi" w:hAnsiTheme="majorBidi" w:cstheme="majorBidi"/>
          <w:i/>
        </w:rPr>
        <w:t xml:space="preserve"> Mbarushimana, </w:t>
      </w:r>
      <w:r w:rsidRPr="00D8671A">
        <w:rPr>
          <w:rFonts w:asciiTheme="majorBidi" w:hAnsiTheme="majorBidi" w:cstheme="majorBidi"/>
        </w:rPr>
        <w:t xml:space="preserve">the Pre-Trial Chamber felt that criminalizing </w:t>
      </w:r>
      <w:r w:rsidRPr="00D8671A">
        <w:rPr>
          <w:rFonts w:asciiTheme="majorBidi" w:hAnsiTheme="majorBidi" w:cstheme="majorBidi"/>
          <w:i/>
        </w:rPr>
        <w:t>any</w:t>
      </w:r>
      <w:r w:rsidRPr="00D8671A">
        <w:rPr>
          <w:rFonts w:asciiTheme="majorBidi" w:hAnsiTheme="majorBidi" w:cstheme="majorBidi"/>
        </w:rPr>
        <w:t xml:space="preserve"> contribution to the group crime under subparagraph (d) would be inappropriate because:</w:t>
      </w:r>
      <w:r w:rsidRPr="00D8671A">
        <w:rPr>
          <w:rStyle w:val="FootnoteReference"/>
          <w:rFonts w:asciiTheme="majorBidi" w:hAnsiTheme="majorBidi" w:cstheme="majorBidi"/>
        </w:rPr>
        <w:footnoteReference w:id="120"/>
      </w:r>
      <w:r w:rsidRPr="00D8671A">
        <w:rPr>
          <w:rFonts w:asciiTheme="majorBidi" w:hAnsiTheme="majorBidi" w:cstheme="majorBidi"/>
        </w:rPr>
        <w:t xml:space="preserve"> </w:t>
      </w:r>
    </w:p>
    <w:p w14:paraId="5E819213" w14:textId="6F061B21" w:rsidR="005530A3" w:rsidRPr="00D8671A" w:rsidRDefault="005530A3" w:rsidP="00D8671A">
      <w:pPr>
        <w:widowControl w:val="0"/>
        <w:autoSpaceDE w:val="0"/>
        <w:autoSpaceDN w:val="0"/>
        <w:adjustRightInd w:val="0"/>
        <w:spacing w:after="0" w:line="240" w:lineRule="auto"/>
        <w:ind w:left="567"/>
        <w:rPr>
          <w:rFonts w:asciiTheme="majorBidi" w:eastAsiaTheme="minorEastAsia" w:hAnsiTheme="majorBidi" w:cstheme="majorBidi"/>
          <w:lang w:val="en-US"/>
        </w:rPr>
      </w:pPr>
      <w:r w:rsidRPr="00D8671A">
        <w:rPr>
          <w:rFonts w:asciiTheme="majorBidi" w:eastAsiaTheme="minorEastAsia" w:hAnsiTheme="majorBidi" w:cstheme="majorBidi"/>
          <w:lang w:val="en-US"/>
        </w:rPr>
        <w:t>Without some threshold level of assistance, every landlord, every grocer, every utility provider, every secretary, every janitor or even every taxpayer who does anything which contributes to a group committing international crimes could satisfy the elements of 25(3)(d) liability for their infinitesimal contribution to the crimes committed.</w:t>
      </w:r>
    </w:p>
    <w:p w14:paraId="0C60866D" w14:textId="403FDC3A" w:rsidR="00A573E6" w:rsidRPr="00D8671A" w:rsidRDefault="005530A3" w:rsidP="00566D5D">
      <w:pPr>
        <w:widowControl w:val="0"/>
        <w:autoSpaceDE w:val="0"/>
        <w:autoSpaceDN w:val="0"/>
        <w:adjustRightInd w:val="0"/>
        <w:spacing w:after="0" w:line="240" w:lineRule="auto"/>
        <w:ind w:firstLine="567"/>
        <w:rPr>
          <w:rFonts w:asciiTheme="majorBidi" w:hAnsiTheme="majorBidi" w:cstheme="majorBidi"/>
        </w:rPr>
      </w:pPr>
      <w:r w:rsidRPr="00D8671A">
        <w:rPr>
          <w:rFonts w:asciiTheme="majorBidi" w:hAnsiTheme="majorBidi" w:cstheme="majorBidi"/>
        </w:rPr>
        <w:t xml:space="preserve">At the same time, the judges referred to Article 25(3)(d) as a </w:t>
      </w:r>
      <w:r w:rsidR="00F22C52" w:rsidRPr="00D8671A">
        <w:rPr>
          <w:rFonts w:asciiTheme="majorBidi" w:hAnsiTheme="majorBidi" w:cstheme="majorBidi"/>
        </w:rPr>
        <w:t>“</w:t>
      </w:r>
      <w:r w:rsidRPr="00D8671A">
        <w:rPr>
          <w:rFonts w:asciiTheme="majorBidi" w:hAnsiTheme="majorBidi" w:cstheme="majorBidi"/>
        </w:rPr>
        <w:t>residual</w:t>
      </w:r>
      <w:r w:rsidR="00F22C52" w:rsidRPr="00D8671A">
        <w:rPr>
          <w:rFonts w:asciiTheme="majorBidi" w:hAnsiTheme="majorBidi" w:cstheme="majorBidi"/>
        </w:rPr>
        <w:t>”</w:t>
      </w:r>
      <w:r w:rsidRPr="00D8671A">
        <w:rPr>
          <w:rFonts w:asciiTheme="majorBidi" w:hAnsiTheme="majorBidi" w:cstheme="majorBidi"/>
        </w:rPr>
        <w:t xml:space="preserve"> form of accessorial liability, which is at the bottom of the value</w:t>
      </w:r>
      <w:r w:rsidR="00C06A3C" w:rsidRPr="00D8671A">
        <w:rPr>
          <w:rFonts w:asciiTheme="majorBidi" w:hAnsiTheme="majorBidi" w:cstheme="majorBidi"/>
        </w:rPr>
        <w:t>-</w:t>
      </w:r>
      <w:r w:rsidRPr="00D8671A">
        <w:rPr>
          <w:rFonts w:asciiTheme="majorBidi" w:hAnsiTheme="majorBidi" w:cstheme="majorBidi"/>
        </w:rPr>
        <w:t>oriented hierarchy of participation in a crime.</w:t>
      </w:r>
      <w:r w:rsidRPr="00D8671A">
        <w:rPr>
          <w:rStyle w:val="FootnoteReference"/>
          <w:rFonts w:asciiTheme="majorBidi" w:eastAsiaTheme="minorEastAsia" w:hAnsiTheme="majorBidi" w:cstheme="majorBidi"/>
          <w:lang w:val="en-US"/>
        </w:rPr>
        <w:footnoteReference w:id="121"/>
      </w:r>
      <w:r w:rsidRPr="00D8671A">
        <w:rPr>
          <w:rFonts w:asciiTheme="majorBidi" w:eastAsiaTheme="minorEastAsia" w:hAnsiTheme="majorBidi" w:cstheme="majorBidi"/>
          <w:lang w:val="en-US"/>
        </w:rPr>
        <w:t xml:space="preserve"> </w:t>
      </w:r>
      <w:r w:rsidRPr="00D8671A">
        <w:rPr>
          <w:rFonts w:asciiTheme="majorBidi" w:hAnsiTheme="majorBidi" w:cstheme="majorBidi"/>
        </w:rPr>
        <w:t xml:space="preserve"> Thus, “article </w:t>
      </w:r>
      <w:r w:rsidRPr="00D8671A">
        <w:rPr>
          <w:rFonts w:asciiTheme="majorBidi" w:eastAsiaTheme="minorEastAsia" w:hAnsiTheme="majorBidi" w:cstheme="majorBidi"/>
          <w:lang w:val="en-US"/>
        </w:rPr>
        <w:t xml:space="preserve">25(3)(d)'s contributions </w:t>
      </w:r>
      <w:r w:rsidR="00F22C52" w:rsidRPr="00D8671A">
        <w:rPr>
          <w:rFonts w:asciiTheme="majorBidi" w:eastAsiaTheme="minorEastAsia" w:hAnsiTheme="majorBidi" w:cstheme="majorBidi"/>
          <w:lang w:val="en-US"/>
        </w:rPr>
        <w:t>‘</w:t>
      </w:r>
      <w:r w:rsidRPr="00D8671A">
        <w:rPr>
          <w:rFonts w:asciiTheme="majorBidi" w:eastAsiaTheme="minorEastAsia" w:hAnsiTheme="majorBidi" w:cstheme="majorBidi"/>
          <w:lang w:val="en-US"/>
        </w:rPr>
        <w:t>[i]n any other way</w:t>
      </w:r>
      <w:r w:rsidR="00F22C52" w:rsidRPr="00D8671A">
        <w:rPr>
          <w:rFonts w:asciiTheme="majorBidi" w:eastAsiaTheme="minorEastAsia" w:hAnsiTheme="majorBidi" w:cstheme="majorBidi"/>
          <w:lang w:val="en-US"/>
        </w:rPr>
        <w:t>’</w:t>
      </w:r>
      <w:r w:rsidRPr="00D8671A">
        <w:rPr>
          <w:rFonts w:asciiTheme="majorBidi" w:eastAsiaTheme="minorEastAsia" w:hAnsiTheme="majorBidi" w:cstheme="majorBidi"/>
          <w:lang w:val="en-US"/>
        </w:rPr>
        <w:t xml:space="preserve"> must be less than that required for liability under article 25(3)(a)-(c).”</w:t>
      </w:r>
      <w:r w:rsidRPr="00D8671A">
        <w:rPr>
          <w:rStyle w:val="FootnoteReference"/>
          <w:rFonts w:asciiTheme="majorBidi" w:hAnsiTheme="majorBidi" w:cstheme="majorBidi"/>
        </w:rPr>
        <w:footnoteReference w:id="122"/>
      </w:r>
      <w:r w:rsidRPr="00D8671A">
        <w:rPr>
          <w:rFonts w:asciiTheme="majorBidi" w:eastAsiaTheme="minorEastAsia" w:hAnsiTheme="majorBidi" w:cstheme="majorBidi"/>
          <w:lang w:val="en-US"/>
        </w:rPr>
        <w:t xml:space="preserve"> Keeping in mind these conflicting considerations, </w:t>
      </w:r>
      <w:r w:rsidRPr="00D8671A">
        <w:rPr>
          <w:rFonts w:asciiTheme="majorBidi" w:hAnsiTheme="majorBidi" w:cstheme="majorBidi"/>
        </w:rPr>
        <w:t xml:space="preserve">the Majority in </w:t>
      </w:r>
      <w:r w:rsidRPr="00D8671A">
        <w:rPr>
          <w:rFonts w:asciiTheme="majorBidi" w:hAnsiTheme="majorBidi" w:cstheme="majorBidi"/>
          <w:i/>
        </w:rPr>
        <w:t>Mbarushimana</w:t>
      </w:r>
      <w:r w:rsidRPr="00D8671A">
        <w:rPr>
          <w:rFonts w:asciiTheme="majorBidi" w:hAnsiTheme="majorBidi" w:cstheme="majorBidi"/>
        </w:rPr>
        <w:t xml:space="preserve"> decided that a contribution to a commission of the crime acting with a common purpose must be at least significant. The Chamber drew its inspiration, when deciding on the appropriate threshold, from the jurisprudence of the ad hoc tribunals pertaining to the joint criminal enterprise.</w:t>
      </w:r>
      <w:r w:rsidRPr="00D8671A">
        <w:rPr>
          <w:rStyle w:val="FootnoteReference"/>
          <w:rFonts w:asciiTheme="majorBidi" w:hAnsiTheme="majorBidi" w:cstheme="majorBidi"/>
        </w:rPr>
        <w:t xml:space="preserve"> </w:t>
      </w:r>
      <w:r w:rsidRPr="00D8671A">
        <w:rPr>
          <w:rStyle w:val="FootnoteReference"/>
          <w:rFonts w:asciiTheme="majorBidi" w:hAnsiTheme="majorBidi" w:cstheme="majorBidi"/>
        </w:rPr>
        <w:footnoteReference w:id="123"/>
      </w:r>
      <w:r w:rsidRPr="00D8671A">
        <w:rPr>
          <w:rFonts w:asciiTheme="majorBidi" w:hAnsiTheme="majorBidi" w:cstheme="majorBidi"/>
        </w:rPr>
        <w:t xml:space="preserve"> The Chamber used the similarity between these two forms of liability as a justification for borrowing the JCE’s ‘significant contribution’ requirement from the case law of the ICTY and ICTR.</w:t>
      </w:r>
      <w:r w:rsidRPr="00D8671A">
        <w:rPr>
          <w:rStyle w:val="FootnoteReference"/>
          <w:rFonts w:asciiTheme="majorBidi" w:hAnsiTheme="majorBidi" w:cstheme="majorBidi"/>
        </w:rPr>
        <w:footnoteReference w:id="124"/>
      </w:r>
    </w:p>
    <w:p w14:paraId="038F650C" w14:textId="5ED2688A" w:rsidR="005530A3" w:rsidRPr="00D8671A" w:rsidRDefault="005530A3" w:rsidP="00D8671A">
      <w:pPr>
        <w:widowControl w:val="0"/>
        <w:autoSpaceDE w:val="0"/>
        <w:autoSpaceDN w:val="0"/>
        <w:adjustRightInd w:val="0"/>
        <w:spacing w:after="0" w:line="240" w:lineRule="auto"/>
        <w:rPr>
          <w:rFonts w:asciiTheme="majorBidi" w:hAnsiTheme="majorBidi" w:cstheme="majorBidi"/>
        </w:rPr>
      </w:pPr>
      <w:r w:rsidRPr="00D8671A">
        <w:rPr>
          <w:rFonts w:asciiTheme="majorBidi" w:hAnsiTheme="majorBidi" w:cstheme="majorBidi"/>
        </w:rPr>
        <w:t xml:space="preserve">In </w:t>
      </w:r>
      <w:r w:rsidRPr="00D8671A">
        <w:rPr>
          <w:rFonts w:asciiTheme="majorBidi" w:hAnsiTheme="majorBidi" w:cstheme="majorBidi"/>
          <w:i/>
        </w:rPr>
        <w:t>Katanga</w:t>
      </w:r>
      <w:r w:rsidRPr="00D8671A">
        <w:rPr>
          <w:rFonts w:asciiTheme="majorBidi" w:hAnsiTheme="majorBidi" w:cstheme="majorBidi"/>
        </w:rPr>
        <w:t xml:space="preserve">, the Trial Chamber established a formula for what the </w:t>
      </w:r>
      <w:r w:rsidR="00F22C52" w:rsidRPr="00D8671A">
        <w:rPr>
          <w:rFonts w:asciiTheme="majorBidi" w:hAnsiTheme="majorBidi" w:cstheme="majorBidi"/>
        </w:rPr>
        <w:t>“</w:t>
      </w:r>
      <w:r w:rsidRPr="00D8671A">
        <w:rPr>
          <w:rFonts w:asciiTheme="majorBidi" w:hAnsiTheme="majorBidi" w:cstheme="majorBidi"/>
        </w:rPr>
        <w:t>significant contribution</w:t>
      </w:r>
      <w:r w:rsidR="00F22C52" w:rsidRPr="00D8671A">
        <w:rPr>
          <w:rFonts w:asciiTheme="majorBidi" w:hAnsiTheme="majorBidi" w:cstheme="majorBidi"/>
        </w:rPr>
        <w:t>”</w:t>
      </w:r>
      <w:r w:rsidRPr="00D8671A">
        <w:rPr>
          <w:rFonts w:asciiTheme="majorBidi" w:hAnsiTheme="majorBidi" w:cstheme="majorBidi"/>
        </w:rPr>
        <w:t xml:space="preserve"> implies: it has to either affect the occurrence of the crime or the way in which it was committed.</w:t>
      </w:r>
      <w:r w:rsidRPr="00D8671A">
        <w:rPr>
          <w:rStyle w:val="FootnoteReference"/>
          <w:rFonts w:asciiTheme="majorBidi" w:hAnsiTheme="majorBidi" w:cstheme="majorBidi"/>
        </w:rPr>
        <w:footnoteReference w:id="125"/>
      </w:r>
      <w:r w:rsidR="00B01C98" w:rsidRPr="00D8671A">
        <w:rPr>
          <w:rFonts w:asciiTheme="majorBidi" w:hAnsiTheme="majorBidi" w:cstheme="majorBidi"/>
        </w:rPr>
        <w:t xml:space="preserve"> </w:t>
      </w:r>
      <w:r w:rsidRPr="00D8671A">
        <w:rPr>
          <w:rFonts w:asciiTheme="majorBidi" w:hAnsiTheme="majorBidi" w:cstheme="majorBidi"/>
        </w:rPr>
        <w:t xml:space="preserve">As to the methodology of determining the level of contribution, the judges in both </w:t>
      </w:r>
      <w:r w:rsidRPr="00D8671A">
        <w:rPr>
          <w:rFonts w:asciiTheme="majorBidi" w:hAnsiTheme="majorBidi" w:cstheme="majorBidi"/>
          <w:i/>
        </w:rPr>
        <w:t>Katanga</w:t>
      </w:r>
      <w:r w:rsidRPr="00D8671A">
        <w:rPr>
          <w:rFonts w:asciiTheme="majorBidi" w:hAnsiTheme="majorBidi" w:cstheme="majorBidi"/>
        </w:rPr>
        <w:t xml:space="preserve"> and </w:t>
      </w:r>
      <w:r w:rsidRPr="00D8671A">
        <w:rPr>
          <w:rFonts w:asciiTheme="majorBidi" w:hAnsiTheme="majorBidi" w:cstheme="majorBidi"/>
          <w:i/>
        </w:rPr>
        <w:t>Mbarushimana</w:t>
      </w:r>
      <w:r w:rsidRPr="00D8671A">
        <w:rPr>
          <w:rFonts w:asciiTheme="majorBidi" w:hAnsiTheme="majorBidi" w:cstheme="majorBidi"/>
        </w:rPr>
        <w:t xml:space="preserve"> rightly stressed that the assessment has to be </w:t>
      </w:r>
      <w:r w:rsidR="005D3C61" w:rsidRPr="00D8671A">
        <w:rPr>
          <w:rFonts w:asciiTheme="majorBidi" w:hAnsiTheme="majorBidi" w:cstheme="majorBidi"/>
        </w:rPr>
        <w:t xml:space="preserve">carried out </w:t>
      </w:r>
      <w:r w:rsidRPr="00D8671A">
        <w:rPr>
          <w:rFonts w:asciiTheme="majorBidi" w:hAnsiTheme="majorBidi" w:cstheme="majorBidi"/>
        </w:rPr>
        <w:t xml:space="preserve">on </w:t>
      </w:r>
      <w:r w:rsidRPr="00D8671A">
        <w:rPr>
          <w:rFonts w:asciiTheme="majorBidi" w:hAnsiTheme="majorBidi" w:cstheme="majorBidi"/>
        </w:rPr>
        <w:lastRenderedPageBreak/>
        <w:t xml:space="preserve">a case-by-case basis, taking into account such factors as sustained participation after learning about group’s criminality, efforts made to prevent criminal activity, and the role of the accused </w:t>
      </w:r>
      <w:r w:rsidR="005D3C61" w:rsidRPr="00D8671A">
        <w:rPr>
          <w:rFonts w:asciiTheme="majorBidi" w:hAnsiTheme="majorBidi" w:cstheme="majorBidi"/>
        </w:rPr>
        <w:t>vis-à-vis</w:t>
      </w:r>
      <w:r w:rsidRPr="00D8671A">
        <w:rPr>
          <w:rFonts w:asciiTheme="majorBidi" w:hAnsiTheme="majorBidi" w:cstheme="majorBidi"/>
        </w:rPr>
        <w:t xml:space="preserve"> the crimes.</w:t>
      </w:r>
      <w:r w:rsidRPr="00D8671A">
        <w:rPr>
          <w:rStyle w:val="FootnoteReference"/>
          <w:rFonts w:asciiTheme="majorBidi" w:hAnsiTheme="majorBidi" w:cstheme="majorBidi"/>
        </w:rPr>
        <w:footnoteReference w:id="126"/>
      </w:r>
      <w:r w:rsidRPr="00D8671A">
        <w:rPr>
          <w:rFonts w:asciiTheme="majorBidi" w:hAnsiTheme="majorBidi" w:cstheme="majorBidi"/>
        </w:rPr>
        <w:t xml:space="preserve"> </w:t>
      </w:r>
    </w:p>
    <w:p w14:paraId="1BBFC46A" w14:textId="400E6402" w:rsidR="005530A3" w:rsidRPr="00D8671A" w:rsidRDefault="005530A3" w:rsidP="00566D5D">
      <w:pPr>
        <w:widowControl w:val="0"/>
        <w:autoSpaceDE w:val="0"/>
        <w:autoSpaceDN w:val="0"/>
        <w:adjustRightInd w:val="0"/>
        <w:spacing w:after="0" w:line="240" w:lineRule="auto"/>
        <w:ind w:firstLine="720"/>
        <w:rPr>
          <w:rFonts w:asciiTheme="majorBidi" w:eastAsiaTheme="minorEastAsia" w:hAnsiTheme="majorBidi" w:cstheme="majorBidi"/>
          <w:lang w:val="en-US"/>
        </w:rPr>
      </w:pPr>
      <w:r w:rsidRPr="00D8671A">
        <w:rPr>
          <w:rFonts w:asciiTheme="majorBidi" w:hAnsiTheme="majorBidi" w:cstheme="majorBidi"/>
        </w:rPr>
        <w:t>Factually speaking, the judges concluded that Germain Katanga’s contribution to the crimes committed in Bogoro was significant</w:t>
      </w:r>
      <w:r w:rsidR="005D3C61" w:rsidRPr="00D8671A">
        <w:rPr>
          <w:rFonts w:asciiTheme="majorBidi" w:hAnsiTheme="majorBidi" w:cstheme="majorBidi"/>
        </w:rPr>
        <w:t>;</w:t>
      </w:r>
      <w:r w:rsidRPr="00D8671A">
        <w:rPr>
          <w:rFonts w:asciiTheme="majorBidi" w:hAnsiTheme="majorBidi" w:cstheme="majorBidi"/>
        </w:rPr>
        <w:t xml:space="preserve"> his role in facilitating arms supply to the local Ngiti militia allowed it to gain military advantage over the UPC and carry out the plan to attack the civilian population in Bogoro.</w:t>
      </w:r>
      <w:r w:rsidRPr="00D8671A">
        <w:rPr>
          <w:rStyle w:val="FootnoteReference"/>
          <w:rFonts w:asciiTheme="majorBidi" w:hAnsiTheme="majorBidi" w:cstheme="majorBidi"/>
        </w:rPr>
        <w:footnoteReference w:id="127"/>
      </w:r>
      <w:r w:rsidRPr="00D8671A">
        <w:rPr>
          <w:rFonts w:asciiTheme="majorBidi" w:hAnsiTheme="majorBidi" w:cstheme="majorBidi"/>
        </w:rPr>
        <w:t xml:space="preserve"> The weapons and ammunitions arranged for by Katanga ensured the success of the operation in Bogoro.</w:t>
      </w:r>
      <w:r w:rsidRPr="00D8671A">
        <w:rPr>
          <w:rStyle w:val="FootnoteReference"/>
          <w:rFonts w:asciiTheme="majorBidi" w:hAnsiTheme="majorBidi" w:cstheme="majorBidi"/>
        </w:rPr>
        <w:footnoteReference w:id="128"/>
      </w:r>
      <w:r w:rsidRPr="00D8671A">
        <w:rPr>
          <w:rFonts w:asciiTheme="majorBidi" w:hAnsiTheme="majorBidi" w:cstheme="majorBidi"/>
        </w:rPr>
        <w:t xml:space="preserve"> In contrast, the Majority in </w:t>
      </w:r>
      <w:r w:rsidRPr="00D8671A">
        <w:rPr>
          <w:rFonts w:asciiTheme="majorBidi" w:hAnsiTheme="majorBidi" w:cstheme="majorBidi"/>
          <w:i/>
        </w:rPr>
        <w:t xml:space="preserve">Mbarushimana </w:t>
      </w:r>
      <w:r w:rsidRPr="00D8671A">
        <w:rPr>
          <w:rFonts w:asciiTheme="majorBidi" w:hAnsiTheme="majorBidi" w:cstheme="majorBidi"/>
        </w:rPr>
        <w:t xml:space="preserve">held that the accused, whose main responsibility was issuing press releases and who held no real authority within the FDLR, did not provide </w:t>
      </w:r>
      <w:r w:rsidRPr="00D8671A">
        <w:rPr>
          <w:rFonts w:asciiTheme="majorBidi" w:hAnsiTheme="majorBidi" w:cstheme="majorBidi"/>
          <w:i/>
        </w:rPr>
        <w:t>any</w:t>
      </w:r>
      <w:r w:rsidRPr="00D8671A">
        <w:rPr>
          <w:rFonts w:asciiTheme="majorBidi" w:hAnsiTheme="majorBidi" w:cstheme="majorBidi"/>
        </w:rPr>
        <w:t xml:space="preserve"> contribution to the FDLR, not even </w:t>
      </w:r>
      <w:r w:rsidR="005D3C61" w:rsidRPr="00D8671A">
        <w:rPr>
          <w:rFonts w:asciiTheme="majorBidi" w:hAnsiTheme="majorBidi" w:cstheme="majorBidi"/>
        </w:rPr>
        <w:t>‘</w:t>
      </w:r>
      <w:r w:rsidRPr="00D8671A">
        <w:rPr>
          <w:rFonts w:asciiTheme="majorBidi" w:hAnsiTheme="majorBidi" w:cstheme="majorBidi"/>
        </w:rPr>
        <w:t>less than sign</w:t>
      </w:r>
      <w:r w:rsidR="00A573E6" w:rsidRPr="00D8671A">
        <w:rPr>
          <w:rFonts w:asciiTheme="majorBidi" w:hAnsiTheme="majorBidi" w:cstheme="majorBidi"/>
        </w:rPr>
        <w:t>i</w:t>
      </w:r>
      <w:r w:rsidRPr="00D8671A">
        <w:rPr>
          <w:rFonts w:asciiTheme="majorBidi" w:hAnsiTheme="majorBidi" w:cstheme="majorBidi"/>
        </w:rPr>
        <w:t>ficant</w:t>
      </w:r>
      <w:r w:rsidR="005D3C61" w:rsidRPr="00D8671A">
        <w:rPr>
          <w:rFonts w:asciiTheme="majorBidi" w:hAnsiTheme="majorBidi" w:cstheme="majorBidi"/>
        </w:rPr>
        <w:t>’</w:t>
      </w:r>
      <w:r w:rsidRPr="00D8671A">
        <w:rPr>
          <w:rFonts w:asciiTheme="majorBidi" w:hAnsiTheme="majorBidi" w:cstheme="majorBidi"/>
        </w:rPr>
        <w:t>.</w:t>
      </w:r>
      <w:r w:rsidRPr="00D8671A">
        <w:rPr>
          <w:rStyle w:val="FootnoteReference"/>
          <w:rFonts w:asciiTheme="majorBidi" w:hAnsiTheme="majorBidi" w:cstheme="majorBidi"/>
        </w:rPr>
        <w:footnoteReference w:id="129"/>
      </w:r>
      <w:r w:rsidRPr="00D8671A">
        <w:rPr>
          <w:rFonts w:asciiTheme="majorBidi" w:hAnsiTheme="majorBidi" w:cstheme="majorBidi"/>
        </w:rPr>
        <w:t xml:space="preserve"> The Pre-Trial Chamber’s decision declining to confirm charges against Mbarushimana has been confirmed on appeal, and, while the Majority of the Appeals Chamber saw no need to delve into an academic discussion related to the level of contribution required under Article 25(3)(d),</w:t>
      </w:r>
      <w:r w:rsidRPr="00D8671A">
        <w:rPr>
          <w:rStyle w:val="FootnoteReference"/>
          <w:rFonts w:asciiTheme="majorBidi" w:hAnsiTheme="majorBidi" w:cstheme="majorBidi"/>
        </w:rPr>
        <w:footnoteReference w:id="130"/>
      </w:r>
      <w:r w:rsidRPr="00D8671A">
        <w:rPr>
          <w:rFonts w:asciiTheme="majorBidi" w:hAnsiTheme="majorBidi" w:cstheme="majorBidi"/>
        </w:rPr>
        <w:t xml:space="preserve"> </w:t>
      </w:r>
      <w:r w:rsidRPr="00D8671A">
        <w:rPr>
          <w:rFonts w:asciiTheme="majorBidi" w:eastAsiaTheme="minorEastAsia" w:hAnsiTheme="majorBidi" w:cstheme="majorBidi"/>
          <w:lang w:val="en-US"/>
        </w:rPr>
        <w:t xml:space="preserve">Judge Fernández de Gurmendi </w:t>
      </w:r>
      <w:r w:rsidR="005D3C61" w:rsidRPr="00D8671A">
        <w:rPr>
          <w:rFonts w:asciiTheme="majorBidi" w:eastAsiaTheme="minorEastAsia" w:hAnsiTheme="majorBidi" w:cstheme="majorBidi"/>
          <w:lang w:val="en-US"/>
        </w:rPr>
        <w:t xml:space="preserve">did </w:t>
      </w:r>
      <w:r w:rsidRPr="00D8671A">
        <w:rPr>
          <w:rFonts w:asciiTheme="majorBidi" w:eastAsiaTheme="minorEastAsia" w:hAnsiTheme="majorBidi" w:cstheme="majorBidi"/>
          <w:lang w:val="en-US"/>
        </w:rPr>
        <w:t>consider it necessary to address this point in her separate opinion.</w:t>
      </w:r>
      <w:r w:rsidRPr="00D8671A">
        <w:rPr>
          <w:rStyle w:val="FootnoteReference"/>
          <w:rFonts w:asciiTheme="majorBidi" w:eastAsiaTheme="minorEastAsia" w:hAnsiTheme="majorBidi" w:cstheme="majorBidi"/>
          <w:lang w:val="en-US"/>
        </w:rPr>
        <w:footnoteReference w:id="131"/>
      </w:r>
      <w:r w:rsidR="00B01C98" w:rsidRPr="00D8671A">
        <w:rPr>
          <w:rFonts w:asciiTheme="majorBidi" w:eastAsiaTheme="minorEastAsia" w:hAnsiTheme="majorBidi" w:cstheme="majorBidi"/>
          <w:lang w:val="en-US"/>
        </w:rPr>
        <w:t xml:space="preserve"> </w:t>
      </w:r>
    </w:p>
    <w:p w14:paraId="4EFFB74D" w14:textId="48160B2B" w:rsidR="005530A3" w:rsidRPr="00D8671A" w:rsidRDefault="005530A3" w:rsidP="00D8671A">
      <w:pPr>
        <w:widowControl w:val="0"/>
        <w:autoSpaceDE w:val="0"/>
        <w:autoSpaceDN w:val="0"/>
        <w:adjustRightInd w:val="0"/>
        <w:spacing w:after="0" w:line="240" w:lineRule="auto"/>
        <w:rPr>
          <w:rFonts w:asciiTheme="majorBidi" w:eastAsiaTheme="minorEastAsia" w:hAnsiTheme="majorBidi" w:cstheme="majorBidi"/>
          <w:lang w:val="en-US"/>
        </w:rPr>
      </w:pPr>
      <w:r w:rsidRPr="00D8671A">
        <w:rPr>
          <w:rFonts w:asciiTheme="majorBidi" w:eastAsiaTheme="minorEastAsia" w:hAnsiTheme="majorBidi" w:cstheme="majorBidi"/>
          <w:lang w:val="en-US"/>
        </w:rPr>
        <w:t>Judge Fernández de Gurmendi argued that Article 25(3)(d) does not envisage the minimum level of contribution to the crime.</w:t>
      </w:r>
      <w:r w:rsidRPr="00D8671A">
        <w:rPr>
          <w:rStyle w:val="FootnoteReference"/>
          <w:rFonts w:asciiTheme="majorBidi" w:hAnsiTheme="majorBidi" w:cstheme="majorBidi"/>
        </w:rPr>
        <w:footnoteReference w:id="132"/>
      </w:r>
      <w:r w:rsidRPr="00D8671A">
        <w:rPr>
          <w:rFonts w:asciiTheme="majorBidi" w:eastAsiaTheme="minorEastAsia" w:hAnsiTheme="majorBidi" w:cstheme="majorBidi"/>
          <w:lang w:val="en-US"/>
        </w:rPr>
        <w:t xml:space="preserve"> She found both the practice of attaching certain level of contribution to each </w:t>
      </w:r>
      <w:r w:rsidR="00BF48E6" w:rsidRPr="00D8671A">
        <w:rPr>
          <w:rFonts w:asciiTheme="majorBidi" w:eastAsiaTheme="minorEastAsia" w:hAnsiTheme="majorBidi" w:cstheme="majorBidi"/>
          <w:lang w:val="en-US"/>
        </w:rPr>
        <w:t>modes of liability</w:t>
      </w:r>
      <w:r w:rsidRPr="00D8671A">
        <w:rPr>
          <w:rFonts w:asciiTheme="majorBidi" w:eastAsiaTheme="minorEastAsia" w:hAnsiTheme="majorBidi" w:cstheme="majorBidi"/>
          <w:lang w:val="en-US"/>
        </w:rPr>
        <w:t xml:space="preserve"> and the </w:t>
      </w:r>
      <w:r w:rsidR="00F22C52" w:rsidRPr="00D8671A">
        <w:rPr>
          <w:rFonts w:asciiTheme="majorBidi" w:eastAsiaTheme="minorEastAsia" w:hAnsiTheme="majorBidi" w:cstheme="majorBidi"/>
          <w:lang w:val="en-US"/>
        </w:rPr>
        <w:t>“</w:t>
      </w:r>
      <w:r w:rsidRPr="00D8671A">
        <w:rPr>
          <w:rFonts w:asciiTheme="majorBidi" w:eastAsiaTheme="minorEastAsia" w:hAnsiTheme="majorBidi" w:cstheme="majorBidi"/>
          <w:lang w:val="en-US"/>
        </w:rPr>
        <w:t>import</w:t>
      </w:r>
      <w:r w:rsidR="00F22C52" w:rsidRPr="00D8671A">
        <w:rPr>
          <w:rFonts w:asciiTheme="majorBidi" w:eastAsiaTheme="minorEastAsia" w:hAnsiTheme="majorBidi" w:cstheme="majorBidi"/>
          <w:lang w:val="en-US"/>
        </w:rPr>
        <w:t>”</w:t>
      </w:r>
      <w:r w:rsidRPr="00D8671A">
        <w:rPr>
          <w:rFonts w:asciiTheme="majorBidi" w:eastAsiaTheme="minorEastAsia" w:hAnsiTheme="majorBidi" w:cstheme="majorBidi"/>
          <w:lang w:val="en-US"/>
        </w:rPr>
        <w:t xml:space="preserve"> of the </w:t>
      </w:r>
      <w:r w:rsidR="00F22C52" w:rsidRPr="00D8671A">
        <w:rPr>
          <w:rFonts w:asciiTheme="majorBidi" w:eastAsiaTheme="minorEastAsia" w:hAnsiTheme="majorBidi" w:cstheme="majorBidi"/>
          <w:lang w:val="en-US"/>
        </w:rPr>
        <w:t>“</w:t>
      </w:r>
      <w:r w:rsidRPr="00D8671A">
        <w:rPr>
          <w:rFonts w:asciiTheme="majorBidi" w:eastAsiaTheme="minorEastAsia" w:hAnsiTheme="majorBidi" w:cstheme="majorBidi"/>
          <w:lang w:val="en-US"/>
        </w:rPr>
        <w:t>significance contribution requirement</w:t>
      </w:r>
      <w:r w:rsidR="00F22C52" w:rsidRPr="00D8671A">
        <w:rPr>
          <w:rFonts w:asciiTheme="majorBidi" w:eastAsiaTheme="minorEastAsia" w:hAnsiTheme="majorBidi" w:cstheme="majorBidi"/>
          <w:lang w:val="en-US"/>
        </w:rPr>
        <w:t>”</w:t>
      </w:r>
      <w:r w:rsidRPr="00D8671A">
        <w:rPr>
          <w:rFonts w:asciiTheme="majorBidi" w:eastAsiaTheme="minorEastAsia" w:hAnsiTheme="majorBidi" w:cstheme="majorBidi"/>
          <w:lang w:val="en-US"/>
        </w:rPr>
        <w:t xml:space="preserve"> from the JCE jurisprudence of the ad hoc tribunals into Article 25(3)(d)</w:t>
      </w:r>
      <w:r w:rsidR="005D3C61" w:rsidRPr="00D8671A">
        <w:rPr>
          <w:rFonts w:asciiTheme="majorBidi" w:eastAsiaTheme="minorEastAsia" w:hAnsiTheme="majorBidi" w:cstheme="majorBidi"/>
          <w:lang w:val="en-US"/>
        </w:rPr>
        <w:t xml:space="preserve"> unconvincing</w:t>
      </w:r>
      <w:r w:rsidRPr="00D8671A">
        <w:rPr>
          <w:rFonts w:asciiTheme="majorBidi" w:eastAsiaTheme="minorEastAsia" w:hAnsiTheme="majorBidi" w:cstheme="majorBidi"/>
          <w:lang w:val="en-US"/>
        </w:rPr>
        <w:t>.</w:t>
      </w:r>
      <w:r w:rsidRPr="00D8671A">
        <w:rPr>
          <w:rStyle w:val="FootnoteReference"/>
          <w:rFonts w:asciiTheme="majorBidi" w:hAnsiTheme="majorBidi" w:cstheme="majorBidi"/>
        </w:rPr>
        <w:footnoteReference w:id="133"/>
      </w:r>
      <w:r w:rsidRPr="00D8671A">
        <w:rPr>
          <w:rFonts w:asciiTheme="majorBidi" w:eastAsiaTheme="minorEastAsia" w:hAnsiTheme="majorBidi" w:cstheme="majorBidi"/>
          <w:lang w:val="en-US"/>
        </w:rPr>
        <w:t xml:space="preserve"> Judge Fernández de Gurmendi correctly argued that the real issue is not the label of </w:t>
      </w:r>
      <w:r w:rsidR="00F22C52" w:rsidRPr="00D8671A">
        <w:rPr>
          <w:rFonts w:asciiTheme="majorBidi" w:eastAsiaTheme="minorEastAsia" w:hAnsiTheme="majorBidi" w:cstheme="majorBidi"/>
          <w:lang w:val="en-US"/>
        </w:rPr>
        <w:t>“</w:t>
      </w:r>
      <w:r w:rsidRPr="00D8671A">
        <w:rPr>
          <w:rFonts w:asciiTheme="majorBidi" w:eastAsiaTheme="minorEastAsia" w:hAnsiTheme="majorBidi" w:cstheme="majorBidi"/>
          <w:lang w:val="en-US"/>
        </w:rPr>
        <w:t>significance</w:t>
      </w:r>
      <w:r w:rsidR="00F22C52" w:rsidRPr="00D8671A">
        <w:rPr>
          <w:rFonts w:asciiTheme="majorBidi" w:eastAsiaTheme="minorEastAsia" w:hAnsiTheme="majorBidi" w:cstheme="majorBidi"/>
          <w:lang w:val="en-US"/>
        </w:rPr>
        <w:t>”</w:t>
      </w:r>
      <w:r w:rsidRPr="00D8671A">
        <w:rPr>
          <w:rFonts w:asciiTheme="majorBidi" w:eastAsiaTheme="minorEastAsia" w:hAnsiTheme="majorBidi" w:cstheme="majorBidi"/>
          <w:lang w:val="en-US"/>
        </w:rPr>
        <w:t xml:space="preserve"> ascribed to the contribution, but rather the so-called </w:t>
      </w:r>
      <w:r w:rsidR="00F22C52" w:rsidRPr="00D8671A">
        <w:rPr>
          <w:rFonts w:asciiTheme="majorBidi" w:eastAsiaTheme="minorEastAsia" w:hAnsiTheme="majorBidi" w:cstheme="majorBidi"/>
          <w:lang w:val="en-US"/>
        </w:rPr>
        <w:t>“</w:t>
      </w:r>
      <w:r w:rsidRPr="00D8671A">
        <w:rPr>
          <w:rFonts w:asciiTheme="majorBidi" w:eastAsiaTheme="minorEastAsia" w:hAnsiTheme="majorBidi" w:cstheme="majorBidi"/>
          <w:lang w:val="en-US"/>
        </w:rPr>
        <w:t>neutral contributions</w:t>
      </w:r>
      <w:r w:rsidR="00F22C52" w:rsidRPr="00D8671A">
        <w:rPr>
          <w:rFonts w:asciiTheme="majorBidi" w:eastAsiaTheme="minorEastAsia" w:hAnsiTheme="majorBidi" w:cstheme="majorBidi"/>
          <w:lang w:val="en-US"/>
        </w:rPr>
        <w:t>”</w:t>
      </w:r>
      <w:r w:rsidRPr="00D8671A">
        <w:rPr>
          <w:rFonts w:asciiTheme="majorBidi" w:eastAsiaTheme="minorEastAsia" w:hAnsiTheme="majorBidi" w:cstheme="majorBidi"/>
          <w:lang w:val="en-US"/>
        </w:rPr>
        <w:t>.</w:t>
      </w:r>
      <w:r w:rsidRPr="00D8671A">
        <w:rPr>
          <w:rStyle w:val="FootnoteReference"/>
          <w:rFonts w:asciiTheme="majorBidi" w:eastAsiaTheme="minorEastAsia" w:hAnsiTheme="majorBidi" w:cstheme="majorBidi"/>
          <w:lang w:val="en-US"/>
        </w:rPr>
        <w:footnoteReference w:id="134"/>
      </w:r>
      <w:r w:rsidRPr="00D8671A">
        <w:rPr>
          <w:rFonts w:asciiTheme="majorBidi" w:eastAsiaTheme="minorEastAsia" w:hAnsiTheme="majorBidi" w:cstheme="majorBidi"/>
          <w:lang w:val="en-US"/>
        </w:rPr>
        <w:t xml:space="preserve"> </w:t>
      </w:r>
      <w:r w:rsidR="0034654F" w:rsidRPr="00D8671A">
        <w:rPr>
          <w:rFonts w:asciiTheme="majorBidi" w:eastAsiaTheme="minorEastAsia" w:hAnsiTheme="majorBidi" w:cstheme="majorBidi"/>
          <w:lang w:val="en-US"/>
        </w:rPr>
        <w:t>The</w:t>
      </w:r>
      <w:r w:rsidRPr="00D8671A">
        <w:rPr>
          <w:rFonts w:asciiTheme="majorBidi" w:eastAsiaTheme="minorEastAsia" w:hAnsiTheme="majorBidi" w:cstheme="majorBidi"/>
          <w:lang w:val="en-US"/>
        </w:rPr>
        <w:t xml:space="preserve"> opinion does not elaborate on the meaning of this term, but one </w:t>
      </w:r>
      <w:r w:rsidR="005D3C61" w:rsidRPr="00D8671A">
        <w:rPr>
          <w:rFonts w:asciiTheme="majorBidi" w:eastAsiaTheme="minorEastAsia" w:hAnsiTheme="majorBidi" w:cstheme="majorBidi"/>
          <w:lang w:val="en-US"/>
        </w:rPr>
        <w:t xml:space="preserve">might </w:t>
      </w:r>
      <w:r w:rsidRPr="00D8671A">
        <w:rPr>
          <w:rFonts w:asciiTheme="majorBidi" w:eastAsiaTheme="minorEastAsia" w:hAnsiTheme="majorBidi" w:cstheme="majorBidi"/>
          <w:lang w:val="en-US"/>
        </w:rPr>
        <w:t xml:space="preserve">suggest that it refers to contributions that could be used for </w:t>
      </w:r>
      <w:r w:rsidR="005D3C61" w:rsidRPr="00D8671A">
        <w:rPr>
          <w:rFonts w:asciiTheme="majorBidi" w:eastAsiaTheme="minorEastAsia" w:hAnsiTheme="majorBidi" w:cstheme="majorBidi"/>
          <w:lang w:val="en-US"/>
        </w:rPr>
        <w:t xml:space="preserve">both </w:t>
      </w:r>
      <w:r w:rsidRPr="00D8671A">
        <w:rPr>
          <w:rFonts w:asciiTheme="majorBidi" w:eastAsiaTheme="minorEastAsia" w:hAnsiTheme="majorBidi" w:cstheme="majorBidi"/>
          <w:lang w:val="en-US"/>
        </w:rPr>
        <w:t xml:space="preserve">legitimate military activities and crimes. </w:t>
      </w:r>
      <w:r w:rsidR="00252002" w:rsidRPr="00D8671A">
        <w:rPr>
          <w:rFonts w:asciiTheme="majorBidi" w:eastAsiaTheme="minorEastAsia" w:hAnsiTheme="majorBidi" w:cstheme="majorBidi"/>
          <w:lang w:val="en-US"/>
        </w:rPr>
        <w:t>As an alternative to measuring the least possible input under Article 25(3)(d), Judge Fernández de Gurmendi suggested focusing on the “normative and causal” links between the contribution and the crime.</w:t>
      </w:r>
      <w:r w:rsidR="00252002" w:rsidRPr="00D8671A">
        <w:rPr>
          <w:rStyle w:val="FootnoteReference"/>
          <w:rFonts w:asciiTheme="majorBidi" w:eastAsiaTheme="minorEastAsia" w:hAnsiTheme="majorBidi" w:cstheme="majorBidi"/>
          <w:lang w:val="en-US"/>
        </w:rPr>
        <w:t xml:space="preserve"> </w:t>
      </w:r>
      <w:r w:rsidR="00252002" w:rsidRPr="00D8671A">
        <w:rPr>
          <w:rStyle w:val="FootnoteReference"/>
          <w:rFonts w:asciiTheme="majorBidi" w:eastAsiaTheme="minorEastAsia" w:hAnsiTheme="majorBidi" w:cstheme="majorBidi"/>
          <w:lang w:val="en-US"/>
        </w:rPr>
        <w:footnoteReference w:id="135"/>
      </w:r>
    </w:p>
    <w:p w14:paraId="6B84A444" w14:textId="4E23AA81" w:rsidR="005530A3" w:rsidRPr="00D8671A" w:rsidRDefault="005530A3" w:rsidP="00566D5D">
      <w:pPr>
        <w:widowControl w:val="0"/>
        <w:autoSpaceDE w:val="0"/>
        <w:autoSpaceDN w:val="0"/>
        <w:adjustRightInd w:val="0"/>
        <w:spacing w:after="0" w:line="240" w:lineRule="auto"/>
        <w:ind w:firstLine="720"/>
        <w:rPr>
          <w:rFonts w:asciiTheme="majorBidi" w:eastAsiaTheme="minorEastAsia" w:hAnsiTheme="majorBidi" w:cstheme="majorBidi"/>
          <w:lang w:val="en-US"/>
        </w:rPr>
      </w:pPr>
      <w:r w:rsidRPr="00D8671A">
        <w:rPr>
          <w:rFonts w:asciiTheme="majorBidi" w:eastAsiaTheme="minorEastAsia" w:hAnsiTheme="majorBidi" w:cstheme="majorBidi"/>
          <w:lang w:val="en-US"/>
        </w:rPr>
        <w:t xml:space="preserve">Indeed, measuring the smallest possible input under Article 25(3)(d) appears highly problematic. The impact of the same assistance may vary depending on the circumstances of the case – providing ammunition to the soldiers may be a decisive factor in their potential criminality or it may equally have no </w:t>
      </w:r>
      <w:r w:rsidR="00AA48A1" w:rsidRPr="00D8671A">
        <w:rPr>
          <w:rFonts w:asciiTheme="majorBidi" w:eastAsiaTheme="minorEastAsia" w:hAnsiTheme="majorBidi" w:cstheme="majorBidi"/>
          <w:lang w:val="en-US"/>
        </w:rPr>
        <w:t xml:space="preserve">influence </w:t>
      </w:r>
      <w:r w:rsidRPr="00D8671A">
        <w:rPr>
          <w:rFonts w:asciiTheme="majorBidi" w:eastAsiaTheme="minorEastAsia" w:hAnsiTheme="majorBidi" w:cstheme="majorBidi"/>
          <w:lang w:val="en-US"/>
        </w:rPr>
        <w:t>at all if they are already in possession of weapons.  The same criticism applies to the general idea of quantifying various contributions of the accused depending on their respective forms of participation.</w:t>
      </w:r>
    </w:p>
    <w:p w14:paraId="0B830B6F" w14:textId="49510130" w:rsidR="005530A3" w:rsidRPr="00D8671A" w:rsidRDefault="005530A3" w:rsidP="00D8671A">
      <w:pPr>
        <w:widowControl w:val="0"/>
        <w:autoSpaceDE w:val="0"/>
        <w:autoSpaceDN w:val="0"/>
        <w:adjustRightInd w:val="0"/>
        <w:spacing w:after="0" w:line="240" w:lineRule="auto"/>
        <w:rPr>
          <w:rFonts w:asciiTheme="majorBidi" w:eastAsiaTheme="minorEastAsia" w:hAnsiTheme="majorBidi" w:cstheme="majorBidi"/>
          <w:lang w:val="en-US"/>
        </w:rPr>
      </w:pPr>
      <w:r w:rsidRPr="00D8671A">
        <w:rPr>
          <w:rFonts w:asciiTheme="majorBidi" w:eastAsiaTheme="minorEastAsia" w:hAnsiTheme="majorBidi" w:cstheme="majorBidi"/>
          <w:lang w:val="en-US"/>
        </w:rPr>
        <w:t xml:space="preserve">The factual situation in </w:t>
      </w:r>
      <w:r w:rsidRPr="00D8671A">
        <w:rPr>
          <w:rFonts w:asciiTheme="majorBidi" w:eastAsiaTheme="minorEastAsia" w:hAnsiTheme="majorBidi" w:cstheme="majorBidi"/>
          <w:i/>
          <w:lang w:val="en-US"/>
        </w:rPr>
        <w:t>Katanga</w:t>
      </w:r>
      <w:r w:rsidRPr="00D8671A">
        <w:rPr>
          <w:rFonts w:asciiTheme="majorBidi" w:eastAsiaTheme="minorEastAsia" w:hAnsiTheme="majorBidi" w:cstheme="majorBidi"/>
          <w:lang w:val="en-US"/>
        </w:rPr>
        <w:t xml:space="preserve"> whereby the accused facilitated the supply of weapons, which could be used for criminal and non-criminal aims alike, prompted Judge van den Wyngaert to look for an instrument to assess such </w:t>
      </w:r>
      <w:r w:rsidR="00F22C52" w:rsidRPr="00D8671A">
        <w:rPr>
          <w:rFonts w:asciiTheme="majorBidi" w:eastAsiaTheme="minorEastAsia" w:hAnsiTheme="majorBidi" w:cstheme="majorBidi"/>
          <w:lang w:val="en-US"/>
        </w:rPr>
        <w:t>“</w:t>
      </w:r>
      <w:r w:rsidRPr="00D8671A">
        <w:rPr>
          <w:rFonts w:asciiTheme="majorBidi" w:eastAsiaTheme="minorEastAsia" w:hAnsiTheme="majorBidi" w:cstheme="majorBidi"/>
          <w:lang w:val="en-US"/>
        </w:rPr>
        <w:t>generic</w:t>
      </w:r>
      <w:r w:rsidR="00F22C52" w:rsidRPr="00D8671A">
        <w:rPr>
          <w:rFonts w:asciiTheme="majorBidi" w:eastAsiaTheme="minorEastAsia" w:hAnsiTheme="majorBidi" w:cstheme="majorBidi"/>
          <w:lang w:val="en-US"/>
        </w:rPr>
        <w:t>”</w:t>
      </w:r>
      <w:r w:rsidRPr="00D8671A">
        <w:rPr>
          <w:rFonts w:asciiTheme="majorBidi" w:eastAsiaTheme="minorEastAsia" w:hAnsiTheme="majorBidi" w:cstheme="majorBidi"/>
          <w:lang w:val="en-US"/>
        </w:rPr>
        <w:t xml:space="preserve"> contributions</w:t>
      </w:r>
      <w:r w:rsidR="00E13554" w:rsidRPr="00D8671A">
        <w:rPr>
          <w:rFonts w:asciiTheme="majorBidi" w:eastAsiaTheme="minorEastAsia" w:hAnsiTheme="majorBidi" w:cstheme="majorBidi"/>
          <w:lang w:val="en-US"/>
        </w:rPr>
        <w:t>.</w:t>
      </w:r>
      <w:r w:rsidRPr="00D8671A">
        <w:rPr>
          <w:rStyle w:val="FootnoteReference"/>
          <w:rFonts w:asciiTheme="majorBidi" w:hAnsiTheme="majorBidi" w:cstheme="majorBidi"/>
        </w:rPr>
        <w:footnoteReference w:id="136"/>
      </w:r>
      <w:r w:rsidRPr="00D8671A">
        <w:rPr>
          <w:rFonts w:asciiTheme="majorBidi" w:hAnsiTheme="majorBidi" w:cstheme="majorBidi"/>
        </w:rPr>
        <w:t xml:space="preserve"> </w:t>
      </w:r>
      <w:r w:rsidRPr="00D8671A">
        <w:rPr>
          <w:rFonts w:asciiTheme="majorBidi" w:eastAsiaTheme="minorEastAsia" w:hAnsiTheme="majorBidi" w:cstheme="majorBidi"/>
          <w:lang w:val="en-US"/>
        </w:rPr>
        <w:t xml:space="preserve"> </w:t>
      </w:r>
      <w:r w:rsidR="00B25E99" w:rsidRPr="00D8671A">
        <w:rPr>
          <w:rFonts w:asciiTheme="majorBidi" w:eastAsiaTheme="minorEastAsia" w:hAnsiTheme="majorBidi" w:cstheme="majorBidi"/>
          <w:lang w:val="en-US"/>
        </w:rPr>
        <w:t>She</w:t>
      </w:r>
      <w:r w:rsidRPr="00D8671A">
        <w:rPr>
          <w:rFonts w:asciiTheme="majorBidi" w:eastAsiaTheme="minorEastAsia" w:hAnsiTheme="majorBidi" w:cstheme="majorBidi"/>
          <w:lang w:val="en-US"/>
        </w:rPr>
        <w:t xml:space="preserve"> proposed utilizing the </w:t>
      </w:r>
      <w:r w:rsidR="00F22C52" w:rsidRPr="00D8671A">
        <w:rPr>
          <w:rFonts w:asciiTheme="majorBidi" w:eastAsiaTheme="minorEastAsia" w:hAnsiTheme="majorBidi" w:cstheme="majorBidi"/>
          <w:lang w:val="en-US"/>
        </w:rPr>
        <w:t>“</w:t>
      </w:r>
      <w:r w:rsidRPr="00D8671A">
        <w:rPr>
          <w:rFonts w:asciiTheme="majorBidi" w:eastAsiaTheme="minorEastAsia" w:hAnsiTheme="majorBidi" w:cstheme="majorBidi"/>
          <w:lang w:val="en-US"/>
        </w:rPr>
        <w:t>specific direction requirement</w:t>
      </w:r>
      <w:r w:rsidR="00F22C52" w:rsidRPr="00D8671A">
        <w:rPr>
          <w:rFonts w:asciiTheme="majorBidi" w:eastAsiaTheme="minorEastAsia" w:hAnsiTheme="majorBidi" w:cstheme="majorBidi"/>
          <w:lang w:val="en-US"/>
        </w:rPr>
        <w:t>”</w:t>
      </w:r>
      <w:r w:rsidRPr="00D8671A">
        <w:rPr>
          <w:rFonts w:asciiTheme="majorBidi" w:eastAsiaTheme="minorEastAsia" w:hAnsiTheme="majorBidi" w:cstheme="majorBidi"/>
          <w:lang w:val="en-US"/>
        </w:rPr>
        <w:t xml:space="preserve"> - the </w:t>
      </w:r>
      <w:r w:rsidR="00252002" w:rsidRPr="00D8671A">
        <w:rPr>
          <w:rFonts w:asciiTheme="majorBidi" w:eastAsiaTheme="minorEastAsia" w:hAnsiTheme="majorBidi" w:cstheme="majorBidi"/>
          <w:lang w:val="en-US"/>
        </w:rPr>
        <w:t xml:space="preserve">highly contested </w:t>
      </w:r>
      <w:r w:rsidRPr="00D8671A">
        <w:rPr>
          <w:rFonts w:asciiTheme="majorBidi" w:eastAsiaTheme="minorEastAsia" w:hAnsiTheme="majorBidi" w:cstheme="majorBidi"/>
          <w:lang w:val="en-US"/>
        </w:rPr>
        <w:t xml:space="preserve">element of the </w:t>
      </w:r>
      <w:r w:rsidRPr="00D8671A">
        <w:rPr>
          <w:rFonts w:asciiTheme="majorBidi" w:eastAsiaTheme="minorEastAsia" w:hAnsiTheme="majorBidi" w:cstheme="majorBidi"/>
          <w:i/>
          <w:lang w:val="en-US"/>
        </w:rPr>
        <w:t>actus reus</w:t>
      </w:r>
      <w:r w:rsidRPr="00D8671A">
        <w:rPr>
          <w:rFonts w:asciiTheme="majorBidi" w:eastAsiaTheme="minorEastAsia" w:hAnsiTheme="majorBidi" w:cstheme="majorBidi"/>
          <w:lang w:val="en-US"/>
        </w:rPr>
        <w:t xml:space="preserve"> of aiding and abetting in jur</w:t>
      </w:r>
      <w:r w:rsidR="00E13554" w:rsidRPr="00D8671A">
        <w:rPr>
          <w:rFonts w:asciiTheme="majorBidi" w:eastAsiaTheme="minorEastAsia" w:hAnsiTheme="majorBidi" w:cstheme="majorBidi"/>
          <w:lang w:val="en-US"/>
        </w:rPr>
        <w:t xml:space="preserve">isprudence </w:t>
      </w:r>
      <w:r w:rsidR="005E360A" w:rsidRPr="00D8671A">
        <w:rPr>
          <w:rFonts w:asciiTheme="majorBidi" w:eastAsiaTheme="minorEastAsia" w:hAnsiTheme="majorBidi" w:cstheme="majorBidi"/>
          <w:lang w:val="en-US"/>
        </w:rPr>
        <w:t xml:space="preserve">of </w:t>
      </w:r>
      <w:r w:rsidR="00E13554" w:rsidRPr="00D8671A">
        <w:rPr>
          <w:rFonts w:asciiTheme="majorBidi" w:eastAsiaTheme="minorEastAsia" w:hAnsiTheme="majorBidi" w:cstheme="majorBidi"/>
          <w:lang w:val="en-US"/>
        </w:rPr>
        <w:t xml:space="preserve">the ad hoc tribunals. </w:t>
      </w:r>
      <w:r w:rsidRPr="00D8671A">
        <w:rPr>
          <w:rFonts w:asciiTheme="majorBidi" w:eastAsiaTheme="minorEastAsia" w:hAnsiTheme="majorBidi" w:cstheme="majorBidi"/>
          <w:lang w:val="en-US"/>
        </w:rPr>
        <w:t xml:space="preserve">It seems that the relationship between the assistance and the offence is an important aspect of accomplice liability and needs to be taken into account. Using the </w:t>
      </w:r>
      <w:r w:rsidR="00F22C52" w:rsidRPr="00D8671A">
        <w:rPr>
          <w:rFonts w:asciiTheme="majorBidi" w:eastAsiaTheme="minorEastAsia" w:hAnsiTheme="majorBidi" w:cstheme="majorBidi"/>
          <w:lang w:val="en-US"/>
        </w:rPr>
        <w:t>“</w:t>
      </w:r>
      <w:r w:rsidRPr="00D8671A">
        <w:rPr>
          <w:rFonts w:asciiTheme="majorBidi" w:eastAsiaTheme="minorEastAsia" w:hAnsiTheme="majorBidi" w:cstheme="majorBidi"/>
          <w:lang w:val="en-US"/>
        </w:rPr>
        <w:t>specific direction</w:t>
      </w:r>
      <w:r w:rsidR="00F22C52" w:rsidRPr="00D8671A">
        <w:rPr>
          <w:rFonts w:asciiTheme="majorBidi" w:eastAsiaTheme="minorEastAsia" w:hAnsiTheme="majorBidi" w:cstheme="majorBidi"/>
          <w:lang w:val="en-US"/>
        </w:rPr>
        <w:t>”</w:t>
      </w:r>
      <w:r w:rsidRPr="00D8671A">
        <w:rPr>
          <w:rFonts w:asciiTheme="majorBidi" w:eastAsiaTheme="minorEastAsia" w:hAnsiTheme="majorBidi" w:cstheme="majorBidi"/>
          <w:lang w:val="en-US"/>
        </w:rPr>
        <w:t xml:space="preserve"> test </w:t>
      </w:r>
      <w:r w:rsidR="00252002" w:rsidRPr="00D8671A">
        <w:rPr>
          <w:rFonts w:asciiTheme="majorBidi" w:eastAsiaTheme="minorEastAsia" w:hAnsiTheme="majorBidi" w:cstheme="majorBidi"/>
          <w:lang w:val="en-US"/>
        </w:rPr>
        <w:t>might be</w:t>
      </w:r>
      <w:r w:rsidRPr="00D8671A">
        <w:rPr>
          <w:rFonts w:asciiTheme="majorBidi" w:eastAsiaTheme="minorEastAsia" w:hAnsiTheme="majorBidi" w:cstheme="majorBidi"/>
          <w:lang w:val="en-US"/>
        </w:rPr>
        <w:t xml:space="preserve"> helpful </w:t>
      </w:r>
      <w:r w:rsidR="00FB0FA8" w:rsidRPr="00D8671A">
        <w:rPr>
          <w:rFonts w:asciiTheme="majorBidi" w:eastAsiaTheme="minorEastAsia" w:hAnsiTheme="majorBidi" w:cstheme="majorBidi"/>
          <w:lang w:val="en-US"/>
        </w:rPr>
        <w:t>in</w:t>
      </w:r>
      <w:r w:rsidR="00252002" w:rsidRPr="00D8671A">
        <w:rPr>
          <w:rFonts w:asciiTheme="majorBidi" w:eastAsiaTheme="minorEastAsia" w:hAnsiTheme="majorBidi" w:cstheme="majorBidi"/>
          <w:lang w:val="en-US"/>
        </w:rPr>
        <w:t xml:space="preserve"> singling </w:t>
      </w:r>
      <w:r w:rsidR="00252002" w:rsidRPr="00D8671A">
        <w:rPr>
          <w:rFonts w:asciiTheme="majorBidi" w:eastAsiaTheme="minorEastAsia" w:hAnsiTheme="majorBidi" w:cstheme="majorBidi"/>
          <w:lang w:val="en-US"/>
        </w:rPr>
        <w:lastRenderedPageBreak/>
        <w:t>out contributions</w:t>
      </w:r>
      <w:r w:rsidRPr="00D8671A">
        <w:rPr>
          <w:rFonts w:asciiTheme="majorBidi" w:eastAsiaTheme="minorEastAsia" w:hAnsiTheme="majorBidi" w:cstheme="majorBidi"/>
          <w:lang w:val="en-US"/>
        </w:rPr>
        <w:t xml:space="preserve"> </w:t>
      </w:r>
      <w:r w:rsidR="00252002" w:rsidRPr="00D8671A">
        <w:rPr>
          <w:rFonts w:asciiTheme="majorBidi" w:eastAsiaTheme="minorEastAsia" w:hAnsiTheme="majorBidi" w:cstheme="majorBidi"/>
          <w:lang w:val="en-US"/>
        </w:rPr>
        <w:t xml:space="preserve">for </w:t>
      </w:r>
      <w:r w:rsidRPr="00D8671A">
        <w:rPr>
          <w:rFonts w:asciiTheme="majorBidi" w:eastAsiaTheme="minorEastAsia" w:hAnsiTheme="majorBidi" w:cstheme="majorBidi"/>
          <w:lang w:val="en-US"/>
        </w:rPr>
        <w:t xml:space="preserve">the purposes of Article 25(3)(d) </w:t>
      </w:r>
      <w:r w:rsidR="005D3C61" w:rsidRPr="00D8671A">
        <w:rPr>
          <w:rFonts w:asciiTheme="majorBidi" w:eastAsiaTheme="minorEastAsia" w:hAnsiTheme="majorBidi" w:cstheme="majorBidi"/>
          <w:lang w:val="en-US"/>
        </w:rPr>
        <w:t xml:space="preserve">when </w:t>
      </w:r>
      <w:r w:rsidR="00252002" w:rsidRPr="00D8671A">
        <w:rPr>
          <w:rFonts w:asciiTheme="majorBidi" w:eastAsiaTheme="minorEastAsia" w:hAnsiTheme="majorBidi" w:cstheme="majorBidi"/>
          <w:lang w:val="en-US"/>
        </w:rPr>
        <w:t>dealing</w:t>
      </w:r>
      <w:r w:rsidRPr="00D8671A">
        <w:rPr>
          <w:rFonts w:asciiTheme="majorBidi" w:eastAsiaTheme="minorEastAsia" w:hAnsiTheme="majorBidi" w:cstheme="majorBidi"/>
          <w:lang w:val="en-US"/>
        </w:rPr>
        <w:t xml:space="preserve"> with the group that could be simultaneously engaged in criminal and non-criminal activities</w:t>
      </w:r>
      <w:r w:rsidR="00252002" w:rsidRPr="00D8671A">
        <w:rPr>
          <w:rFonts w:asciiTheme="majorBidi" w:eastAsiaTheme="minorEastAsia" w:hAnsiTheme="majorBidi" w:cstheme="majorBidi"/>
          <w:lang w:val="en-US"/>
        </w:rPr>
        <w:t xml:space="preserve">. </w:t>
      </w:r>
      <w:r w:rsidRPr="00D8671A">
        <w:rPr>
          <w:rFonts w:asciiTheme="majorBidi" w:eastAsiaTheme="minorEastAsia" w:hAnsiTheme="majorBidi" w:cstheme="majorBidi"/>
          <w:lang w:val="en-US"/>
        </w:rPr>
        <w:t xml:space="preserve">However, any form of complicity presents a challenge for establishing a straightforward connection between the contribution and the offence because it falls outside the scope of the law on causation. The link between the two elements is always cursory since it is interrupted by the freely chosen acts of other people – the immediate perpetrators. On this point, the Majority in </w:t>
      </w:r>
      <w:r w:rsidRPr="00D8671A">
        <w:rPr>
          <w:rFonts w:asciiTheme="majorBidi" w:eastAsiaTheme="minorEastAsia" w:hAnsiTheme="majorBidi" w:cstheme="majorBidi"/>
          <w:i/>
          <w:lang w:val="en-US"/>
        </w:rPr>
        <w:t>Katanga</w:t>
      </w:r>
      <w:r w:rsidRPr="00D8671A">
        <w:rPr>
          <w:rFonts w:asciiTheme="majorBidi" w:eastAsiaTheme="minorEastAsia" w:hAnsiTheme="majorBidi" w:cstheme="majorBidi"/>
          <w:lang w:val="en-US"/>
        </w:rPr>
        <w:t xml:space="preserve"> noted that it is not necessary to establish the direct link between the conduct of the accomplice and the resulting harm, nor it is </w:t>
      </w:r>
      <w:r w:rsidR="001E1653" w:rsidRPr="00D8671A">
        <w:rPr>
          <w:rFonts w:asciiTheme="majorBidi" w:eastAsiaTheme="minorEastAsia" w:hAnsiTheme="majorBidi" w:cstheme="majorBidi"/>
          <w:lang w:val="en-US"/>
        </w:rPr>
        <w:t xml:space="preserve">necessary </w:t>
      </w:r>
      <w:r w:rsidRPr="00D8671A">
        <w:rPr>
          <w:rFonts w:asciiTheme="majorBidi" w:eastAsiaTheme="minorEastAsia" w:hAnsiTheme="majorBidi" w:cstheme="majorBidi"/>
          <w:lang w:val="en-US"/>
        </w:rPr>
        <w:t>that the assistance is proximate to the crime.</w:t>
      </w:r>
      <w:r w:rsidRPr="00D8671A">
        <w:rPr>
          <w:rStyle w:val="FootnoteReference"/>
          <w:rFonts w:asciiTheme="majorBidi" w:hAnsiTheme="majorBidi" w:cstheme="majorBidi"/>
        </w:rPr>
        <w:footnoteReference w:id="137"/>
      </w:r>
    </w:p>
    <w:p w14:paraId="101B1475" w14:textId="43A75E9C" w:rsidR="005530A3" w:rsidRPr="00D8671A" w:rsidRDefault="005530A3" w:rsidP="00566D5D">
      <w:pPr>
        <w:widowControl w:val="0"/>
        <w:autoSpaceDE w:val="0"/>
        <w:autoSpaceDN w:val="0"/>
        <w:adjustRightInd w:val="0"/>
        <w:spacing w:after="0" w:line="240" w:lineRule="auto"/>
        <w:ind w:firstLine="720"/>
        <w:rPr>
          <w:rFonts w:asciiTheme="majorBidi" w:eastAsiaTheme="minorEastAsia" w:hAnsiTheme="majorBidi" w:cstheme="majorBidi"/>
          <w:lang w:val="en-US"/>
        </w:rPr>
      </w:pPr>
      <w:r w:rsidRPr="00D8671A">
        <w:rPr>
          <w:rFonts w:asciiTheme="majorBidi" w:eastAsiaTheme="minorEastAsia" w:hAnsiTheme="majorBidi" w:cstheme="majorBidi"/>
          <w:lang w:val="en-US"/>
        </w:rPr>
        <w:t>How to reinforce the connection between the contribution and the offence if the directness of the aid and its distance to the crime are not dispositive? The answer could be in enhancing the scrutiny of the accused’s mental state: generic assistance becomes culpable when there is knowledge about the crime as well as an understanding of the potential effects of the help</w:t>
      </w:r>
      <w:r w:rsidR="001E1653" w:rsidRPr="00D8671A">
        <w:rPr>
          <w:rFonts w:asciiTheme="majorBidi" w:eastAsiaTheme="minorEastAsia" w:hAnsiTheme="majorBidi" w:cstheme="majorBidi"/>
          <w:lang w:val="en-US"/>
        </w:rPr>
        <w:t xml:space="preserve"> rendered</w:t>
      </w:r>
      <w:r w:rsidRPr="00D8671A">
        <w:rPr>
          <w:rFonts w:asciiTheme="majorBidi" w:eastAsiaTheme="minorEastAsia" w:hAnsiTheme="majorBidi" w:cstheme="majorBidi"/>
          <w:lang w:val="en-US"/>
        </w:rPr>
        <w:t xml:space="preserve">. Thus, the fault element appears to be central in determining the </w:t>
      </w:r>
      <w:r w:rsidR="00B01C98" w:rsidRPr="00D8671A">
        <w:rPr>
          <w:rFonts w:asciiTheme="majorBidi" w:eastAsiaTheme="minorEastAsia" w:hAnsiTheme="majorBidi" w:cstheme="majorBidi"/>
          <w:lang w:val="en-US"/>
        </w:rPr>
        <w:t xml:space="preserve">responsibility of accomplices. </w:t>
      </w:r>
    </w:p>
    <w:p w14:paraId="79EC79C2" w14:textId="2CF0CBBE" w:rsidR="005530A3" w:rsidRPr="00D8671A" w:rsidRDefault="005530A3" w:rsidP="00566D5D">
      <w:pPr>
        <w:spacing w:after="0" w:line="240" w:lineRule="auto"/>
        <w:ind w:firstLine="720"/>
        <w:rPr>
          <w:rFonts w:asciiTheme="majorBidi" w:hAnsiTheme="majorBidi" w:cstheme="majorBidi"/>
        </w:rPr>
      </w:pPr>
      <w:r w:rsidRPr="00D8671A">
        <w:rPr>
          <w:rFonts w:asciiTheme="majorBidi" w:hAnsiTheme="majorBidi" w:cstheme="majorBidi"/>
        </w:rPr>
        <w:t>The subjective element for Article 25(3)(d) responsibility consists of intentional contribution made either with the aim of furthering criminal activity of the group or knowledge of the intention of the group to commit the crime. Article 25(3)(d) liability represents an exception from the general rule on culpability stipulated in Article 30 of the Rome Statute.</w:t>
      </w:r>
      <w:r w:rsidRPr="00D8671A">
        <w:rPr>
          <w:rStyle w:val="FootnoteReference"/>
          <w:rFonts w:asciiTheme="majorBidi" w:hAnsiTheme="majorBidi" w:cstheme="majorBidi"/>
        </w:rPr>
        <w:footnoteReference w:id="138"/>
      </w:r>
      <w:r w:rsidRPr="00D8671A">
        <w:rPr>
          <w:rFonts w:asciiTheme="majorBidi" w:hAnsiTheme="majorBidi" w:cstheme="majorBidi"/>
        </w:rPr>
        <w:t xml:space="preserve"> Complicity as a </w:t>
      </w:r>
      <w:r w:rsidR="00F22C52" w:rsidRPr="00D8671A">
        <w:rPr>
          <w:rFonts w:asciiTheme="majorBidi" w:hAnsiTheme="majorBidi" w:cstheme="majorBidi"/>
        </w:rPr>
        <w:t>“</w:t>
      </w:r>
      <w:r w:rsidRPr="00D8671A">
        <w:rPr>
          <w:rFonts w:asciiTheme="majorBidi" w:hAnsiTheme="majorBidi" w:cstheme="majorBidi"/>
        </w:rPr>
        <w:t>contribution to the group</w:t>
      </w:r>
      <w:r w:rsidR="00F22C52" w:rsidRPr="00D8671A">
        <w:rPr>
          <w:rFonts w:asciiTheme="majorBidi" w:hAnsiTheme="majorBidi" w:cstheme="majorBidi"/>
        </w:rPr>
        <w:t>”</w:t>
      </w:r>
      <w:r w:rsidRPr="00D8671A">
        <w:rPr>
          <w:rFonts w:asciiTheme="majorBidi" w:hAnsiTheme="majorBidi" w:cstheme="majorBidi"/>
        </w:rPr>
        <w:t xml:space="preserve"> also differs from aiding and abetting under subparagraph (c) because it allows a lower fault requirement under both sub-clauses. </w:t>
      </w:r>
    </w:p>
    <w:p w14:paraId="4D720319" w14:textId="41B056F7" w:rsidR="005530A3" w:rsidRPr="00D8671A" w:rsidRDefault="005530A3" w:rsidP="00566D5D">
      <w:pPr>
        <w:spacing w:after="0" w:line="240" w:lineRule="auto"/>
        <w:ind w:firstLine="720"/>
        <w:rPr>
          <w:rFonts w:asciiTheme="majorBidi" w:hAnsiTheme="majorBidi" w:cstheme="majorBidi"/>
        </w:rPr>
      </w:pPr>
      <w:r w:rsidRPr="00D8671A">
        <w:rPr>
          <w:rFonts w:asciiTheme="majorBidi" w:hAnsiTheme="majorBidi" w:cstheme="majorBidi"/>
        </w:rPr>
        <w:t xml:space="preserve">The Trial Chamber in </w:t>
      </w:r>
      <w:r w:rsidRPr="00D8671A">
        <w:rPr>
          <w:rFonts w:asciiTheme="majorBidi" w:hAnsiTheme="majorBidi" w:cstheme="majorBidi"/>
          <w:i/>
        </w:rPr>
        <w:t>Katanga</w:t>
      </w:r>
      <w:r w:rsidRPr="00D8671A">
        <w:rPr>
          <w:rFonts w:asciiTheme="majorBidi" w:hAnsiTheme="majorBidi" w:cstheme="majorBidi"/>
        </w:rPr>
        <w:t xml:space="preserve"> defined ‘intentional contribution’ for the purposes of both subparagraphs (i) and (ii) of Article 25(3)(d) as a conscious and deliberate choice to engage in a certain behaviour with the knowledge that it contributes to the activities of the group.</w:t>
      </w:r>
      <w:r w:rsidRPr="00D8671A">
        <w:rPr>
          <w:rStyle w:val="FootnoteReference"/>
          <w:rFonts w:asciiTheme="majorBidi" w:hAnsiTheme="majorBidi" w:cstheme="majorBidi"/>
        </w:rPr>
        <w:footnoteReference w:id="139"/>
      </w:r>
      <w:r w:rsidRPr="00D8671A">
        <w:rPr>
          <w:rFonts w:asciiTheme="majorBidi" w:hAnsiTheme="majorBidi" w:cstheme="majorBidi"/>
        </w:rPr>
        <w:t xml:space="preserve"> </w:t>
      </w:r>
      <w:r w:rsidR="00F22C52" w:rsidRPr="00D8671A">
        <w:rPr>
          <w:rFonts w:asciiTheme="majorBidi" w:hAnsiTheme="majorBidi" w:cstheme="majorBidi"/>
        </w:rPr>
        <w:t>“</w:t>
      </w:r>
      <w:r w:rsidRPr="00D8671A">
        <w:rPr>
          <w:rFonts w:asciiTheme="majorBidi" w:hAnsiTheme="majorBidi" w:cstheme="majorBidi"/>
        </w:rPr>
        <w:t>Intentional contribution</w:t>
      </w:r>
      <w:r w:rsidR="00F22C52" w:rsidRPr="00D8671A">
        <w:rPr>
          <w:rFonts w:asciiTheme="majorBidi" w:hAnsiTheme="majorBidi" w:cstheme="majorBidi"/>
        </w:rPr>
        <w:t>”</w:t>
      </w:r>
      <w:r w:rsidRPr="00D8671A">
        <w:rPr>
          <w:rFonts w:asciiTheme="majorBidi" w:hAnsiTheme="majorBidi" w:cstheme="majorBidi"/>
        </w:rPr>
        <w:t xml:space="preserve"> should be read together with two specific clauses characterizing the attitude towards group activity: the suspect or the accused should either aim to further the group’s purpose to commit a crime, or know about the intention of the group to commit the specific crimes</w:t>
      </w:r>
      <w:r w:rsidR="00102283" w:rsidRPr="00D8671A">
        <w:rPr>
          <w:rFonts w:asciiTheme="majorBidi" w:hAnsiTheme="majorBidi" w:cstheme="majorBidi"/>
        </w:rPr>
        <w:t xml:space="preserve">. </w:t>
      </w:r>
      <w:r w:rsidRPr="00D8671A">
        <w:rPr>
          <w:rFonts w:asciiTheme="majorBidi" w:hAnsiTheme="majorBidi" w:cstheme="majorBidi"/>
        </w:rPr>
        <w:t xml:space="preserve">The Majority in </w:t>
      </w:r>
      <w:r w:rsidRPr="00D8671A">
        <w:rPr>
          <w:rFonts w:asciiTheme="majorBidi" w:hAnsiTheme="majorBidi" w:cstheme="majorBidi"/>
          <w:i/>
        </w:rPr>
        <w:t>Katanga</w:t>
      </w:r>
      <w:r w:rsidRPr="00D8671A">
        <w:rPr>
          <w:rFonts w:asciiTheme="majorBidi" w:hAnsiTheme="majorBidi" w:cstheme="majorBidi"/>
        </w:rPr>
        <w:t xml:space="preserve"> correctly focused on the specificity of the knowledge of the accused for the purposes of Article 25(3)(d)(ii): knowing about the general criminal intent of the group was not deemed sufficient since the accused must be aware of the specific crimes the group intends to commit, and that they will occur in the ordinary course of events.</w:t>
      </w:r>
      <w:r w:rsidRPr="00D8671A">
        <w:rPr>
          <w:rStyle w:val="FootnoteReference"/>
          <w:rFonts w:asciiTheme="majorBidi" w:hAnsiTheme="majorBidi" w:cstheme="majorBidi"/>
        </w:rPr>
        <w:footnoteReference w:id="140"/>
      </w:r>
      <w:r w:rsidRPr="00D8671A">
        <w:rPr>
          <w:rFonts w:asciiTheme="majorBidi" w:hAnsiTheme="majorBidi" w:cstheme="majorBidi"/>
        </w:rPr>
        <w:t xml:space="preserve"> </w:t>
      </w:r>
    </w:p>
    <w:p w14:paraId="29EDB28C" w14:textId="2ABF7BBA" w:rsidR="005530A3" w:rsidRPr="00D8671A" w:rsidRDefault="005530A3" w:rsidP="00566D5D">
      <w:pPr>
        <w:spacing w:after="0" w:line="240" w:lineRule="auto"/>
        <w:ind w:firstLine="720"/>
        <w:rPr>
          <w:rFonts w:asciiTheme="majorBidi" w:hAnsiTheme="majorBidi" w:cstheme="majorBidi"/>
        </w:rPr>
      </w:pPr>
      <w:r w:rsidRPr="00D8671A">
        <w:rPr>
          <w:rFonts w:asciiTheme="majorBidi" w:hAnsiTheme="majorBidi" w:cstheme="majorBidi"/>
        </w:rPr>
        <w:t xml:space="preserve">The Majority in </w:t>
      </w:r>
      <w:r w:rsidRPr="00D8671A">
        <w:rPr>
          <w:rFonts w:asciiTheme="majorBidi" w:hAnsiTheme="majorBidi" w:cstheme="majorBidi"/>
          <w:i/>
        </w:rPr>
        <w:t>Katanga</w:t>
      </w:r>
      <w:r w:rsidRPr="00D8671A">
        <w:rPr>
          <w:rFonts w:asciiTheme="majorBidi" w:hAnsiTheme="majorBidi" w:cstheme="majorBidi"/>
        </w:rPr>
        <w:t xml:space="preserve"> regrettably transferred the conflated vision of military and criminal activities of Ngiti militia into its analysis of the accused’s mental state. Katanga’s intent to contribute to the attack on Bogoro was established on the basis of his own testimony, despite the fact that the accused was referring to the attack on the UPC - a legitimate military target.</w:t>
      </w:r>
      <w:r w:rsidRPr="00D8671A">
        <w:rPr>
          <w:rStyle w:val="FootnoteReference"/>
          <w:rFonts w:asciiTheme="majorBidi" w:hAnsiTheme="majorBidi" w:cstheme="majorBidi"/>
        </w:rPr>
        <w:footnoteReference w:id="141"/>
      </w:r>
      <w:r w:rsidRPr="00D8671A">
        <w:rPr>
          <w:rFonts w:asciiTheme="majorBidi" w:hAnsiTheme="majorBidi" w:cstheme="majorBidi"/>
        </w:rPr>
        <w:t xml:space="preserve"> The Chamber further held that Katanga knew that the ammunition he supplied would be used during the attack. He was also aware that the methods of warfare </w:t>
      </w:r>
      <w:r w:rsidRPr="00D8671A">
        <w:rPr>
          <w:rFonts w:asciiTheme="majorBidi" w:hAnsiTheme="majorBidi" w:cstheme="majorBidi"/>
          <w:i/>
        </w:rPr>
        <w:t>generally</w:t>
      </w:r>
      <w:r w:rsidRPr="00D8671A">
        <w:rPr>
          <w:rFonts w:asciiTheme="majorBidi" w:hAnsiTheme="majorBidi" w:cstheme="majorBidi"/>
        </w:rPr>
        <w:t xml:space="preserve"> implemented in the region included atrocities against the civilians. Finally, Germain Katanga knew that the UPC was a Hema militia and he shared a strong anti-Hema sentiment.</w:t>
      </w:r>
      <w:r w:rsidRPr="00D8671A">
        <w:rPr>
          <w:rStyle w:val="FootnoteReference"/>
          <w:rFonts w:asciiTheme="majorBidi" w:hAnsiTheme="majorBidi" w:cstheme="majorBidi"/>
        </w:rPr>
        <w:footnoteReference w:id="142"/>
      </w:r>
      <w:r w:rsidRPr="00D8671A">
        <w:rPr>
          <w:rFonts w:asciiTheme="majorBidi" w:hAnsiTheme="majorBidi" w:cstheme="majorBidi"/>
        </w:rPr>
        <w:t xml:space="preserve"> Judge van den Wyngaert fairly raised concerns about the way Germain Katanga’s mental state was evaluated. She stressed that there was no evidence showing that Katanga’s contributions were specifically directed to the crimes and not just reconquering Bogoro, or that he shared anti-Hema ideology.</w:t>
      </w:r>
      <w:r w:rsidRPr="00D8671A">
        <w:rPr>
          <w:rStyle w:val="FootnoteReference"/>
          <w:rFonts w:asciiTheme="majorBidi" w:hAnsiTheme="majorBidi" w:cstheme="majorBidi"/>
        </w:rPr>
        <w:footnoteReference w:id="143"/>
      </w:r>
      <w:r w:rsidRPr="00D8671A">
        <w:rPr>
          <w:rFonts w:asciiTheme="majorBidi" w:hAnsiTheme="majorBidi" w:cstheme="majorBidi"/>
        </w:rPr>
        <w:t xml:space="preserve"> The factual analysis of Katanga’s mental state - similarly to the assessment </w:t>
      </w:r>
      <w:r w:rsidRPr="00D8671A">
        <w:rPr>
          <w:rFonts w:asciiTheme="majorBidi" w:hAnsiTheme="majorBidi" w:cstheme="majorBidi"/>
        </w:rPr>
        <w:lastRenderedPageBreak/>
        <w:t xml:space="preserve">of Lubanga’s fault - appears to be close to the standard of </w:t>
      </w:r>
      <w:r w:rsidRPr="00D8671A">
        <w:rPr>
          <w:rFonts w:asciiTheme="majorBidi" w:hAnsiTheme="majorBidi" w:cstheme="majorBidi"/>
          <w:i/>
        </w:rPr>
        <w:t xml:space="preserve">dolus eventualis, </w:t>
      </w:r>
      <w:r w:rsidR="001E1653" w:rsidRPr="00D8671A">
        <w:rPr>
          <w:rFonts w:asciiTheme="majorBidi" w:hAnsiTheme="majorBidi" w:cstheme="majorBidi"/>
        </w:rPr>
        <w:t xml:space="preserve">a doctrine that has been </w:t>
      </w:r>
      <w:r w:rsidRPr="00D8671A">
        <w:rPr>
          <w:rFonts w:asciiTheme="majorBidi" w:hAnsiTheme="majorBidi" w:cstheme="majorBidi"/>
        </w:rPr>
        <w:t>rejected by the ICC.</w:t>
      </w:r>
    </w:p>
    <w:p w14:paraId="64D53C6C" w14:textId="5A68FE23" w:rsidR="004B3BB4" w:rsidRPr="00D8671A" w:rsidRDefault="00B335BA" w:rsidP="00D8671A">
      <w:pPr>
        <w:pStyle w:val="Heading2"/>
        <w:spacing w:before="0" w:line="240" w:lineRule="auto"/>
        <w:rPr>
          <w:rFonts w:asciiTheme="majorBidi" w:hAnsiTheme="majorBidi"/>
          <w:color w:val="auto"/>
          <w:sz w:val="22"/>
          <w:szCs w:val="22"/>
        </w:rPr>
      </w:pPr>
      <w:r w:rsidRPr="00D8671A">
        <w:rPr>
          <w:rFonts w:asciiTheme="majorBidi" w:hAnsiTheme="majorBidi"/>
          <w:color w:val="auto"/>
          <w:sz w:val="22"/>
          <w:szCs w:val="22"/>
        </w:rPr>
        <w:t xml:space="preserve">The </w:t>
      </w:r>
      <w:r w:rsidR="004B3BB4" w:rsidRPr="00D8671A">
        <w:rPr>
          <w:rFonts w:asciiTheme="majorBidi" w:hAnsiTheme="majorBidi"/>
          <w:color w:val="auto"/>
          <w:sz w:val="22"/>
          <w:szCs w:val="22"/>
        </w:rPr>
        <w:t>Hierarchy of the Participation Modes?</w:t>
      </w:r>
      <w:bookmarkEnd w:id="0"/>
      <w:bookmarkEnd w:id="1"/>
      <w:bookmarkEnd w:id="2"/>
    </w:p>
    <w:p w14:paraId="43656A12" w14:textId="3DDCE714" w:rsidR="005F76FA" w:rsidRPr="00D8671A" w:rsidRDefault="00870EFC" w:rsidP="00BE3AE2">
      <w:pPr>
        <w:widowControl w:val="0"/>
        <w:autoSpaceDE w:val="0"/>
        <w:autoSpaceDN w:val="0"/>
        <w:adjustRightInd w:val="0"/>
        <w:spacing w:after="0" w:line="240" w:lineRule="auto"/>
        <w:rPr>
          <w:rFonts w:asciiTheme="majorBidi" w:hAnsiTheme="majorBidi" w:cstheme="majorBidi"/>
        </w:rPr>
      </w:pPr>
      <w:r w:rsidRPr="00D8671A">
        <w:rPr>
          <w:rFonts w:asciiTheme="majorBidi" w:hAnsiTheme="majorBidi" w:cstheme="majorBidi"/>
        </w:rPr>
        <w:t>The judgments</w:t>
      </w:r>
      <w:r w:rsidR="00605FF7" w:rsidRPr="00D8671A">
        <w:rPr>
          <w:rFonts w:asciiTheme="majorBidi" w:hAnsiTheme="majorBidi" w:cstheme="majorBidi"/>
        </w:rPr>
        <w:t xml:space="preserve"> and decisions</w:t>
      </w:r>
      <w:r w:rsidRPr="00D8671A">
        <w:rPr>
          <w:rFonts w:asciiTheme="majorBidi" w:hAnsiTheme="majorBidi" w:cstheme="majorBidi"/>
        </w:rPr>
        <w:t xml:space="preserve"> </w:t>
      </w:r>
      <w:r w:rsidR="00615858" w:rsidRPr="00D8671A">
        <w:rPr>
          <w:rFonts w:asciiTheme="majorBidi" w:hAnsiTheme="majorBidi" w:cstheme="majorBidi"/>
        </w:rPr>
        <w:t>reviewed</w:t>
      </w:r>
      <w:r w:rsidR="00134E96" w:rsidRPr="00D8671A">
        <w:rPr>
          <w:rFonts w:asciiTheme="majorBidi" w:hAnsiTheme="majorBidi" w:cstheme="majorBidi"/>
        </w:rPr>
        <w:t xml:space="preserve"> in the previous se</w:t>
      </w:r>
      <w:r w:rsidR="002862E8" w:rsidRPr="00D8671A">
        <w:rPr>
          <w:rFonts w:asciiTheme="majorBidi" w:hAnsiTheme="majorBidi" w:cstheme="majorBidi"/>
        </w:rPr>
        <w:t xml:space="preserve">ction demonstrate the difficulties the </w:t>
      </w:r>
      <w:r w:rsidR="00615858" w:rsidRPr="00D8671A">
        <w:rPr>
          <w:rFonts w:asciiTheme="majorBidi" w:hAnsiTheme="majorBidi" w:cstheme="majorBidi"/>
        </w:rPr>
        <w:t>Court</w:t>
      </w:r>
      <w:r w:rsidR="006D24EE" w:rsidRPr="00D8671A">
        <w:rPr>
          <w:rFonts w:asciiTheme="majorBidi" w:hAnsiTheme="majorBidi" w:cstheme="majorBidi"/>
        </w:rPr>
        <w:t xml:space="preserve"> encountered</w:t>
      </w:r>
      <w:r w:rsidR="001E1653" w:rsidRPr="00D8671A">
        <w:rPr>
          <w:rFonts w:asciiTheme="majorBidi" w:hAnsiTheme="majorBidi" w:cstheme="majorBidi"/>
        </w:rPr>
        <w:t xml:space="preserve"> when </w:t>
      </w:r>
      <w:r w:rsidR="00134E96" w:rsidRPr="00D8671A">
        <w:rPr>
          <w:rFonts w:asciiTheme="majorBidi" w:hAnsiTheme="majorBidi" w:cstheme="majorBidi"/>
        </w:rPr>
        <w:t>interpreting Article 25(3).</w:t>
      </w:r>
      <w:r w:rsidR="00B433AA" w:rsidRPr="00D8671A">
        <w:rPr>
          <w:rFonts w:asciiTheme="majorBidi" w:hAnsiTheme="majorBidi" w:cstheme="majorBidi"/>
        </w:rPr>
        <w:t xml:space="preserve"> </w:t>
      </w:r>
      <w:r w:rsidR="00FC4CAD" w:rsidRPr="00D8671A">
        <w:rPr>
          <w:rFonts w:asciiTheme="majorBidi" w:hAnsiTheme="majorBidi" w:cstheme="majorBidi"/>
        </w:rPr>
        <w:t xml:space="preserve">One of the biggest problems </w:t>
      </w:r>
      <w:r w:rsidR="00B433AA" w:rsidRPr="00D8671A">
        <w:rPr>
          <w:rFonts w:asciiTheme="majorBidi" w:hAnsiTheme="majorBidi" w:cstheme="majorBidi"/>
        </w:rPr>
        <w:t xml:space="preserve">plaguing the interpretation of this article </w:t>
      </w:r>
      <w:r w:rsidR="00FC4CAD" w:rsidRPr="00D8671A">
        <w:rPr>
          <w:rFonts w:asciiTheme="majorBidi" w:hAnsiTheme="majorBidi" w:cstheme="majorBidi"/>
        </w:rPr>
        <w:t xml:space="preserve">appears to be </w:t>
      </w:r>
      <w:r w:rsidR="00BC42E5" w:rsidRPr="00D8671A">
        <w:rPr>
          <w:rFonts w:asciiTheme="majorBidi" w:hAnsiTheme="majorBidi" w:cstheme="majorBidi"/>
        </w:rPr>
        <w:t xml:space="preserve">the </w:t>
      </w:r>
      <w:r w:rsidR="0072205B" w:rsidRPr="00D8671A">
        <w:rPr>
          <w:rFonts w:asciiTheme="majorBidi" w:hAnsiTheme="majorBidi" w:cstheme="majorBidi"/>
        </w:rPr>
        <w:t>complexity</w:t>
      </w:r>
      <w:r w:rsidR="00B433AA" w:rsidRPr="00D8671A">
        <w:rPr>
          <w:rFonts w:asciiTheme="majorBidi" w:hAnsiTheme="majorBidi" w:cstheme="majorBidi"/>
        </w:rPr>
        <w:t xml:space="preserve"> of establishing the fault requirement </w:t>
      </w:r>
      <w:r w:rsidR="0072205B" w:rsidRPr="00D8671A">
        <w:rPr>
          <w:rFonts w:asciiTheme="majorBidi" w:hAnsiTheme="majorBidi" w:cstheme="majorBidi"/>
        </w:rPr>
        <w:t>in the light of</w:t>
      </w:r>
      <w:r w:rsidR="00BC42E5" w:rsidRPr="00D8671A">
        <w:rPr>
          <w:rFonts w:asciiTheme="majorBidi" w:hAnsiTheme="majorBidi" w:cstheme="majorBidi"/>
        </w:rPr>
        <w:t xml:space="preserve"> the demands of Article 30 of the Rome Statute</w:t>
      </w:r>
      <w:r w:rsidR="00FC4CAD" w:rsidRPr="00D8671A">
        <w:rPr>
          <w:rFonts w:asciiTheme="majorBidi" w:hAnsiTheme="majorBidi" w:cstheme="majorBidi"/>
        </w:rPr>
        <w:t xml:space="preserve">. The other </w:t>
      </w:r>
      <w:r w:rsidR="00D73200" w:rsidRPr="00D8671A">
        <w:rPr>
          <w:rFonts w:asciiTheme="majorBidi" w:hAnsiTheme="majorBidi" w:cstheme="majorBidi"/>
        </w:rPr>
        <w:t>difficulty</w:t>
      </w:r>
      <w:r w:rsidR="00FC4CAD" w:rsidRPr="00D8671A">
        <w:rPr>
          <w:rFonts w:asciiTheme="majorBidi" w:hAnsiTheme="majorBidi" w:cstheme="majorBidi"/>
        </w:rPr>
        <w:t xml:space="preserve"> is the </w:t>
      </w:r>
      <w:r w:rsidR="00BC42E5" w:rsidRPr="00D8671A">
        <w:rPr>
          <w:rFonts w:asciiTheme="majorBidi" w:hAnsiTheme="majorBidi" w:cstheme="majorBidi"/>
        </w:rPr>
        <w:t>struggle to find the suitable form of responsibility</w:t>
      </w:r>
      <w:r w:rsidR="002019C8" w:rsidRPr="00D8671A">
        <w:rPr>
          <w:rFonts w:asciiTheme="majorBidi" w:hAnsiTheme="majorBidi" w:cstheme="majorBidi"/>
        </w:rPr>
        <w:t xml:space="preserve"> </w:t>
      </w:r>
      <w:r w:rsidR="001E1653" w:rsidRPr="00D8671A">
        <w:rPr>
          <w:rFonts w:asciiTheme="majorBidi" w:hAnsiTheme="majorBidi" w:cstheme="majorBidi"/>
        </w:rPr>
        <w:t xml:space="preserve">that </w:t>
      </w:r>
      <w:r w:rsidR="00936222" w:rsidRPr="00D8671A">
        <w:rPr>
          <w:rFonts w:asciiTheme="majorBidi" w:hAnsiTheme="majorBidi" w:cstheme="majorBidi"/>
        </w:rPr>
        <w:t>accurately</w:t>
      </w:r>
      <w:r w:rsidR="002019C8" w:rsidRPr="00D8671A">
        <w:rPr>
          <w:rFonts w:asciiTheme="majorBidi" w:hAnsiTheme="majorBidi" w:cstheme="majorBidi"/>
        </w:rPr>
        <w:t xml:space="preserve"> reflect</w:t>
      </w:r>
      <w:r w:rsidR="001E1653" w:rsidRPr="00D8671A">
        <w:rPr>
          <w:rFonts w:asciiTheme="majorBidi" w:hAnsiTheme="majorBidi" w:cstheme="majorBidi"/>
        </w:rPr>
        <w:t>s</w:t>
      </w:r>
      <w:r w:rsidR="002019C8" w:rsidRPr="00D8671A">
        <w:rPr>
          <w:rFonts w:asciiTheme="majorBidi" w:hAnsiTheme="majorBidi" w:cstheme="majorBidi"/>
        </w:rPr>
        <w:t xml:space="preserve"> </w:t>
      </w:r>
      <w:r w:rsidR="001E1653" w:rsidRPr="00D8671A">
        <w:rPr>
          <w:rFonts w:asciiTheme="majorBidi" w:hAnsiTheme="majorBidi" w:cstheme="majorBidi"/>
        </w:rPr>
        <w:t xml:space="preserve">the </w:t>
      </w:r>
      <w:r w:rsidR="002019C8" w:rsidRPr="00D8671A">
        <w:rPr>
          <w:rFonts w:asciiTheme="majorBidi" w:hAnsiTheme="majorBidi" w:cstheme="majorBidi"/>
        </w:rPr>
        <w:t xml:space="preserve">culpability of </w:t>
      </w:r>
      <w:r w:rsidR="006754D1" w:rsidRPr="00D8671A">
        <w:rPr>
          <w:rFonts w:asciiTheme="majorBidi" w:hAnsiTheme="majorBidi" w:cstheme="majorBidi"/>
        </w:rPr>
        <w:t>the accused</w:t>
      </w:r>
      <w:r w:rsidR="00BE0450" w:rsidRPr="00D8671A">
        <w:rPr>
          <w:rFonts w:asciiTheme="majorBidi" w:hAnsiTheme="majorBidi" w:cstheme="majorBidi"/>
        </w:rPr>
        <w:t xml:space="preserve"> in the context of mass criminality</w:t>
      </w:r>
      <w:r w:rsidR="006754D1" w:rsidRPr="00D8671A">
        <w:rPr>
          <w:rFonts w:asciiTheme="majorBidi" w:hAnsiTheme="majorBidi" w:cstheme="majorBidi"/>
        </w:rPr>
        <w:t>.</w:t>
      </w:r>
      <w:r w:rsidR="005F76FA" w:rsidRPr="00D8671A">
        <w:rPr>
          <w:rFonts w:asciiTheme="majorBidi" w:hAnsiTheme="majorBidi" w:cstheme="majorBidi"/>
        </w:rPr>
        <w:t xml:space="preserve"> </w:t>
      </w:r>
      <w:r w:rsidR="001E1653" w:rsidRPr="00D8671A">
        <w:rPr>
          <w:rFonts w:asciiTheme="majorBidi" w:hAnsiTheme="majorBidi" w:cstheme="majorBidi"/>
        </w:rPr>
        <w:t xml:space="preserve">In order to overcome this difficulty, it is crucial that we answer </w:t>
      </w:r>
      <w:r w:rsidR="006754D1" w:rsidRPr="00D8671A">
        <w:rPr>
          <w:rFonts w:asciiTheme="majorBidi" w:hAnsiTheme="majorBidi" w:cstheme="majorBidi"/>
        </w:rPr>
        <w:t>the</w:t>
      </w:r>
      <w:r w:rsidR="00027ABD" w:rsidRPr="00D8671A">
        <w:rPr>
          <w:rFonts w:asciiTheme="majorBidi" w:hAnsiTheme="majorBidi" w:cstheme="majorBidi"/>
        </w:rPr>
        <w:t xml:space="preserve"> question </w:t>
      </w:r>
      <w:r w:rsidR="001E1653" w:rsidRPr="00D8671A">
        <w:rPr>
          <w:rFonts w:asciiTheme="majorBidi" w:hAnsiTheme="majorBidi" w:cstheme="majorBidi"/>
        </w:rPr>
        <w:t>of</w:t>
      </w:r>
      <w:r w:rsidR="00027ABD" w:rsidRPr="00D8671A">
        <w:rPr>
          <w:rFonts w:asciiTheme="majorBidi" w:hAnsiTheme="majorBidi" w:cstheme="majorBidi"/>
        </w:rPr>
        <w:t xml:space="preserve"> whether the forms of participation </w:t>
      </w:r>
      <w:r w:rsidR="001E1653" w:rsidRPr="00D8671A">
        <w:rPr>
          <w:rFonts w:asciiTheme="majorBidi" w:hAnsiTheme="majorBidi" w:cstheme="majorBidi"/>
        </w:rPr>
        <w:t xml:space="preserve">within the Rome Statute </w:t>
      </w:r>
      <w:r w:rsidR="00027ABD" w:rsidRPr="00D8671A">
        <w:rPr>
          <w:rFonts w:asciiTheme="majorBidi" w:hAnsiTheme="majorBidi" w:cstheme="majorBidi"/>
        </w:rPr>
        <w:t>are arranged in the hierarchical manner</w:t>
      </w:r>
      <w:r w:rsidR="001E1653" w:rsidRPr="00D8671A">
        <w:rPr>
          <w:rFonts w:asciiTheme="majorBidi" w:hAnsiTheme="majorBidi" w:cstheme="majorBidi"/>
        </w:rPr>
        <w:t xml:space="preserve"> or otherwise</w:t>
      </w:r>
      <w:r w:rsidR="00027ABD" w:rsidRPr="00D8671A">
        <w:rPr>
          <w:rFonts w:asciiTheme="majorBidi" w:hAnsiTheme="majorBidi" w:cstheme="majorBidi"/>
        </w:rPr>
        <w:t>.</w:t>
      </w:r>
      <w:r w:rsidR="00FD526A" w:rsidRPr="00D8671A">
        <w:rPr>
          <w:rStyle w:val="FootnoteReference"/>
          <w:rFonts w:asciiTheme="majorBidi" w:hAnsiTheme="majorBidi" w:cstheme="majorBidi"/>
        </w:rPr>
        <w:footnoteReference w:id="144"/>
      </w:r>
    </w:p>
    <w:p w14:paraId="794618C7" w14:textId="06DFAEC8" w:rsidR="004B3BB4" w:rsidRPr="00D8671A" w:rsidRDefault="004B3BB4" w:rsidP="00566D5D">
      <w:pPr>
        <w:widowControl w:val="0"/>
        <w:autoSpaceDE w:val="0"/>
        <w:autoSpaceDN w:val="0"/>
        <w:adjustRightInd w:val="0"/>
        <w:spacing w:after="0" w:line="240" w:lineRule="auto"/>
        <w:ind w:firstLine="720"/>
        <w:rPr>
          <w:rFonts w:asciiTheme="majorBidi" w:hAnsiTheme="majorBidi" w:cstheme="majorBidi"/>
        </w:rPr>
      </w:pPr>
      <w:r w:rsidRPr="00D8671A">
        <w:rPr>
          <w:rFonts w:asciiTheme="majorBidi" w:hAnsiTheme="majorBidi" w:cstheme="majorBidi"/>
        </w:rPr>
        <w:t xml:space="preserve">The ICC raised the question of hierarchy on several occasions in its previous case law. </w:t>
      </w:r>
      <w:r w:rsidR="00572BC6" w:rsidRPr="00D8671A">
        <w:rPr>
          <w:rFonts w:asciiTheme="majorBidi" w:hAnsiTheme="majorBidi" w:cstheme="majorBidi"/>
        </w:rPr>
        <w:t xml:space="preserve">In </w:t>
      </w:r>
      <w:r w:rsidR="00572BC6" w:rsidRPr="00D8671A">
        <w:rPr>
          <w:rFonts w:asciiTheme="majorBidi" w:hAnsiTheme="majorBidi" w:cstheme="majorBidi"/>
          <w:i/>
        </w:rPr>
        <w:t>Mbarushimana</w:t>
      </w:r>
      <w:r w:rsidR="00572BC6" w:rsidRPr="00D8671A">
        <w:rPr>
          <w:rFonts w:asciiTheme="majorBidi" w:hAnsiTheme="majorBidi" w:cstheme="majorBidi"/>
        </w:rPr>
        <w:t>, the judges referred to Gerhard Werle’s argument that the modes of liability listed in article 25(3) of the Statute are arranged in accordance with a value-oriented hierarchy of participation in a crime under international law.</w:t>
      </w:r>
      <w:r w:rsidR="00572BC6" w:rsidRPr="00D8671A">
        <w:rPr>
          <w:rStyle w:val="FootnoteReference"/>
          <w:rFonts w:asciiTheme="majorBidi" w:hAnsiTheme="majorBidi" w:cstheme="majorBidi"/>
        </w:rPr>
        <w:footnoteReference w:id="145"/>
      </w:r>
      <w:r w:rsidR="00572BC6" w:rsidRPr="00D8671A">
        <w:rPr>
          <w:rFonts w:asciiTheme="majorBidi" w:hAnsiTheme="majorBidi" w:cstheme="majorBidi"/>
        </w:rPr>
        <w:t xml:space="preserve"> </w:t>
      </w:r>
      <w:r w:rsidRPr="00D8671A">
        <w:rPr>
          <w:rFonts w:asciiTheme="majorBidi" w:hAnsiTheme="majorBidi" w:cstheme="majorBidi"/>
        </w:rPr>
        <w:t xml:space="preserve">The </w:t>
      </w:r>
      <w:r w:rsidRPr="00D8671A">
        <w:rPr>
          <w:rFonts w:asciiTheme="majorBidi" w:hAnsiTheme="majorBidi" w:cstheme="majorBidi"/>
          <w:i/>
        </w:rPr>
        <w:t>Katanga</w:t>
      </w:r>
      <w:r w:rsidRPr="00D8671A">
        <w:rPr>
          <w:rFonts w:asciiTheme="majorBidi" w:hAnsiTheme="majorBidi" w:cstheme="majorBidi"/>
        </w:rPr>
        <w:t xml:space="preserve"> Pre-Trial Chamber implicitly confirmed the existence of </w:t>
      </w:r>
      <w:r w:rsidR="001E1653" w:rsidRPr="00D8671A">
        <w:rPr>
          <w:rFonts w:asciiTheme="majorBidi" w:hAnsiTheme="majorBidi" w:cstheme="majorBidi"/>
        </w:rPr>
        <w:t xml:space="preserve">a hierarchy in </w:t>
      </w:r>
      <w:r w:rsidRPr="00D8671A">
        <w:rPr>
          <w:rFonts w:asciiTheme="majorBidi" w:hAnsiTheme="majorBidi" w:cstheme="majorBidi"/>
        </w:rPr>
        <w:t xml:space="preserve">the </w:t>
      </w:r>
      <w:r w:rsidR="00B335BA" w:rsidRPr="00D8671A">
        <w:rPr>
          <w:rFonts w:asciiTheme="majorBidi" w:hAnsiTheme="majorBidi" w:cstheme="majorBidi"/>
        </w:rPr>
        <w:t>forms</w:t>
      </w:r>
      <w:r w:rsidRPr="00D8671A">
        <w:rPr>
          <w:rFonts w:asciiTheme="majorBidi" w:hAnsiTheme="majorBidi" w:cstheme="majorBidi"/>
        </w:rPr>
        <w:t xml:space="preserve"> of participation</w:t>
      </w:r>
      <w:r w:rsidR="001E1653" w:rsidRPr="00D8671A">
        <w:rPr>
          <w:rFonts w:asciiTheme="majorBidi" w:hAnsiTheme="majorBidi" w:cstheme="majorBidi"/>
        </w:rPr>
        <w:t>, whereby more serious forms of participation include less serious forms of participation</w:t>
      </w:r>
      <w:r w:rsidR="00B335BA" w:rsidRPr="00D8671A">
        <w:rPr>
          <w:rFonts w:asciiTheme="majorBidi" w:hAnsiTheme="majorBidi" w:cstheme="majorBidi"/>
        </w:rPr>
        <w:t xml:space="preserve">: this is </w:t>
      </w:r>
      <w:r w:rsidR="00572BC6" w:rsidRPr="00D8671A">
        <w:rPr>
          <w:rFonts w:asciiTheme="majorBidi" w:hAnsiTheme="majorBidi" w:cstheme="majorBidi"/>
        </w:rPr>
        <w:t>evident from its decision</w:t>
      </w:r>
      <w:r w:rsidRPr="00D8671A">
        <w:rPr>
          <w:rFonts w:asciiTheme="majorBidi" w:hAnsiTheme="majorBidi" w:cstheme="majorBidi"/>
        </w:rPr>
        <w:t xml:space="preserve"> to dismiss the alternative charge of accessorial liability for </w:t>
      </w:r>
      <w:r w:rsidR="00F22C52" w:rsidRPr="00D8671A">
        <w:rPr>
          <w:rFonts w:asciiTheme="majorBidi" w:hAnsiTheme="majorBidi" w:cstheme="majorBidi"/>
        </w:rPr>
        <w:t>“</w:t>
      </w:r>
      <w:r w:rsidRPr="00D8671A">
        <w:rPr>
          <w:rFonts w:asciiTheme="majorBidi" w:hAnsiTheme="majorBidi" w:cstheme="majorBidi"/>
        </w:rPr>
        <w:t>ordering</w:t>
      </w:r>
      <w:r w:rsidR="00F22C52" w:rsidRPr="00D8671A">
        <w:rPr>
          <w:rFonts w:asciiTheme="majorBidi" w:hAnsiTheme="majorBidi" w:cstheme="majorBidi"/>
        </w:rPr>
        <w:t>”</w:t>
      </w:r>
      <w:r w:rsidRPr="00D8671A">
        <w:rPr>
          <w:rFonts w:asciiTheme="majorBidi" w:hAnsiTheme="majorBidi" w:cstheme="majorBidi"/>
        </w:rPr>
        <w:t xml:space="preserve"> the commission of war crimes and crimes against humanity pursuant to Article 25(3)(b) as </w:t>
      </w:r>
      <w:r w:rsidR="00F22C52" w:rsidRPr="00D8671A">
        <w:rPr>
          <w:rFonts w:asciiTheme="majorBidi" w:hAnsiTheme="majorBidi" w:cstheme="majorBidi"/>
        </w:rPr>
        <w:t>“</w:t>
      </w:r>
      <w:r w:rsidRPr="00D8671A">
        <w:rPr>
          <w:rFonts w:asciiTheme="majorBidi" w:hAnsiTheme="majorBidi" w:cstheme="majorBidi"/>
        </w:rPr>
        <w:t>moot</w:t>
      </w:r>
      <w:r w:rsidR="00F22C52" w:rsidRPr="00D8671A">
        <w:rPr>
          <w:rFonts w:asciiTheme="majorBidi" w:hAnsiTheme="majorBidi" w:cstheme="majorBidi"/>
        </w:rPr>
        <w:t>”</w:t>
      </w:r>
      <w:r w:rsidRPr="00D8671A">
        <w:rPr>
          <w:rFonts w:asciiTheme="majorBidi" w:hAnsiTheme="majorBidi" w:cstheme="majorBidi"/>
        </w:rPr>
        <w:t xml:space="preserve"> upon finding sufficient grounds to believe the accused are responsible as principals pursuant to Article 25(3)(a).</w:t>
      </w:r>
      <w:r w:rsidRPr="00D8671A">
        <w:rPr>
          <w:rStyle w:val="FootnoteReference"/>
          <w:rFonts w:asciiTheme="majorBidi" w:hAnsiTheme="majorBidi" w:cstheme="majorBidi"/>
        </w:rPr>
        <w:footnoteReference w:id="146"/>
      </w:r>
      <w:r w:rsidR="007D4250" w:rsidRPr="00D8671A">
        <w:rPr>
          <w:rFonts w:asciiTheme="majorBidi" w:hAnsiTheme="majorBidi" w:cstheme="majorBidi"/>
        </w:rPr>
        <w:t xml:space="preserve"> Further support for the hierarchy came from the subsequent change of the legal</w:t>
      </w:r>
      <w:r w:rsidRPr="00D8671A">
        <w:rPr>
          <w:rFonts w:asciiTheme="majorBidi" w:hAnsiTheme="majorBidi" w:cstheme="majorBidi"/>
        </w:rPr>
        <w:t xml:space="preserve"> characterization of Katanga’s </w:t>
      </w:r>
      <w:r w:rsidR="00BF48E6" w:rsidRPr="00D8671A">
        <w:rPr>
          <w:rFonts w:asciiTheme="majorBidi" w:hAnsiTheme="majorBidi" w:cstheme="majorBidi"/>
        </w:rPr>
        <w:t>modes of liability</w:t>
      </w:r>
      <w:r w:rsidRPr="00D8671A">
        <w:rPr>
          <w:rFonts w:asciiTheme="majorBidi" w:hAnsiTheme="majorBidi" w:cstheme="majorBidi"/>
        </w:rPr>
        <w:t xml:space="preserve"> from </w:t>
      </w:r>
      <w:r w:rsidR="00F22C52" w:rsidRPr="00D8671A">
        <w:rPr>
          <w:rFonts w:asciiTheme="majorBidi" w:hAnsiTheme="majorBidi" w:cstheme="majorBidi"/>
        </w:rPr>
        <w:t>“</w:t>
      </w:r>
      <w:r w:rsidRPr="00D8671A">
        <w:rPr>
          <w:rFonts w:asciiTheme="majorBidi" w:hAnsiTheme="majorBidi" w:cstheme="majorBidi"/>
        </w:rPr>
        <w:t>indirect co-perpetration</w:t>
      </w:r>
      <w:r w:rsidR="00F22C52" w:rsidRPr="00D8671A">
        <w:rPr>
          <w:rFonts w:asciiTheme="majorBidi" w:hAnsiTheme="majorBidi" w:cstheme="majorBidi"/>
        </w:rPr>
        <w:t>”</w:t>
      </w:r>
      <w:r w:rsidRPr="00D8671A">
        <w:rPr>
          <w:rFonts w:asciiTheme="majorBidi" w:hAnsiTheme="majorBidi" w:cstheme="majorBidi"/>
        </w:rPr>
        <w:t xml:space="preserve"> pursuant to subparagraph (a) to </w:t>
      </w:r>
      <w:r w:rsidR="00F22C52" w:rsidRPr="00D8671A">
        <w:rPr>
          <w:rFonts w:asciiTheme="majorBidi" w:hAnsiTheme="majorBidi" w:cstheme="majorBidi"/>
        </w:rPr>
        <w:t>“</w:t>
      </w:r>
      <w:r w:rsidRPr="00D8671A">
        <w:rPr>
          <w:rFonts w:asciiTheme="majorBidi" w:hAnsiTheme="majorBidi" w:cstheme="majorBidi"/>
        </w:rPr>
        <w:t>contribution to the commission of a crime by a group</w:t>
      </w:r>
      <w:r w:rsidR="00F22C52" w:rsidRPr="00D8671A">
        <w:rPr>
          <w:rFonts w:asciiTheme="majorBidi" w:hAnsiTheme="majorBidi" w:cstheme="majorBidi"/>
        </w:rPr>
        <w:t>”</w:t>
      </w:r>
      <w:r w:rsidRPr="00D8671A">
        <w:rPr>
          <w:rFonts w:asciiTheme="majorBidi" w:hAnsiTheme="majorBidi" w:cstheme="majorBidi"/>
        </w:rPr>
        <w:t xml:space="preserve"> on the basis of subparagraph (d). In the </w:t>
      </w:r>
      <w:r w:rsidR="007D4250" w:rsidRPr="00D8671A">
        <w:rPr>
          <w:rFonts w:asciiTheme="majorBidi" w:hAnsiTheme="majorBidi" w:cstheme="majorBidi"/>
        </w:rPr>
        <w:t xml:space="preserve">Trial </w:t>
      </w:r>
      <w:r w:rsidRPr="00D8671A">
        <w:rPr>
          <w:rFonts w:asciiTheme="majorBidi" w:hAnsiTheme="majorBidi" w:cstheme="majorBidi"/>
        </w:rPr>
        <w:t xml:space="preserve">Chamber’s view this change was not prejudicial to the rights of the accused, </w:t>
      </w:r>
      <w:r w:rsidRPr="00D8671A">
        <w:rPr>
          <w:rFonts w:asciiTheme="majorBidi" w:hAnsiTheme="majorBidi" w:cstheme="majorBidi"/>
          <w:i/>
        </w:rPr>
        <w:t>inter alia</w:t>
      </w:r>
      <w:r w:rsidRPr="00D8671A">
        <w:rPr>
          <w:rFonts w:asciiTheme="majorBidi" w:hAnsiTheme="majorBidi" w:cstheme="majorBidi"/>
        </w:rPr>
        <w:t xml:space="preserve">, because the elements of participation in a crime within the meaning of Article 25(3)(d) </w:t>
      </w:r>
      <w:r w:rsidRPr="00D8671A">
        <w:rPr>
          <w:rFonts w:asciiTheme="majorBidi" w:hAnsiTheme="majorBidi" w:cstheme="majorBidi"/>
          <w:i/>
        </w:rPr>
        <w:t xml:space="preserve">are an integral part </w:t>
      </w:r>
      <w:r w:rsidRPr="00D8671A">
        <w:rPr>
          <w:rFonts w:asciiTheme="majorBidi" w:hAnsiTheme="majorBidi" w:cstheme="majorBidi"/>
        </w:rPr>
        <w:t>of the material elements characterizing the commission of a crime within the meaning of Article 25(3)(a).</w:t>
      </w:r>
      <w:r w:rsidRPr="00D8671A">
        <w:rPr>
          <w:rStyle w:val="FootnoteReference"/>
          <w:rFonts w:asciiTheme="majorBidi" w:hAnsiTheme="majorBidi" w:cstheme="majorBidi"/>
        </w:rPr>
        <w:footnoteReference w:id="147"/>
      </w:r>
      <w:r w:rsidRPr="00D8671A">
        <w:rPr>
          <w:rFonts w:asciiTheme="majorBidi" w:hAnsiTheme="majorBidi" w:cstheme="majorBidi"/>
        </w:rPr>
        <w:t xml:space="preserve"> This logic follows from the assumption that principal liability ‘subsumes’ accomplice liability.</w:t>
      </w:r>
      <w:r w:rsidRPr="00D8671A">
        <w:rPr>
          <w:rStyle w:val="FootnoteReference"/>
          <w:rFonts w:asciiTheme="majorBidi" w:hAnsiTheme="majorBidi" w:cstheme="majorBidi"/>
        </w:rPr>
        <w:footnoteReference w:id="148"/>
      </w:r>
    </w:p>
    <w:p w14:paraId="1131851B" w14:textId="3C55D669" w:rsidR="004B3BB4" w:rsidRPr="00D8671A" w:rsidRDefault="00572BC6" w:rsidP="00566D5D">
      <w:pPr>
        <w:widowControl w:val="0"/>
        <w:autoSpaceDE w:val="0"/>
        <w:autoSpaceDN w:val="0"/>
        <w:adjustRightInd w:val="0"/>
        <w:spacing w:after="0" w:line="240" w:lineRule="auto"/>
        <w:ind w:firstLine="720"/>
        <w:rPr>
          <w:rFonts w:asciiTheme="majorBidi" w:hAnsiTheme="majorBidi" w:cstheme="majorBidi"/>
        </w:rPr>
      </w:pPr>
      <w:r w:rsidRPr="00D8671A">
        <w:rPr>
          <w:rFonts w:asciiTheme="majorBidi" w:hAnsiTheme="majorBidi" w:cstheme="majorBidi"/>
        </w:rPr>
        <w:t>Finally</w:t>
      </w:r>
      <w:r w:rsidR="004B3BB4" w:rsidRPr="00D8671A">
        <w:rPr>
          <w:rFonts w:asciiTheme="majorBidi" w:hAnsiTheme="majorBidi" w:cstheme="majorBidi"/>
        </w:rPr>
        <w:t>, the</w:t>
      </w:r>
      <w:r w:rsidR="0016643D" w:rsidRPr="00D8671A">
        <w:rPr>
          <w:rFonts w:asciiTheme="majorBidi" w:hAnsiTheme="majorBidi" w:cstheme="majorBidi"/>
        </w:rPr>
        <w:t xml:space="preserve"> </w:t>
      </w:r>
      <w:r w:rsidR="004B3BB4" w:rsidRPr="00D8671A">
        <w:rPr>
          <w:rFonts w:asciiTheme="majorBidi" w:hAnsiTheme="majorBidi" w:cstheme="majorBidi"/>
          <w:i/>
        </w:rPr>
        <w:t>Lubanga</w:t>
      </w:r>
      <w:r w:rsidR="004B3BB4" w:rsidRPr="00D8671A">
        <w:rPr>
          <w:rFonts w:asciiTheme="majorBidi" w:hAnsiTheme="majorBidi" w:cstheme="majorBidi"/>
        </w:rPr>
        <w:t xml:space="preserve"> </w:t>
      </w:r>
      <w:r w:rsidR="00EC22AE" w:rsidRPr="00D8671A">
        <w:rPr>
          <w:rFonts w:asciiTheme="majorBidi" w:hAnsiTheme="majorBidi" w:cstheme="majorBidi"/>
        </w:rPr>
        <w:t xml:space="preserve">trial </w:t>
      </w:r>
      <w:r w:rsidR="004B3BB4" w:rsidRPr="00D8671A">
        <w:rPr>
          <w:rFonts w:asciiTheme="majorBidi" w:hAnsiTheme="majorBidi" w:cstheme="majorBidi"/>
        </w:rPr>
        <w:t xml:space="preserve">judgment established </w:t>
      </w:r>
      <w:r w:rsidR="001E1653" w:rsidRPr="00D8671A">
        <w:rPr>
          <w:rFonts w:asciiTheme="majorBidi" w:hAnsiTheme="majorBidi" w:cstheme="majorBidi"/>
        </w:rPr>
        <w:t xml:space="preserve">a pecking order </w:t>
      </w:r>
      <w:r w:rsidR="004B3BB4" w:rsidRPr="00D8671A">
        <w:rPr>
          <w:rFonts w:asciiTheme="majorBidi" w:hAnsiTheme="majorBidi" w:cstheme="majorBidi"/>
        </w:rPr>
        <w:t>between the perpetrator referred to in paragraph (a) and accessories mentioned in paragraphs (b) – (d).</w:t>
      </w:r>
      <w:r w:rsidR="004B3BB4" w:rsidRPr="00D8671A">
        <w:rPr>
          <w:rStyle w:val="FootnoteReference"/>
          <w:rFonts w:asciiTheme="majorBidi" w:hAnsiTheme="majorBidi" w:cstheme="majorBidi"/>
        </w:rPr>
        <w:footnoteReference w:id="149"/>
      </w:r>
      <w:r w:rsidR="004B3BB4" w:rsidRPr="00D8671A">
        <w:rPr>
          <w:rFonts w:asciiTheme="majorBidi" w:hAnsiTheme="majorBidi" w:cstheme="majorBidi"/>
        </w:rPr>
        <w:t xml:space="preserve"> The Chamber found that article 25(3)(a) refers to the principal liability of someone committing a crime, as opposed to the secondary liability, dependent on the act of the perpetrator, enshrined in Article 25(3)(b) and (c).</w:t>
      </w:r>
      <w:r w:rsidR="004B3BB4" w:rsidRPr="00D8671A">
        <w:rPr>
          <w:rStyle w:val="FootnoteReference"/>
          <w:rFonts w:asciiTheme="majorBidi" w:hAnsiTheme="majorBidi" w:cstheme="majorBidi"/>
        </w:rPr>
        <w:footnoteReference w:id="150"/>
      </w:r>
      <w:r w:rsidR="004B3BB4" w:rsidRPr="00D8671A">
        <w:rPr>
          <w:rFonts w:asciiTheme="majorBidi" w:hAnsiTheme="majorBidi" w:cstheme="majorBidi"/>
        </w:rPr>
        <w:t xml:space="preserve"> </w:t>
      </w:r>
      <w:r w:rsidR="002C0FBF" w:rsidRPr="00D8671A">
        <w:rPr>
          <w:rFonts w:asciiTheme="majorBidi" w:hAnsiTheme="majorBidi" w:cstheme="majorBidi"/>
        </w:rPr>
        <w:t>The Majority reasoning was that the</w:t>
      </w:r>
      <w:r w:rsidR="004B3BB4" w:rsidRPr="00D8671A">
        <w:rPr>
          <w:rFonts w:asciiTheme="majorBidi" w:hAnsiTheme="majorBidi" w:cstheme="majorBidi"/>
        </w:rPr>
        <w:t xml:space="preserve"> level of contribution of the (co)-perpetrator has to be essential to properly express the blameworthiness of those persons who are most responsible for the most serious crimes of international concern.</w:t>
      </w:r>
      <w:r w:rsidR="004B3BB4" w:rsidRPr="00D8671A">
        <w:rPr>
          <w:rStyle w:val="FootnoteReference"/>
          <w:rFonts w:asciiTheme="majorBidi" w:hAnsiTheme="majorBidi" w:cstheme="majorBidi"/>
        </w:rPr>
        <w:footnoteReference w:id="151"/>
      </w:r>
      <w:r w:rsidR="004B3BB4" w:rsidRPr="00D8671A">
        <w:rPr>
          <w:rFonts w:asciiTheme="majorBidi" w:hAnsiTheme="majorBidi" w:cstheme="majorBidi"/>
        </w:rPr>
        <w:t xml:space="preserve"> </w:t>
      </w:r>
      <w:r w:rsidR="002C0FBF" w:rsidRPr="00D8671A">
        <w:rPr>
          <w:rFonts w:asciiTheme="majorBidi" w:hAnsiTheme="majorBidi" w:cstheme="majorBidi"/>
        </w:rPr>
        <w:t xml:space="preserve">The judges referred to Article 25(3)(d) as a </w:t>
      </w:r>
      <w:r w:rsidR="00F22C52" w:rsidRPr="00D8671A">
        <w:rPr>
          <w:rFonts w:asciiTheme="majorBidi" w:hAnsiTheme="majorBidi" w:cstheme="majorBidi"/>
        </w:rPr>
        <w:t>‘</w:t>
      </w:r>
      <w:r w:rsidR="002C0FBF" w:rsidRPr="00D8671A">
        <w:rPr>
          <w:rFonts w:asciiTheme="majorBidi" w:hAnsiTheme="majorBidi" w:cstheme="majorBidi"/>
        </w:rPr>
        <w:t xml:space="preserve">residual form of accessory liability, which makes it possible to criminalize those contributions that cannot be </w:t>
      </w:r>
      <w:r w:rsidR="002C0FBF" w:rsidRPr="00D8671A">
        <w:rPr>
          <w:rFonts w:asciiTheme="majorBidi" w:hAnsiTheme="majorBidi" w:cstheme="majorBidi"/>
        </w:rPr>
        <w:lastRenderedPageBreak/>
        <w:t>characterized as ordering, soliciting, inducing, aiding, abetting or assisting.</w:t>
      </w:r>
      <w:r w:rsidR="00F22C52" w:rsidRPr="00D8671A">
        <w:rPr>
          <w:rFonts w:asciiTheme="majorBidi" w:hAnsiTheme="majorBidi" w:cstheme="majorBidi"/>
        </w:rPr>
        <w:t>’</w:t>
      </w:r>
      <w:r w:rsidR="002C0FBF" w:rsidRPr="00D8671A">
        <w:rPr>
          <w:rStyle w:val="FootnoteReference"/>
          <w:rFonts w:asciiTheme="majorBidi" w:hAnsiTheme="majorBidi" w:cstheme="majorBidi"/>
        </w:rPr>
        <w:footnoteReference w:id="152"/>
      </w:r>
      <w:r w:rsidR="00EC22AE" w:rsidRPr="00D8671A">
        <w:rPr>
          <w:rFonts w:asciiTheme="majorBidi" w:hAnsiTheme="majorBidi" w:cstheme="majorBidi"/>
        </w:rPr>
        <w:t xml:space="preserve"> The Appeals Chamber reinforced this approach</w:t>
      </w:r>
      <w:r w:rsidR="00603C91" w:rsidRPr="00D8671A">
        <w:rPr>
          <w:rFonts w:asciiTheme="majorBidi" w:hAnsiTheme="majorBidi" w:cstheme="majorBidi"/>
        </w:rPr>
        <w:t>: it argued,</w:t>
      </w:r>
      <w:r w:rsidR="00EC22AE" w:rsidRPr="00D8671A">
        <w:rPr>
          <w:rFonts w:asciiTheme="majorBidi" w:hAnsiTheme="majorBidi" w:cstheme="majorBidi"/>
        </w:rPr>
        <w:t xml:space="preserve"> relying on </w:t>
      </w:r>
      <w:r w:rsidR="00603C91" w:rsidRPr="00D8671A">
        <w:rPr>
          <w:rFonts w:asciiTheme="majorBidi" w:hAnsiTheme="majorBidi" w:cstheme="majorBidi"/>
        </w:rPr>
        <w:t>Kai Ambos’s work, that the distinction between principal and accessory liability within Article 25(3) is not merely terminological – a person who commits an offence is more blameworthy than the one who contributes to the crimes of others.</w:t>
      </w:r>
      <w:r w:rsidR="00603C91" w:rsidRPr="00D8671A">
        <w:rPr>
          <w:rStyle w:val="FootnoteReference"/>
          <w:rFonts w:asciiTheme="majorBidi" w:hAnsiTheme="majorBidi" w:cstheme="majorBidi"/>
        </w:rPr>
        <w:footnoteReference w:id="153"/>
      </w:r>
    </w:p>
    <w:p w14:paraId="6390634F" w14:textId="00737C69" w:rsidR="00115DD7" w:rsidRPr="00D8671A" w:rsidRDefault="003679BA" w:rsidP="00566D5D">
      <w:pPr>
        <w:widowControl w:val="0"/>
        <w:autoSpaceDE w:val="0"/>
        <w:autoSpaceDN w:val="0"/>
        <w:adjustRightInd w:val="0"/>
        <w:spacing w:after="0" w:line="240" w:lineRule="auto"/>
        <w:ind w:firstLine="720"/>
        <w:rPr>
          <w:rFonts w:asciiTheme="majorBidi" w:hAnsiTheme="majorBidi" w:cstheme="majorBidi"/>
        </w:rPr>
      </w:pPr>
      <w:r w:rsidRPr="00D8671A">
        <w:rPr>
          <w:rFonts w:asciiTheme="majorBidi" w:hAnsiTheme="majorBidi" w:cstheme="majorBidi"/>
        </w:rPr>
        <w:t xml:space="preserve">Despite its </w:t>
      </w:r>
      <w:r w:rsidR="00D525BC" w:rsidRPr="00D8671A">
        <w:rPr>
          <w:rFonts w:asciiTheme="majorBidi" w:hAnsiTheme="majorBidi" w:cstheme="majorBidi"/>
        </w:rPr>
        <w:t>latest</w:t>
      </w:r>
      <w:r w:rsidRPr="00D8671A">
        <w:rPr>
          <w:rFonts w:asciiTheme="majorBidi" w:hAnsiTheme="majorBidi" w:cstheme="majorBidi"/>
        </w:rPr>
        <w:t xml:space="preserve"> confirmation on appeal in </w:t>
      </w:r>
      <w:r w:rsidRPr="00D8671A">
        <w:rPr>
          <w:rFonts w:asciiTheme="majorBidi" w:hAnsiTheme="majorBidi" w:cstheme="majorBidi"/>
          <w:i/>
        </w:rPr>
        <w:t>Lubanga</w:t>
      </w:r>
      <w:r w:rsidRPr="00D8671A">
        <w:rPr>
          <w:rFonts w:asciiTheme="majorBidi" w:hAnsiTheme="majorBidi" w:cstheme="majorBidi"/>
        </w:rPr>
        <w:t xml:space="preserve">, the </w:t>
      </w:r>
      <w:r w:rsidR="00B335BA" w:rsidRPr="00D8671A">
        <w:rPr>
          <w:rFonts w:asciiTheme="majorBidi" w:hAnsiTheme="majorBidi" w:cstheme="majorBidi"/>
        </w:rPr>
        <w:t>question of hierarchy</w:t>
      </w:r>
      <w:r w:rsidR="004A62E6" w:rsidRPr="00D8671A">
        <w:rPr>
          <w:rFonts w:asciiTheme="majorBidi" w:hAnsiTheme="majorBidi" w:cstheme="majorBidi"/>
        </w:rPr>
        <w:t xml:space="preserve"> in the ICC jurisprudence</w:t>
      </w:r>
      <w:r w:rsidR="00B335BA" w:rsidRPr="00D8671A">
        <w:rPr>
          <w:rFonts w:asciiTheme="majorBidi" w:hAnsiTheme="majorBidi" w:cstheme="majorBidi"/>
        </w:rPr>
        <w:t xml:space="preserve"> </w:t>
      </w:r>
      <w:r w:rsidRPr="00D8671A">
        <w:rPr>
          <w:rFonts w:asciiTheme="majorBidi" w:hAnsiTheme="majorBidi" w:cstheme="majorBidi"/>
        </w:rPr>
        <w:t xml:space="preserve">still appears </w:t>
      </w:r>
      <w:r w:rsidR="00B335BA" w:rsidRPr="00D8671A">
        <w:rPr>
          <w:rFonts w:asciiTheme="majorBidi" w:hAnsiTheme="majorBidi" w:cstheme="majorBidi"/>
        </w:rPr>
        <w:t xml:space="preserve">far from settled. </w:t>
      </w:r>
      <w:r w:rsidR="0016643D" w:rsidRPr="00D8671A">
        <w:rPr>
          <w:rFonts w:asciiTheme="majorBidi" w:hAnsiTheme="majorBidi" w:cstheme="majorBidi"/>
        </w:rPr>
        <w:t xml:space="preserve">The </w:t>
      </w:r>
      <w:r w:rsidR="0016643D" w:rsidRPr="00D8671A">
        <w:rPr>
          <w:rFonts w:asciiTheme="majorBidi" w:hAnsiTheme="majorBidi" w:cstheme="majorBidi"/>
          <w:i/>
        </w:rPr>
        <w:t>Katanga</w:t>
      </w:r>
      <w:r w:rsidR="0016643D" w:rsidRPr="00D8671A">
        <w:rPr>
          <w:rFonts w:asciiTheme="majorBidi" w:hAnsiTheme="majorBidi" w:cstheme="majorBidi"/>
        </w:rPr>
        <w:t xml:space="preserve"> Trial Chamber </w:t>
      </w:r>
      <w:r w:rsidR="00712D46" w:rsidRPr="00D8671A">
        <w:rPr>
          <w:rFonts w:asciiTheme="majorBidi" w:hAnsiTheme="majorBidi" w:cstheme="majorBidi"/>
        </w:rPr>
        <w:t xml:space="preserve">recently </w:t>
      </w:r>
      <w:r w:rsidR="004A62E6" w:rsidRPr="00D8671A">
        <w:rPr>
          <w:rFonts w:asciiTheme="majorBidi" w:hAnsiTheme="majorBidi" w:cstheme="majorBidi"/>
        </w:rPr>
        <w:t>rejected</w:t>
      </w:r>
      <w:r w:rsidR="0016643D" w:rsidRPr="00D8671A">
        <w:rPr>
          <w:rFonts w:asciiTheme="majorBidi" w:hAnsiTheme="majorBidi" w:cstheme="majorBidi"/>
        </w:rPr>
        <w:t xml:space="preserve"> the</w:t>
      </w:r>
      <w:r w:rsidR="0023758C" w:rsidRPr="00D8671A">
        <w:rPr>
          <w:rFonts w:asciiTheme="majorBidi" w:hAnsiTheme="majorBidi" w:cstheme="majorBidi"/>
        </w:rPr>
        <w:t xml:space="preserve"> “hierarchy of guilt”</w:t>
      </w:r>
      <w:r w:rsidR="004A62E6" w:rsidRPr="00D8671A">
        <w:rPr>
          <w:rFonts w:asciiTheme="majorBidi" w:hAnsiTheme="majorBidi" w:cstheme="majorBidi"/>
        </w:rPr>
        <w:t xml:space="preserve"> </w:t>
      </w:r>
      <w:r w:rsidR="0023758C" w:rsidRPr="00D8671A">
        <w:rPr>
          <w:rFonts w:asciiTheme="majorBidi" w:hAnsiTheme="majorBidi" w:cstheme="majorBidi"/>
        </w:rPr>
        <w:t>implicit in Article 25(3), but maintain</w:t>
      </w:r>
      <w:r w:rsidR="004A62E6" w:rsidRPr="00D8671A">
        <w:rPr>
          <w:rFonts w:asciiTheme="majorBidi" w:hAnsiTheme="majorBidi" w:cstheme="majorBidi"/>
        </w:rPr>
        <w:t xml:space="preserve">ed </w:t>
      </w:r>
      <w:r w:rsidR="0023758C" w:rsidRPr="00D8671A">
        <w:rPr>
          <w:rFonts w:asciiTheme="majorBidi" w:hAnsiTheme="majorBidi" w:cstheme="majorBidi"/>
        </w:rPr>
        <w:t>that the distinction between principals and accomplices needs to be guided by the control over crime theory.</w:t>
      </w:r>
      <w:r w:rsidR="0023758C" w:rsidRPr="00D8671A">
        <w:rPr>
          <w:rStyle w:val="FootnoteReference"/>
          <w:rFonts w:asciiTheme="majorBidi" w:hAnsiTheme="majorBidi" w:cstheme="majorBidi"/>
        </w:rPr>
        <w:footnoteReference w:id="154"/>
      </w:r>
      <w:r w:rsidR="0023758C" w:rsidRPr="00D8671A">
        <w:rPr>
          <w:rFonts w:asciiTheme="majorBidi" w:hAnsiTheme="majorBidi" w:cstheme="majorBidi"/>
        </w:rPr>
        <w:t xml:space="preserve"> </w:t>
      </w:r>
      <w:r w:rsidR="00217A31" w:rsidRPr="00D8671A">
        <w:rPr>
          <w:rFonts w:asciiTheme="majorBidi" w:hAnsiTheme="majorBidi" w:cstheme="majorBidi"/>
        </w:rPr>
        <w:t xml:space="preserve">In addition to </w:t>
      </w:r>
      <w:r w:rsidR="00217A31" w:rsidRPr="00D8671A">
        <w:rPr>
          <w:rFonts w:asciiTheme="majorBidi" w:hAnsiTheme="majorBidi" w:cstheme="majorBidi"/>
          <w:i/>
        </w:rPr>
        <w:t>Katang</w:t>
      </w:r>
      <w:r w:rsidR="0016643D" w:rsidRPr="00D8671A">
        <w:rPr>
          <w:rFonts w:asciiTheme="majorBidi" w:hAnsiTheme="majorBidi" w:cstheme="majorBidi"/>
          <w:i/>
        </w:rPr>
        <w:t>a</w:t>
      </w:r>
      <w:r w:rsidR="00217A31" w:rsidRPr="00D8671A">
        <w:rPr>
          <w:rFonts w:asciiTheme="majorBidi" w:hAnsiTheme="majorBidi" w:cstheme="majorBidi"/>
        </w:rPr>
        <w:t>, t</w:t>
      </w:r>
      <w:r w:rsidR="00B335BA" w:rsidRPr="00D8671A">
        <w:rPr>
          <w:rFonts w:asciiTheme="majorBidi" w:hAnsiTheme="majorBidi" w:cstheme="majorBidi"/>
        </w:rPr>
        <w:t>he</w:t>
      </w:r>
      <w:r w:rsidR="004B3BB4" w:rsidRPr="00D8671A">
        <w:rPr>
          <w:rFonts w:asciiTheme="majorBidi" w:hAnsiTheme="majorBidi" w:cstheme="majorBidi"/>
        </w:rPr>
        <w:t xml:space="preserve"> ICC witne</w:t>
      </w:r>
      <w:r w:rsidR="004F1FB4" w:rsidRPr="00D8671A">
        <w:rPr>
          <w:rFonts w:asciiTheme="majorBidi" w:hAnsiTheme="majorBidi" w:cstheme="majorBidi"/>
        </w:rPr>
        <w:t>ssed some strong dissents on this</w:t>
      </w:r>
      <w:r w:rsidR="004B3BB4" w:rsidRPr="00D8671A">
        <w:rPr>
          <w:rFonts w:asciiTheme="majorBidi" w:hAnsiTheme="majorBidi" w:cstheme="majorBidi"/>
        </w:rPr>
        <w:t xml:space="preserve"> </w:t>
      </w:r>
      <w:r w:rsidR="004F1FB4" w:rsidRPr="00D8671A">
        <w:rPr>
          <w:rFonts w:asciiTheme="majorBidi" w:hAnsiTheme="majorBidi" w:cstheme="majorBidi"/>
        </w:rPr>
        <w:t xml:space="preserve">matter. </w:t>
      </w:r>
      <w:r w:rsidR="00CA1EB5" w:rsidRPr="00D8671A">
        <w:rPr>
          <w:rFonts w:asciiTheme="majorBidi" w:hAnsiTheme="majorBidi" w:cstheme="majorBidi"/>
        </w:rPr>
        <w:t xml:space="preserve">Judge Fulford in his separate opinion attached to the </w:t>
      </w:r>
      <w:r w:rsidR="00CA1EB5" w:rsidRPr="00D8671A">
        <w:rPr>
          <w:rFonts w:asciiTheme="majorBidi" w:hAnsiTheme="majorBidi" w:cstheme="majorBidi"/>
          <w:i/>
        </w:rPr>
        <w:t>Lubanga</w:t>
      </w:r>
      <w:r w:rsidR="00CA1EB5" w:rsidRPr="00D8671A">
        <w:rPr>
          <w:rFonts w:asciiTheme="majorBidi" w:hAnsiTheme="majorBidi" w:cstheme="majorBidi"/>
        </w:rPr>
        <w:t xml:space="preserve"> judgment criticized on a number of grounds the Majority’s approach to modes of liability.</w:t>
      </w:r>
      <w:r w:rsidR="00CA1EB5" w:rsidRPr="00D8671A">
        <w:rPr>
          <w:rStyle w:val="FootnoteReference"/>
          <w:rFonts w:asciiTheme="majorBidi" w:hAnsiTheme="majorBidi" w:cstheme="majorBidi"/>
        </w:rPr>
        <w:footnoteReference w:id="155"/>
      </w:r>
      <w:r w:rsidR="00CA1EB5" w:rsidRPr="00D8671A">
        <w:rPr>
          <w:rFonts w:asciiTheme="majorBidi" w:hAnsiTheme="majorBidi" w:cstheme="majorBidi"/>
        </w:rPr>
        <w:t xml:space="preserve"> He disagreed with the majority in </w:t>
      </w:r>
      <w:r w:rsidR="00CA1EB5" w:rsidRPr="00D8671A">
        <w:rPr>
          <w:rFonts w:asciiTheme="majorBidi" w:hAnsiTheme="majorBidi" w:cstheme="majorBidi"/>
          <w:i/>
        </w:rPr>
        <w:t>Lubanga</w:t>
      </w:r>
      <w:r w:rsidR="00CA1EB5" w:rsidRPr="00D8671A">
        <w:rPr>
          <w:rFonts w:asciiTheme="majorBidi" w:hAnsiTheme="majorBidi" w:cstheme="majorBidi"/>
        </w:rPr>
        <w:t xml:space="preserve"> that there is a need to establish a hierarchy between the modes of participation in the Rome Statute and also opposed the view that these modes of participation are mutually exclusive.</w:t>
      </w:r>
      <w:r w:rsidR="00CA1EB5" w:rsidRPr="00D8671A">
        <w:rPr>
          <w:rStyle w:val="FootnoteReference"/>
          <w:rFonts w:asciiTheme="majorBidi" w:hAnsiTheme="majorBidi" w:cstheme="majorBidi"/>
        </w:rPr>
        <w:footnoteReference w:id="156"/>
      </w:r>
      <w:r w:rsidR="00CA1EB5" w:rsidRPr="00D8671A">
        <w:rPr>
          <w:rFonts w:asciiTheme="majorBidi" w:hAnsiTheme="majorBidi" w:cstheme="majorBidi"/>
        </w:rPr>
        <w:t xml:space="preserve"> </w:t>
      </w:r>
      <w:r w:rsidR="00115DD7" w:rsidRPr="00D8671A">
        <w:rPr>
          <w:rFonts w:asciiTheme="majorBidi" w:hAnsiTheme="majorBidi" w:cstheme="majorBidi"/>
        </w:rPr>
        <w:t xml:space="preserve">Article 25(3) also does not suggest, based on the plain or contextual reading of the provision, that the modes participation are arranged in a hierarchical order. Distinguishing the forms of responsibility in line with the differential participation model does not imply </w:t>
      </w:r>
      <w:r w:rsidR="001E1653" w:rsidRPr="00D8671A">
        <w:rPr>
          <w:rFonts w:asciiTheme="majorBidi" w:hAnsiTheme="majorBidi" w:cstheme="majorBidi"/>
        </w:rPr>
        <w:t xml:space="preserve">any </w:t>
      </w:r>
      <w:r w:rsidR="00115DD7" w:rsidRPr="00D8671A">
        <w:rPr>
          <w:rFonts w:asciiTheme="majorBidi" w:hAnsiTheme="majorBidi" w:cstheme="majorBidi"/>
        </w:rPr>
        <w:t>particular ranking.</w:t>
      </w:r>
      <w:r w:rsidR="00115DD7" w:rsidRPr="00D8671A">
        <w:rPr>
          <w:rStyle w:val="FootnoteReference"/>
          <w:rFonts w:asciiTheme="majorBidi" w:hAnsiTheme="majorBidi" w:cstheme="majorBidi"/>
        </w:rPr>
        <w:footnoteReference w:id="157"/>
      </w:r>
      <w:r w:rsidR="00115DD7" w:rsidRPr="00D8671A">
        <w:rPr>
          <w:rFonts w:asciiTheme="majorBidi" w:hAnsiTheme="majorBidi" w:cstheme="majorBidi"/>
        </w:rPr>
        <w:t xml:space="preserve"> </w:t>
      </w:r>
    </w:p>
    <w:p w14:paraId="33CC0532" w14:textId="38EB41FA" w:rsidR="004B3BB4" w:rsidRPr="00D8671A" w:rsidRDefault="00CA1EB5" w:rsidP="00566D5D">
      <w:pPr>
        <w:widowControl w:val="0"/>
        <w:autoSpaceDE w:val="0"/>
        <w:autoSpaceDN w:val="0"/>
        <w:adjustRightInd w:val="0"/>
        <w:spacing w:after="0" w:line="240" w:lineRule="auto"/>
        <w:ind w:firstLine="720"/>
        <w:rPr>
          <w:rFonts w:asciiTheme="majorBidi" w:hAnsiTheme="majorBidi" w:cstheme="majorBidi"/>
        </w:rPr>
      </w:pPr>
      <w:r w:rsidRPr="00D8671A">
        <w:rPr>
          <w:rFonts w:asciiTheme="majorBidi" w:hAnsiTheme="majorBidi" w:cstheme="majorBidi"/>
        </w:rPr>
        <w:t>Judge Van den Wyngaert also refuted the hierarchy of the modes of participation in her concurring opinion to the judgment of acquittal of Mathieu Ngudjolo.</w:t>
      </w:r>
      <w:r w:rsidRPr="00D8671A">
        <w:rPr>
          <w:rStyle w:val="FootnoteReference"/>
          <w:rFonts w:asciiTheme="majorBidi" w:hAnsiTheme="majorBidi" w:cstheme="majorBidi"/>
        </w:rPr>
        <w:footnoteReference w:id="158"/>
      </w:r>
      <w:r w:rsidRPr="00D8671A">
        <w:rPr>
          <w:rFonts w:asciiTheme="majorBidi" w:hAnsiTheme="majorBidi" w:cstheme="majorBidi"/>
        </w:rPr>
        <w:t xml:space="preserve"> She failed to see a difference in blameworthiness between the accessory liability, such as aiding and abetting or ordering, and the principal liability for commission.</w:t>
      </w:r>
      <w:r w:rsidRPr="00D8671A">
        <w:rPr>
          <w:rStyle w:val="FootnoteReference"/>
          <w:rFonts w:asciiTheme="majorBidi" w:hAnsiTheme="majorBidi" w:cstheme="majorBidi"/>
        </w:rPr>
        <w:footnoteReference w:id="159"/>
      </w:r>
      <w:r w:rsidRPr="00D8671A">
        <w:rPr>
          <w:rFonts w:asciiTheme="majorBidi" w:hAnsiTheme="majorBidi" w:cstheme="majorBidi"/>
        </w:rPr>
        <w:t xml:space="preserve"> Her main argument was that guilt of the accused depends on the factual circumstances of the case rather than on abstract categories.</w:t>
      </w:r>
      <w:r w:rsidRPr="00D8671A">
        <w:rPr>
          <w:rStyle w:val="FootnoteReference"/>
          <w:rFonts w:asciiTheme="majorBidi" w:hAnsiTheme="majorBidi" w:cstheme="majorBidi"/>
        </w:rPr>
        <w:footnoteReference w:id="160"/>
      </w:r>
      <w:r w:rsidRPr="00D8671A">
        <w:rPr>
          <w:rFonts w:asciiTheme="majorBidi" w:hAnsiTheme="majorBidi" w:cstheme="majorBidi"/>
        </w:rPr>
        <w:t xml:space="preserve"> </w:t>
      </w:r>
    </w:p>
    <w:p w14:paraId="35EF3704" w14:textId="27F9BD81" w:rsidR="004B3BB4" w:rsidRPr="00D8671A" w:rsidRDefault="004B3BB4" w:rsidP="00566D5D">
      <w:pPr>
        <w:widowControl w:val="0"/>
        <w:autoSpaceDE w:val="0"/>
        <w:autoSpaceDN w:val="0"/>
        <w:adjustRightInd w:val="0"/>
        <w:spacing w:after="0" w:line="240" w:lineRule="auto"/>
        <w:ind w:firstLine="720"/>
        <w:rPr>
          <w:rFonts w:asciiTheme="majorBidi" w:hAnsiTheme="majorBidi" w:cstheme="majorBidi"/>
        </w:rPr>
      </w:pPr>
      <w:r w:rsidRPr="00D8671A">
        <w:rPr>
          <w:rFonts w:asciiTheme="majorBidi" w:hAnsiTheme="majorBidi" w:cstheme="majorBidi"/>
        </w:rPr>
        <w:t xml:space="preserve">There are three arguments against the hierarchy of the forms of participation within the ICC framework. First, control over crime theory underlying the hierarchy has no support in the Rome Statute and, even if it had, it is not the basis for reading a hierarchy of the </w:t>
      </w:r>
      <w:r w:rsidR="00BF48E6" w:rsidRPr="00D8671A">
        <w:rPr>
          <w:rFonts w:asciiTheme="majorBidi" w:hAnsiTheme="majorBidi" w:cstheme="majorBidi"/>
        </w:rPr>
        <w:t>modes of liability</w:t>
      </w:r>
      <w:r w:rsidRPr="00D8671A">
        <w:rPr>
          <w:rFonts w:asciiTheme="majorBidi" w:hAnsiTheme="majorBidi" w:cstheme="majorBidi"/>
        </w:rPr>
        <w:t>s into the Statute. Secondly, it is true that Article 25(3) represents a move towards the differential participation model.</w:t>
      </w:r>
      <w:r w:rsidRPr="00D8671A">
        <w:rPr>
          <w:rStyle w:val="FootnoteReference"/>
          <w:rFonts w:asciiTheme="majorBidi" w:hAnsiTheme="majorBidi" w:cstheme="majorBidi"/>
        </w:rPr>
        <w:footnoteReference w:id="161"/>
      </w:r>
      <w:r w:rsidRPr="00D8671A">
        <w:rPr>
          <w:rFonts w:asciiTheme="majorBidi" w:hAnsiTheme="majorBidi" w:cstheme="majorBidi"/>
        </w:rPr>
        <w:t xml:space="preserve"> The forms of responsibility are distinguished in different subparagraphs of the article. This does not mean</w:t>
      </w:r>
      <w:r w:rsidR="00321F87" w:rsidRPr="00D8671A">
        <w:rPr>
          <w:rFonts w:asciiTheme="majorBidi" w:hAnsiTheme="majorBidi" w:cstheme="majorBidi"/>
        </w:rPr>
        <w:t>,</w:t>
      </w:r>
      <w:r w:rsidRPr="00D8671A">
        <w:rPr>
          <w:rFonts w:asciiTheme="majorBidi" w:hAnsiTheme="majorBidi" w:cstheme="majorBidi"/>
        </w:rPr>
        <w:t xml:space="preserve"> however</w:t>
      </w:r>
      <w:r w:rsidR="00321F87" w:rsidRPr="00D8671A">
        <w:rPr>
          <w:rFonts w:asciiTheme="majorBidi" w:hAnsiTheme="majorBidi" w:cstheme="majorBidi"/>
        </w:rPr>
        <w:t>,</w:t>
      </w:r>
      <w:r w:rsidRPr="00D8671A">
        <w:rPr>
          <w:rFonts w:asciiTheme="majorBidi" w:hAnsiTheme="majorBidi" w:cstheme="majorBidi"/>
        </w:rPr>
        <w:t xml:space="preserve"> that they are </w:t>
      </w:r>
      <w:r w:rsidRPr="00D8671A">
        <w:rPr>
          <w:rFonts w:asciiTheme="majorBidi" w:hAnsiTheme="majorBidi" w:cstheme="majorBidi"/>
          <w:i/>
        </w:rPr>
        <w:t>ranked</w:t>
      </w:r>
      <w:r w:rsidRPr="00D8671A">
        <w:rPr>
          <w:rFonts w:asciiTheme="majorBidi" w:hAnsiTheme="majorBidi" w:cstheme="majorBidi"/>
        </w:rPr>
        <w:t xml:space="preserve"> in a particular order. Finally, the level of the accused’s contribution is not the criterion for drawing the line between different modes of participation. </w:t>
      </w:r>
    </w:p>
    <w:p w14:paraId="351E76AF" w14:textId="30ADDF30" w:rsidR="004B3BB4" w:rsidRPr="00D8671A" w:rsidRDefault="0039361C" w:rsidP="00D8671A">
      <w:pPr>
        <w:pStyle w:val="Heading3"/>
        <w:numPr>
          <w:ilvl w:val="0"/>
          <w:numId w:val="0"/>
        </w:numPr>
        <w:spacing w:before="0" w:line="240" w:lineRule="auto"/>
        <w:rPr>
          <w:rFonts w:asciiTheme="majorBidi" w:hAnsiTheme="majorBidi"/>
          <w:i/>
          <w:color w:val="auto"/>
        </w:rPr>
      </w:pPr>
      <w:bookmarkStart w:id="3" w:name="_Toc250621144"/>
      <w:bookmarkStart w:id="4" w:name="_Toc251494088"/>
      <w:bookmarkStart w:id="5" w:name="_Toc251518903"/>
      <w:r w:rsidRPr="00D8671A">
        <w:rPr>
          <w:rFonts w:asciiTheme="majorBidi" w:hAnsiTheme="majorBidi"/>
          <w:color w:val="auto"/>
        </w:rPr>
        <w:t>3.1.</w:t>
      </w:r>
      <w:r w:rsidRPr="00D8671A">
        <w:rPr>
          <w:rFonts w:asciiTheme="majorBidi" w:hAnsiTheme="majorBidi"/>
          <w:i/>
          <w:color w:val="auto"/>
        </w:rPr>
        <w:t xml:space="preserve"> </w:t>
      </w:r>
      <w:r w:rsidRPr="00D8671A">
        <w:rPr>
          <w:rFonts w:asciiTheme="majorBidi" w:hAnsiTheme="majorBidi"/>
          <w:i/>
          <w:color w:val="auto"/>
        </w:rPr>
        <w:tab/>
      </w:r>
      <w:r w:rsidR="004B3BB4" w:rsidRPr="00D8671A">
        <w:rPr>
          <w:rFonts w:asciiTheme="majorBidi" w:hAnsiTheme="majorBidi"/>
          <w:i/>
          <w:color w:val="auto"/>
        </w:rPr>
        <w:t>‘Control over Crime’ is not a Basis for Hierarchy</w:t>
      </w:r>
      <w:bookmarkEnd w:id="3"/>
      <w:bookmarkEnd w:id="4"/>
      <w:bookmarkEnd w:id="5"/>
      <w:r w:rsidR="004B3BB4" w:rsidRPr="00D8671A">
        <w:rPr>
          <w:rFonts w:asciiTheme="majorBidi" w:hAnsiTheme="majorBidi"/>
          <w:i/>
          <w:color w:val="auto"/>
        </w:rPr>
        <w:t xml:space="preserve"> </w:t>
      </w:r>
    </w:p>
    <w:p w14:paraId="6C83DB2F" w14:textId="14F0BABD" w:rsidR="0084486C" w:rsidRPr="00D8671A" w:rsidRDefault="00EB2DD7" w:rsidP="00566D5D">
      <w:pPr>
        <w:widowControl w:val="0"/>
        <w:autoSpaceDE w:val="0"/>
        <w:autoSpaceDN w:val="0"/>
        <w:adjustRightInd w:val="0"/>
        <w:spacing w:after="0" w:line="240" w:lineRule="auto"/>
        <w:ind w:firstLine="720"/>
        <w:rPr>
          <w:rFonts w:asciiTheme="majorBidi" w:hAnsiTheme="majorBidi" w:cstheme="majorBidi"/>
        </w:rPr>
      </w:pPr>
      <w:r w:rsidRPr="00D8671A">
        <w:rPr>
          <w:rFonts w:asciiTheme="majorBidi" w:hAnsiTheme="majorBidi" w:cstheme="majorBidi"/>
        </w:rPr>
        <w:t xml:space="preserve">Control over crime theory and the hierarchy of the participation modes are interrelated issues. The ICC has tied the liability under Article 25(3)(a) to the increased level of contribution, and that, in turn to the increased degree of blameworthiness. </w:t>
      </w:r>
      <w:r w:rsidR="001C6A3B" w:rsidRPr="00D8671A">
        <w:rPr>
          <w:rFonts w:asciiTheme="majorBidi" w:hAnsiTheme="majorBidi" w:cstheme="majorBidi"/>
        </w:rPr>
        <w:t>Roxin’s theory served to support this reading of Article 25(3)(a).</w:t>
      </w:r>
      <w:r w:rsidR="00CB5351" w:rsidRPr="00D8671A">
        <w:rPr>
          <w:rStyle w:val="FootnoteReference"/>
          <w:rFonts w:asciiTheme="majorBidi" w:hAnsiTheme="majorBidi" w:cstheme="majorBidi"/>
        </w:rPr>
        <w:footnoteReference w:id="162"/>
      </w:r>
      <w:r w:rsidR="001C6A3B" w:rsidRPr="00D8671A">
        <w:rPr>
          <w:rFonts w:asciiTheme="majorBidi" w:hAnsiTheme="majorBidi" w:cstheme="majorBidi"/>
        </w:rPr>
        <w:t xml:space="preserve"> If one removes the assumption that the modes of responsibility are arranged in a hierarchical </w:t>
      </w:r>
      <w:r w:rsidR="00173FE5" w:rsidRPr="00D8671A">
        <w:rPr>
          <w:rFonts w:asciiTheme="majorBidi" w:hAnsiTheme="majorBidi" w:cstheme="majorBidi"/>
        </w:rPr>
        <w:t>order reflecting the shifting culpability scale</w:t>
      </w:r>
      <w:r w:rsidR="001C6A3B" w:rsidRPr="00D8671A">
        <w:rPr>
          <w:rFonts w:asciiTheme="majorBidi" w:hAnsiTheme="majorBidi" w:cstheme="majorBidi"/>
        </w:rPr>
        <w:t xml:space="preserve">, then </w:t>
      </w:r>
      <w:r w:rsidR="001919F2" w:rsidRPr="00D8671A">
        <w:rPr>
          <w:rFonts w:asciiTheme="majorBidi" w:hAnsiTheme="majorBidi" w:cstheme="majorBidi"/>
        </w:rPr>
        <w:t xml:space="preserve">the </w:t>
      </w:r>
      <w:r w:rsidR="001C6A3B" w:rsidRPr="00D8671A">
        <w:rPr>
          <w:rFonts w:asciiTheme="majorBidi" w:hAnsiTheme="majorBidi" w:cstheme="majorBidi"/>
        </w:rPr>
        <w:t xml:space="preserve">control over crime theory </w:t>
      </w:r>
      <w:r w:rsidR="00387FE8" w:rsidRPr="00D8671A">
        <w:rPr>
          <w:rFonts w:asciiTheme="majorBidi" w:hAnsiTheme="majorBidi" w:cstheme="majorBidi"/>
        </w:rPr>
        <w:t>becomes functionally obsolete for the ICC purposes.</w:t>
      </w:r>
      <w:r w:rsidR="001C6A3B" w:rsidRPr="00D8671A">
        <w:rPr>
          <w:rFonts w:asciiTheme="majorBidi" w:hAnsiTheme="majorBidi" w:cstheme="majorBidi"/>
        </w:rPr>
        <w:t xml:space="preserve"> The court can simply apply the various forms of complicity, provided in the remainder of the article, to address the situations of the accused removed from the scene of the crime. </w:t>
      </w:r>
    </w:p>
    <w:p w14:paraId="6CBBF66E" w14:textId="697866A3" w:rsidR="004B3BB4" w:rsidRPr="00D8671A" w:rsidRDefault="004B3BB4" w:rsidP="00566D5D">
      <w:pPr>
        <w:spacing w:after="0" w:line="240" w:lineRule="auto"/>
        <w:ind w:firstLine="720"/>
        <w:rPr>
          <w:rFonts w:asciiTheme="majorBidi" w:hAnsiTheme="majorBidi" w:cstheme="majorBidi"/>
        </w:rPr>
      </w:pPr>
      <w:r w:rsidRPr="00D8671A">
        <w:rPr>
          <w:rFonts w:asciiTheme="majorBidi" w:hAnsiTheme="majorBidi" w:cstheme="majorBidi"/>
        </w:rPr>
        <w:lastRenderedPageBreak/>
        <w:t xml:space="preserve">According to Article 21(1)(a) of the Rome Statute, the court shall apply, in the first place, the Statute, Elements of Crimes and its Rules of Procedure and Evidence. </w:t>
      </w:r>
      <w:r w:rsidR="00582406" w:rsidRPr="00D8671A">
        <w:rPr>
          <w:rFonts w:asciiTheme="majorBidi" w:hAnsiTheme="majorBidi" w:cstheme="majorBidi"/>
        </w:rPr>
        <w:t>I</w:t>
      </w:r>
      <w:r w:rsidRPr="00D8671A">
        <w:rPr>
          <w:rFonts w:asciiTheme="majorBidi" w:hAnsiTheme="majorBidi" w:cstheme="majorBidi"/>
        </w:rPr>
        <w:t xml:space="preserve">t is </w:t>
      </w:r>
      <w:r w:rsidR="00582406" w:rsidRPr="00D8671A">
        <w:rPr>
          <w:rFonts w:asciiTheme="majorBidi" w:hAnsiTheme="majorBidi" w:cstheme="majorBidi"/>
        </w:rPr>
        <w:t xml:space="preserve">therefore </w:t>
      </w:r>
      <w:r w:rsidRPr="00D8671A">
        <w:rPr>
          <w:rFonts w:asciiTheme="majorBidi" w:hAnsiTheme="majorBidi" w:cstheme="majorBidi"/>
        </w:rPr>
        <w:t>important to determine whether the Statute supports Ro</w:t>
      </w:r>
      <w:r w:rsidR="00EB2DD7" w:rsidRPr="00D8671A">
        <w:rPr>
          <w:rFonts w:asciiTheme="majorBidi" w:hAnsiTheme="majorBidi" w:cstheme="majorBidi"/>
        </w:rPr>
        <w:t xml:space="preserve">xin’s control over crime theory. </w:t>
      </w:r>
      <w:r w:rsidRPr="00D8671A">
        <w:rPr>
          <w:rFonts w:asciiTheme="majorBidi" w:hAnsiTheme="majorBidi" w:cstheme="majorBidi"/>
        </w:rPr>
        <w:t>In answering this question, one has to keep in mind Articles 31-32 of the Vienna Convention on the Law of Treaties that provides guidance on treaty interpretation. Article 31 of the Vienna Convention sets the general rule that treaty interpretation involves the assessment of three elements - the text, context and object and purpose of the treaty. These elements should be read together as one rule. There is no priority of one element over another.</w:t>
      </w:r>
      <w:r w:rsidRPr="00D8671A">
        <w:rPr>
          <w:rStyle w:val="FootnoteReference"/>
          <w:rFonts w:asciiTheme="majorBidi" w:hAnsiTheme="majorBidi" w:cstheme="majorBidi"/>
        </w:rPr>
        <w:footnoteReference w:id="163"/>
      </w:r>
      <w:r w:rsidRPr="00D8671A">
        <w:rPr>
          <w:rStyle w:val="FootnoteReference"/>
          <w:rFonts w:asciiTheme="majorBidi" w:hAnsiTheme="majorBidi" w:cstheme="majorBidi"/>
        </w:rPr>
        <w:t xml:space="preserve"> </w:t>
      </w:r>
      <w:r w:rsidRPr="00D8671A">
        <w:rPr>
          <w:rFonts w:asciiTheme="majorBidi" w:hAnsiTheme="majorBidi" w:cstheme="majorBidi"/>
        </w:rPr>
        <w:t>Subsequent practice, mentioned in paragraph 3 of Article 31, is an additional element to be considered when interpreting a treaty.</w:t>
      </w:r>
      <w:r w:rsidRPr="00D8671A">
        <w:rPr>
          <w:rStyle w:val="FootnoteReference"/>
          <w:rFonts w:asciiTheme="majorBidi" w:hAnsiTheme="majorBidi" w:cstheme="majorBidi"/>
        </w:rPr>
        <w:footnoteReference w:id="164"/>
      </w:r>
      <w:r w:rsidRPr="00D8671A">
        <w:rPr>
          <w:rFonts w:asciiTheme="majorBidi" w:hAnsiTheme="majorBidi" w:cstheme="majorBidi"/>
        </w:rPr>
        <w:t xml:space="preserve">   Article 32 outlines supplementary means of interpretation - preparatory work (</w:t>
      </w:r>
      <w:r w:rsidRPr="00D8671A">
        <w:rPr>
          <w:rFonts w:asciiTheme="majorBidi" w:hAnsiTheme="majorBidi" w:cstheme="majorBidi"/>
          <w:i/>
        </w:rPr>
        <w:t>travaux preparatoire</w:t>
      </w:r>
      <w:r w:rsidRPr="00D8671A">
        <w:rPr>
          <w:rFonts w:asciiTheme="majorBidi" w:hAnsiTheme="majorBidi" w:cstheme="majorBidi"/>
        </w:rPr>
        <w:t>) and the circumstances of the treaty conclusion – to be utilized only if the meaning is not clear after the application of Article 31.</w:t>
      </w:r>
      <w:r w:rsidRPr="00D8671A">
        <w:rPr>
          <w:rStyle w:val="FootnoteReference"/>
          <w:rFonts w:asciiTheme="majorBidi" w:hAnsiTheme="majorBidi" w:cstheme="majorBidi"/>
        </w:rPr>
        <w:footnoteReference w:id="165"/>
      </w:r>
      <w:r w:rsidRPr="00D8671A">
        <w:rPr>
          <w:rStyle w:val="FootnoteReference"/>
          <w:rFonts w:asciiTheme="majorBidi" w:hAnsiTheme="majorBidi" w:cstheme="majorBidi"/>
        </w:rPr>
        <w:t xml:space="preserve"> </w:t>
      </w:r>
    </w:p>
    <w:p w14:paraId="01E9D885" w14:textId="004364A2" w:rsidR="004B3BB4" w:rsidRPr="00D8671A" w:rsidRDefault="004B3BB4" w:rsidP="00566D5D">
      <w:pPr>
        <w:widowControl w:val="0"/>
        <w:autoSpaceDE w:val="0"/>
        <w:autoSpaceDN w:val="0"/>
        <w:adjustRightInd w:val="0"/>
        <w:spacing w:after="0" w:line="240" w:lineRule="auto"/>
        <w:ind w:firstLine="720"/>
        <w:rPr>
          <w:rFonts w:asciiTheme="majorBidi" w:hAnsiTheme="majorBidi" w:cstheme="majorBidi"/>
        </w:rPr>
      </w:pPr>
      <w:r w:rsidRPr="00D8671A">
        <w:rPr>
          <w:rFonts w:asciiTheme="majorBidi" w:hAnsiTheme="majorBidi" w:cstheme="majorBidi"/>
        </w:rPr>
        <w:t>Article 25(3)(a) does not mention the control over crime theory, but rather contains the traditional forms of criminal responsibility – perpetration, co-perpetration and perpetration by means.</w:t>
      </w:r>
      <w:r w:rsidRPr="00D8671A">
        <w:rPr>
          <w:rStyle w:val="FootnoteReference"/>
          <w:rFonts w:asciiTheme="majorBidi" w:hAnsiTheme="majorBidi" w:cstheme="majorBidi"/>
        </w:rPr>
        <w:footnoteReference w:id="166"/>
      </w:r>
      <w:r w:rsidRPr="00D8671A">
        <w:rPr>
          <w:rFonts w:asciiTheme="majorBidi" w:hAnsiTheme="majorBidi" w:cstheme="majorBidi"/>
        </w:rPr>
        <w:t xml:space="preserve"> The only peculiarity is the possibility of holding a person accountable as an indirect perpetrator even in cases when the agent, through whom the crime is committed, is criminally responsible. This is in contrast with the majority of domestic legal systems that call the act </w:t>
      </w:r>
      <w:r w:rsidR="00F22C52" w:rsidRPr="00D8671A">
        <w:rPr>
          <w:rFonts w:asciiTheme="majorBidi" w:hAnsiTheme="majorBidi" w:cstheme="majorBidi"/>
        </w:rPr>
        <w:t>“</w:t>
      </w:r>
      <w:r w:rsidRPr="00D8671A">
        <w:rPr>
          <w:rFonts w:asciiTheme="majorBidi" w:hAnsiTheme="majorBidi" w:cstheme="majorBidi"/>
        </w:rPr>
        <w:t>perpetration</w:t>
      </w:r>
      <w:r w:rsidR="00F22C52" w:rsidRPr="00D8671A">
        <w:rPr>
          <w:rFonts w:asciiTheme="majorBidi" w:hAnsiTheme="majorBidi" w:cstheme="majorBidi"/>
        </w:rPr>
        <w:t>”</w:t>
      </w:r>
      <w:r w:rsidRPr="00D8671A">
        <w:rPr>
          <w:rFonts w:asciiTheme="majorBidi" w:hAnsiTheme="majorBidi" w:cstheme="majorBidi"/>
        </w:rPr>
        <w:t xml:space="preserve"> only if the agent is innocent, hence an </w:t>
      </w:r>
      <w:r w:rsidR="00F22C52" w:rsidRPr="00D8671A">
        <w:rPr>
          <w:rFonts w:asciiTheme="majorBidi" w:hAnsiTheme="majorBidi" w:cstheme="majorBidi"/>
        </w:rPr>
        <w:t>“</w:t>
      </w:r>
      <w:r w:rsidRPr="00D8671A">
        <w:rPr>
          <w:rFonts w:asciiTheme="majorBidi" w:hAnsiTheme="majorBidi" w:cstheme="majorBidi"/>
        </w:rPr>
        <w:t>instrument</w:t>
      </w:r>
      <w:r w:rsidR="00F22C52" w:rsidRPr="00D8671A">
        <w:rPr>
          <w:rFonts w:asciiTheme="majorBidi" w:hAnsiTheme="majorBidi" w:cstheme="majorBidi"/>
        </w:rPr>
        <w:t>”</w:t>
      </w:r>
      <w:r w:rsidRPr="00D8671A">
        <w:rPr>
          <w:rFonts w:asciiTheme="majorBidi" w:hAnsiTheme="majorBidi" w:cstheme="majorBidi"/>
        </w:rPr>
        <w:t xml:space="preserve"> in the hands of the perpetrator. Control over crime doctrine provides for the same feature – the physical perpetrator may or may not be criminally responsible – this similarity alone does not, however, automatically imply that the provision of the Rome Statute on perpetration shall be read in the light of Roxin’s theory. </w:t>
      </w:r>
      <w:r w:rsidR="00C171D8" w:rsidRPr="00D8671A">
        <w:rPr>
          <w:rFonts w:asciiTheme="majorBidi" w:hAnsiTheme="majorBidi" w:cstheme="majorBidi"/>
        </w:rPr>
        <w:t xml:space="preserve">The position of the </w:t>
      </w:r>
      <w:r w:rsidR="00C171D8" w:rsidRPr="00D8671A">
        <w:rPr>
          <w:rFonts w:asciiTheme="majorBidi" w:hAnsiTheme="majorBidi" w:cstheme="majorBidi"/>
          <w:i/>
        </w:rPr>
        <w:t>Lubanga</w:t>
      </w:r>
      <w:r w:rsidR="00C171D8" w:rsidRPr="00D8671A">
        <w:rPr>
          <w:rFonts w:asciiTheme="majorBidi" w:hAnsiTheme="majorBidi" w:cstheme="majorBidi"/>
        </w:rPr>
        <w:t xml:space="preserve"> Appeals Chamber </w:t>
      </w:r>
      <w:r w:rsidR="008D0DD0" w:rsidRPr="00D8671A">
        <w:rPr>
          <w:rFonts w:asciiTheme="majorBidi" w:hAnsiTheme="majorBidi" w:cstheme="majorBidi"/>
        </w:rPr>
        <w:t>that it is not applying the theory as a</w:t>
      </w:r>
      <w:r w:rsidR="00E02E3E" w:rsidRPr="00D8671A">
        <w:rPr>
          <w:rFonts w:asciiTheme="majorBidi" w:hAnsiTheme="majorBidi" w:cstheme="majorBidi"/>
        </w:rPr>
        <w:t xml:space="preserve"> source of law, but rather uses</w:t>
      </w:r>
      <w:r w:rsidR="008D0DD0" w:rsidRPr="00D8671A">
        <w:rPr>
          <w:rFonts w:asciiTheme="majorBidi" w:hAnsiTheme="majorBidi" w:cstheme="majorBidi"/>
        </w:rPr>
        <w:t xml:space="preserve"> it as an </w:t>
      </w:r>
      <w:r w:rsidR="00B93936" w:rsidRPr="00D8671A">
        <w:rPr>
          <w:rFonts w:asciiTheme="majorBidi" w:hAnsiTheme="majorBidi" w:cstheme="majorBidi"/>
        </w:rPr>
        <w:t>interpretative tool permitting it to infer the most suitable form of responsibility</w:t>
      </w:r>
      <w:r w:rsidR="008D0DD0" w:rsidRPr="00D8671A">
        <w:rPr>
          <w:rFonts w:asciiTheme="majorBidi" w:hAnsiTheme="majorBidi" w:cstheme="majorBidi"/>
        </w:rPr>
        <w:t xml:space="preserve"> does not appear entirely convincing.</w:t>
      </w:r>
      <w:r w:rsidR="008D0DD0" w:rsidRPr="00D8671A">
        <w:rPr>
          <w:rStyle w:val="FootnoteReference"/>
          <w:rFonts w:asciiTheme="majorBidi" w:hAnsiTheme="majorBidi" w:cstheme="majorBidi"/>
        </w:rPr>
        <w:footnoteReference w:id="167"/>
      </w:r>
      <w:r w:rsidR="008D0DD0" w:rsidRPr="00D8671A">
        <w:rPr>
          <w:rFonts w:asciiTheme="majorBidi" w:hAnsiTheme="majorBidi" w:cstheme="majorBidi"/>
        </w:rPr>
        <w:t xml:space="preserve"> The</w:t>
      </w:r>
      <w:r w:rsidR="00733E49" w:rsidRPr="00D8671A">
        <w:rPr>
          <w:rFonts w:asciiTheme="majorBidi" w:hAnsiTheme="majorBidi" w:cstheme="majorBidi"/>
        </w:rPr>
        <w:t xml:space="preserve"> analysis of the jurisprudence</w:t>
      </w:r>
      <w:r w:rsidR="008D0DD0" w:rsidRPr="00D8671A">
        <w:rPr>
          <w:rFonts w:asciiTheme="majorBidi" w:hAnsiTheme="majorBidi" w:cstheme="majorBidi"/>
        </w:rPr>
        <w:t xml:space="preserve"> demonstrates</w:t>
      </w:r>
      <w:r w:rsidR="00733E49" w:rsidRPr="00D8671A">
        <w:rPr>
          <w:rFonts w:asciiTheme="majorBidi" w:hAnsiTheme="majorBidi" w:cstheme="majorBidi"/>
        </w:rPr>
        <w:t xml:space="preserve"> that the court has yet to elaborate on the methodology </w:t>
      </w:r>
      <w:r w:rsidR="00B93936" w:rsidRPr="00D8671A">
        <w:rPr>
          <w:rFonts w:asciiTheme="majorBidi" w:hAnsiTheme="majorBidi" w:cstheme="majorBidi"/>
        </w:rPr>
        <w:t>of dealing with</w:t>
      </w:r>
      <w:r w:rsidR="00733E49" w:rsidRPr="00D8671A">
        <w:rPr>
          <w:rFonts w:asciiTheme="majorBidi" w:hAnsiTheme="majorBidi" w:cstheme="majorBidi"/>
        </w:rPr>
        <w:t xml:space="preserve"> the sources of law applicable at the ICC.</w:t>
      </w:r>
      <w:r w:rsidR="00C171D8" w:rsidRPr="00D8671A">
        <w:rPr>
          <w:rStyle w:val="FootnoteReference"/>
          <w:rFonts w:asciiTheme="majorBidi" w:hAnsiTheme="majorBidi" w:cstheme="majorBidi"/>
        </w:rPr>
        <w:footnoteReference w:id="168"/>
      </w:r>
    </w:p>
    <w:p w14:paraId="032411DB" w14:textId="4482D95B" w:rsidR="004B3BB4" w:rsidRPr="00D8671A" w:rsidRDefault="004B3BB4" w:rsidP="00D8671A">
      <w:pPr>
        <w:widowControl w:val="0"/>
        <w:autoSpaceDE w:val="0"/>
        <w:autoSpaceDN w:val="0"/>
        <w:adjustRightInd w:val="0"/>
        <w:spacing w:after="0" w:line="240" w:lineRule="auto"/>
        <w:rPr>
          <w:rFonts w:asciiTheme="majorBidi" w:hAnsiTheme="majorBidi" w:cstheme="majorBidi"/>
        </w:rPr>
      </w:pPr>
      <w:r w:rsidRPr="00D8671A">
        <w:rPr>
          <w:rFonts w:asciiTheme="majorBidi" w:hAnsiTheme="majorBidi" w:cstheme="majorBidi"/>
        </w:rPr>
        <w:t xml:space="preserve">To that effect, Judge Fulford argued in his separate opinion that the German-based control over crime theory is not necessary to establish criminal responsibility for co-perpetration under Article 25(3)(a) of the Rome Statute, hence the five-prong test requiring, </w:t>
      </w:r>
      <w:r w:rsidRPr="00D8671A">
        <w:rPr>
          <w:rFonts w:asciiTheme="majorBidi" w:hAnsiTheme="majorBidi" w:cstheme="majorBidi"/>
          <w:i/>
        </w:rPr>
        <w:t>inter alia</w:t>
      </w:r>
      <w:r w:rsidRPr="00D8671A">
        <w:rPr>
          <w:rFonts w:asciiTheme="majorBidi" w:hAnsiTheme="majorBidi" w:cstheme="majorBidi"/>
        </w:rPr>
        <w:t>, an essential contribution on behalf of the accused, is superfluous.</w:t>
      </w:r>
      <w:r w:rsidRPr="00D8671A">
        <w:rPr>
          <w:rStyle w:val="FootnoteReference"/>
          <w:rFonts w:asciiTheme="majorBidi" w:hAnsiTheme="majorBidi" w:cstheme="majorBidi"/>
        </w:rPr>
        <w:footnoteReference w:id="169"/>
      </w:r>
      <w:r w:rsidRPr="00D8671A">
        <w:rPr>
          <w:rFonts w:asciiTheme="majorBidi" w:hAnsiTheme="majorBidi" w:cstheme="majorBidi"/>
        </w:rPr>
        <w:t xml:space="preserve"> The object and purpose of the Rome Statute embodied in its preamble - putting an end to impunity - does not justify overextension of the liability.</w:t>
      </w:r>
      <w:r w:rsidRPr="00D8671A">
        <w:rPr>
          <w:rStyle w:val="FootnoteReference"/>
          <w:rFonts w:asciiTheme="majorBidi" w:hAnsiTheme="majorBidi" w:cstheme="majorBidi"/>
        </w:rPr>
        <w:footnoteReference w:id="170"/>
      </w:r>
      <w:r w:rsidRPr="00D8671A">
        <w:rPr>
          <w:rFonts w:asciiTheme="majorBidi" w:hAnsiTheme="majorBidi" w:cstheme="majorBidi"/>
        </w:rPr>
        <w:t xml:space="preserve"> The </w:t>
      </w:r>
      <w:r w:rsidRPr="00D8671A">
        <w:rPr>
          <w:rFonts w:asciiTheme="majorBidi" w:hAnsiTheme="majorBidi" w:cstheme="majorBidi"/>
          <w:i/>
        </w:rPr>
        <w:t>Katanga</w:t>
      </w:r>
      <w:r w:rsidRPr="00D8671A">
        <w:rPr>
          <w:rFonts w:asciiTheme="majorBidi" w:hAnsiTheme="majorBidi" w:cstheme="majorBidi"/>
        </w:rPr>
        <w:t xml:space="preserve"> justification for retaining control over crime theory for the purposes of giving effect to the distinction between perpetrators and accomplices already implicit in Article 25(3) does not seem very convincing</w:t>
      </w:r>
      <w:r w:rsidR="004C71B3" w:rsidRPr="00D8671A">
        <w:rPr>
          <w:rFonts w:asciiTheme="majorBidi" w:hAnsiTheme="majorBidi" w:cstheme="majorBidi"/>
        </w:rPr>
        <w:t xml:space="preserve"> either</w:t>
      </w:r>
      <w:r w:rsidRPr="00D8671A">
        <w:rPr>
          <w:rFonts w:asciiTheme="majorBidi" w:hAnsiTheme="majorBidi" w:cstheme="majorBidi"/>
        </w:rPr>
        <w:t>.</w:t>
      </w:r>
      <w:r w:rsidRPr="00D8671A">
        <w:rPr>
          <w:rStyle w:val="FootnoteReference"/>
          <w:rFonts w:asciiTheme="majorBidi" w:hAnsiTheme="majorBidi" w:cstheme="majorBidi"/>
        </w:rPr>
        <w:footnoteReference w:id="171"/>
      </w:r>
      <w:r w:rsidRPr="00D8671A">
        <w:rPr>
          <w:rFonts w:asciiTheme="majorBidi" w:hAnsiTheme="majorBidi" w:cstheme="majorBidi"/>
        </w:rPr>
        <w:t xml:space="preserve"> The </w:t>
      </w:r>
      <w:r w:rsidR="002F7C9A" w:rsidRPr="00D8671A">
        <w:rPr>
          <w:rFonts w:asciiTheme="majorBidi" w:hAnsiTheme="majorBidi" w:cstheme="majorBidi"/>
        </w:rPr>
        <w:t xml:space="preserve">conduct and fault elements </w:t>
      </w:r>
      <w:r w:rsidRPr="00D8671A">
        <w:rPr>
          <w:rFonts w:asciiTheme="majorBidi" w:hAnsiTheme="majorBidi" w:cstheme="majorBidi"/>
        </w:rPr>
        <w:t>for each form of responsibility seem to be sufficiently defined in the Rome Statute.</w:t>
      </w:r>
    </w:p>
    <w:p w14:paraId="0084EADA" w14:textId="7E687E51" w:rsidR="004B3BB4" w:rsidRPr="00D8671A" w:rsidRDefault="004B3BB4" w:rsidP="00566D5D">
      <w:pPr>
        <w:spacing w:after="0" w:line="240" w:lineRule="auto"/>
        <w:ind w:firstLine="720"/>
        <w:rPr>
          <w:rFonts w:asciiTheme="majorBidi" w:hAnsiTheme="majorBidi" w:cstheme="majorBidi"/>
        </w:rPr>
      </w:pPr>
      <w:r w:rsidRPr="00D8671A">
        <w:rPr>
          <w:rFonts w:asciiTheme="majorBidi" w:hAnsiTheme="majorBidi" w:cstheme="majorBidi"/>
          <w:i/>
        </w:rPr>
        <w:t xml:space="preserve">Travaux preparatoire </w:t>
      </w:r>
      <w:r w:rsidRPr="00D8671A">
        <w:rPr>
          <w:rFonts w:asciiTheme="majorBidi" w:hAnsiTheme="majorBidi" w:cstheme="majorBidi"/>
        </w:rPr>
        <w:t>demonstrate the compromise reached by the experts from different countries, each holding positions based on their domestic laws.</w:t>
      </w:r>
      <w:r w:rsidRPr="00D8671A">
        <w:rPr>
          <w:rStyle w:val="FootnoteReference"/>
          <w:rFonts w:asciiTheme="majorBidi" w:hAnsiTheme="majorBidi" w:cstheme="majorBidi"/>
        </w:rPr>
        <w:footnoteReference w:id="172"/>
      </w:r>
      <w:r w:rsidRPr="00D8671A">
        <w:rPr>
          <w:rFonts w:asciiTheme="majorBidi" w:hAnsiTheme="majorBidi" w:cstheme="majorBidi"/>
        </w:rPr>
        <w:t xml:space="preserve"> Neither the Working Paper, nor the Report of the Preparatory Committee on the Establishment of an </w:t>
      </w:r>
      <w:r w:rsidRPr="00D8671A">
        <w:rPr>
          <w:rFonts w:asciiTheme="majorBidi" w:hAnsiTheme="majorBidi" w:cstheme="majorBidi"/>
        </w:rPr>
        <w:lastRenderedPageBreak/>
        <w:t>International Criminal Court indicate any preference towards the German control over crime model or the intention of the parties to rank the modes of participation are arranged in the order of blameworthiness.</w:t>
      </w:r>
      <w:r w:rsidRPr="00D8671A">
        <w:rPr>
          <w:rStyle w:val="FootnoteReference"/>
          <w:rFonts w:asciiTheme="majorBidi" w:hAnsiTheme="majorBidi" w:cstheme="majorBidi"/>
        </w:rPr>
        <w:footnoteReference w:id="173"/>
      </w:r>
      <w:r w:rsidRPr="00D8671A">
        <w:rPr>
          <w:rFonts w:asciiTheme="majorBidi" w:hAnsiTheme="majorBidi" w:cstheme="majorBidi"/>
        </w:rPr>
        <w:t xml:space="preserve"> The changes to the initial draft followed debates on criminal responsibility of legal entities, </w:t>
      </w:r>
      <w:r w:rsidRPr="00D8671A">
        <w:rPr>
          <w:rFonts w:asciiTheme="majorBidi" w:hAnsiTheme="majorBidi" w:cstheme="majorBidi"/>
          <w:i/>
        </w:rPr>
        <w:t>mens rea</w:t>
      </w:r>
      <w:r w:rsidRPr="00D8671A">
        <w:rPr>
          <w:rFonts w:asciiTheme="majorBidi" w:hAnsiTheme="majorBidi" w:cstheme="majorBidi"/>
        </w:rPr>
        <w:t xml:space="preserve"> for aiding and abetting and the definition of group crime (current subparagraph (d) of Article 25(3)).</w:t>
      </w:r>
      <w:r w:rsidRPr="00D8671A">
        <w:rPr>
          <w:rStyle w:val="FootnoteReference"/>
          <w:rFonts w:asciiTheme="majorBidi" w:hAnsiTheme="majorBidi" w:cstheme="majorBidi"/>
        </w:rPr>
        <w:footnoteReference w:id="174"/>
      </w:r>
      <w:r w:rsidRPr="00D8671A">
        <w:rPr>
          <w:rFonts w:asciiTheme="majorBidi" w:hAnsiTheme="majorBidi" w:cstheme="majorBidi"/>
        </w:rPr>
        <w:t xml:space="preserve"> </w:t>
      </w:r>
      <w:r w:rsidR="00582406" w:rsidRPr="00D8671A">
        <w:rPr>
          <w:rFonts w:asciiTheme="majorBidi" w:hAnsiTheme="majorBidi" w:cstheme="majorBidi"/>
        </w:rPr>
        <w:t>Neither c</w:t>
      </w:r>
      <w:r w:rsidRPr="00D8671A">
        <w:rPr>
          <w:rFonts w:asciiTheme="majorBidi" w:hAnsiTheme="majorBidi" w:cstheme="majorBidi"/>
        </w:rPr>
        <w:t xml:space="preserve">ontrol over crime theory </w:t>
      </w:r>
      <w:r w:rsidR="00582406" w:rsidRPr="00D8671A">
        <w:rPr>
          <w:rFonts w:asciiTheme="majorBidi" w:hAnsiTheme="majorBidi" w:cstheme="majorBidi"/>
        </w:rPr>
        <w:t>n</w:t>
      </w:r>
      <w:r w:rsidRPr="00D8671A">
        <w:rPr>
          <w:rFonts w:asciiTheme="majorBidi" w:hAnsiTheme="majorBidi" w:cstheme="majorBidi"/>
        </w:rPr>
        <w:t xml:space="preserve">or the hierarchy of the </w:t>
      </w:r>
      <w:r w:rsidR="00BF48E6" w:rsidRPr="00D8671A">
        <w:rPr>
          <w:rFonts w:asciiTheme="majorBidi" w:hAnsiTheme="majorBidi" w:cstheme="majorBidi"/>
        </w:rPr>
        <w:t>modes of liability</w:t>
      </w:r>
      <w:r w:rsidRPr="00D8671A">
        <w:rPr>
          <w:rFonts w:asciiTheme="majorBidi" w:hAnsiTheme="majorBidi" w:cstheme="majorBidi"/>
        </w:rPr>
        <w:t>s surface in the debates that shaped the article on individual criminal responsibility.</w:t>
      </w:r>
    </w:p>
    <w:p w14:paraId="5AFFA02C" w14:textId="77777777" w:rsidR="00566D5D" w:rsidRDefault="004B3BB4" w:rsidP="00566D5D">
      <w:pPr>
        <w:spacing w:after="0" w:line="240" w:lineRule="auto"/>
        <w:ind w:firstLine="720"/>
        <w:rPr>
          <w:rFonts w:asciiTheme="majorBidi" w:hAnsiTheme="majorBidi" w:cstheme="majorBidi"/>
        </w:rPr>
      </w:pPr>
      <w:r w:rsidRPr="00D8671A">
        <w:rPr>
          <w:rFonts w:asciiTheme="majorBidi" w:hAnsiTheme="majorBidi" w:cstheme="majorBidi"/>
        </w:rPr>
        <w:t>Customary law at the ICC does not play as prominent role as in the jurisprudence of the ad hoc tribunals.</w:t>
      </w:r>
      <w:r w:rsidRPr="00D8671A">
        <w:rPr>
          <w:rStyle w:val="FootnoteReference"/>
          <w:rFonts w:asciiTheme="majorBidi" w:hAnsiTheme="majorBidi" w:cstheme="majorBidi"/>
        </w:rPr>
        <w:footnoteReference w:id="175"/>
      </w:r>
      <w:r w:rsidRPr="00D8671A">
        <w:rPr>
          <w:rFonts w:asciiTheme="majorBidi" w:hAnsiTheme="majorBidi" w:cstheme="majorBidi"/>
        </w:rPr>
        <w:t xml:space="preserve"> The court has referred, however, to an international custom when interpreting the notion of </w:t>
      </w:r>
      <w:r w:rsidR="00F22C52" w:rsidRPr="00D8671A">
        <w:rPr>
          <w:rFonts w:asciiTheme="majorBidi" w:hAnsiTheme="majorBidi" w:cstheme="majorBidi"/>
        </w:rPr>
        <w:t>“</w:t>
      </w:r>
      <w:r w:rsidRPr="00D8671A">
        <w:rPr>
          <w:rFonts w:asciiTheme="majorBidi" w:hAnsiTheme="majorBidi" w:cstheme="majorBidi"/>
        </w:rPr>
        <w:t>common purpose</w:t>
      </w:r>
      <w:r w:rsidR="00F22C52" w:rsidRPr="00D8671A">
        <w:rPr>
          <w:rFonts w:asciiTheme="majorBidi" w:hAnsiTheme="majorBidi" w:cstheme="majorBidi"/>
        </w:rPr>
        <w:t>”</w:t>
      </w:r>
      <w:r w:rsidRPr="00D8671A">
        <w:rPr>
          <w:rFonts w:asciiTheme="majorBidi" w:hAnsiTheme="majorBidi" w:cstheme="majorBidi"/>
        </w:rPr>
        <w:t xml:space="preserve"> contained in Article 25(3)(d). The Trial Chamber in </w:t>
      </w:r>
      <w:r w:rsidRPr="00D8671A">
        <w:rPr>
          <w:rFonts w:asciiTheme="majorBidi" w:hAnsiTheme="majorBidi" w:cstheme="majorBidi"/>
          <w:i/>
        </w:rPr>
        <w:t>Katanga</w:t>
      </w:r>
      <w:r w:rsidRPr="00D8671A">
        <w:rPr>
          <w:rFonts w:asciiTheme="majorBidi" w:hAnsiTheme="majorBidi" w:cstheme="majorBidi"/>
        </w:rPr>
        <w:t xml:space="preserve"> found it reasonable to rely on the jurisprudence of the ad hoc tribunals pertaining to the joint criminal enterprise.</w:t>
      </w:r>
      <w:r w:rsidRPr="00D8671A">
        <w:rPr>
          <w:rStyle w:val="FootnoteReference"/>
          <w:rFonts w:asciiTheme="majorBidi" w:hAnsiTheme="majorBidi" w:cstheme="majorBidi"/>
        </w:rPr>
        <w:footnoteReference w:id="176"/>
      </w:r>
      <w:r w:rsidRPr="00D8671A">
        <w:rPr>
          <w:rFonts w:asciiTheme="majorBidi" w:hAnsiTheme="majorBidi" w:cstheme="majorBidi"/>
        </w:rPr>
        <w:t xml:space="preserve"> Thus, it is worth mentioning that control over crime theory cannot be said to have materialized as a custom. The theory is supported only by the </w:t>
      </w:r>
      <w:r w:rsidRPr="00D8671A">
        <w:rPr>
          <w:rFonts w:asciiTheme="majorBidi" w:hAnsiTheme="majorBidi" w:cstheme="majorBidi"/>
          <w:i/>
        </w:rPr>
        <w:t>Stakić</w:t>
      </w:r>
      <w:r w:rsidRPr="00D8671A">
        <w:rPr>
          <w:rFonts w:asciiTheme="majorBidi" w:hAnsiTheme="majorBidi" w:cstheme="majorBidi"/>
        </w:rPr>
        <w:t xml:space="preserve"> trial judgment of the ICTY and the </w:t>
      </w:r>
      <w:r w:rsidRPr="00D8671A">
        <w:rPr>
          <w:rFonts w:asciiTheme="majorBidi" w:hAnsiTheme="majorBidi" w:cstheme="majorBidi"/>
          <w:i/>
        </w:rPr>
        <w:t>Eichmann</w:t>
      </w:r>
      <w:r w:rsidRPr="00D8671A">
        <w:rPr>
          <w:rFonts w:asciiTheme="majorBidi" w:hAnsiTheme="majorBidi" w:cstheme="majorBidi"/>
        </w:rPr>
        <w:t xml:space="preserve"> judgment of the Jerusalem court.</w:t>
      </w:r>
      <w:r w:rsidRPr="00D8671A">
        <w:rPr>
          <w:rStyle w:val="FootnoteReference"/>
          <w:rFonts w:asciiTheme="majorBidi" w:hAnsiTheme="majorBidi" w:cstheme="majorBidi"/>
        </w:rPr>
        <w:footnoteReference w:id="177"/>
      </w:r>
      <w:r w:rsidRPr="00D8671A">
        <w:rPr>
          <w:rFonts w:asciiTheme="majorBidi" w:hAnsiTheme="majorBidi" w:cstheme="majorBidi"/>
        </w:rPr>
        <w:t xml:space="preserve"> Arguably, these authorities alone do not establish the existence of a customary rule. Nor can it be said that control over crime theory is recognized by the majority of legal systems to constitute a third source of international law – a general principle of law. </w:t>
      </w:r>
    </w:p>
    <w:p w14:paraId="6B894C55" w14:textId="1BB09832" w:rsidR="002537FE" w:rsidRPr="00D8671A" w:rsidRDefault="002537FE" w:rsidP="00566D5D">
      <w:pPr>
        <w:spacing w:after="0" w:line="240" w:lineRule="auto"/>
        <w:ind w:firstLine="720"/>
        <w:rPr>
          <w:rFonts w:asciiTheme="majorBidi" w:hAnsiTheme="majorBidi" w:cstheme="majorBidi"/>
        </w:rPr>
      </w:pPr>
      <w:r w:rsidRPr="00D8671A">
        <w:rPr>
          <w:rFonts w:asciiTheme="majorBidi" w:hAnsiTheme="majorBidi" w:cstheme="majorBidi"/>
        </w:rPr>
        <w:t>Finally, one has note</w:t>
      </w:r>
      <w:r w:rsidR="00582406" w:rsidRPr="00D8671A">
        <w:rPr>
          <w:rFonts w:asciiTheme="majorBidi" w:hAnsiTheme="majorBidi" w:cstheme="majorBidi"/>
        </w:rPr>
        <w:t>d</w:t>
      </w:r>
      <w:r w:rsidRPr="00D8671A">
        <w:rPr>
          <w:rFonts w:asciiTheme="majorBidi" w:hAnsiTheme="majorBidi" w:cstheme="majorBidi"/>
        </w:rPr>
        <w:t xml:space="preserve"> that the original control over crime theory </w:t>
      </w:r>
      <w:r w:rsidR="004E2E84" w:rsidRPr="00D8671A">
        <w:rPr>
          <w:rFonts w:asciiTheme="majorBidi" w:hAnsiTheme="majorBidi" w:cstheme="majorBidi"/>
        </w:rPr>
        <w:t xml:space="preserve">is distinct from its international criminal law counterpart in at least two significant ways. First, the German version of the doctrine places </w:t>
      </w:r>
      <w:r w:rsidR="00803BB0" w:rsidRPr="00D8671A">
        <w:rPr>
          <w:rFonts w:asciiTheme="majorBidi" w:hAnsiTheme="majorBidi" w:cstheme="majorBidi"/>
        </w:rPr>
        <w:t>strict limitations</w:t>
      </w:r>
      <w:r w:rsidR="00757C3B" w:rsidRPr="00D8671A">
        <w:rPr>
          <w:rFonts w:asciiTheme="majorBidi" w:hAnsiTheme="majorBidi" w:cstheme="majorBidi"/>
        </w:rPr>
        <w:t xml:space="preserve"> on mutual attribution, which does not happen in respect of any action by the joint principal not covered by the common plan</w:t>
      </w:r>
      <w:r w:rsidR="003F1E45" w:rsidRPr="00D8671A">
        <w:rPr>
          <w:rFonts w:asciiTheme="majorBidi" w:hAnsiTheme="majorBidi" w:cstheme="majorBidi"/>
        </w:rPr>
        <w:t xml:space="preserve"> and intent</w:t>
      </w:r>
      <w:r w:rsidR="00757C3B" w:rsidRPr="00D8671A">
        <w:rPr>
          <w:rFonts w:asciiTheme="majorBidi" w:hAnsiTheme="majorBidi" w:cstheme="majorBidi"/>
        </w:rPr>
        <w:t>.</w:t>
      </w:r>
      <w:r w:rsidR="00757C3B" w:rsidRPr="00D8671A">
        <w:rPr>
          <w:rStyle w:val="FootnoteReference"/>
          <w:rFonts w:asciiTheme="majorBidi" w:hAnsiTheme="majorBidi" w:cstheme="majorBidi"/>
        </w:rPr>
        <w:footnoteReference w:id="178"/>
      </w:r>
      <w:r w:rsidR="00757C3B" w:rsidRPr="00D8671A">
        <w:rPr>
          <w:rFonts w:asciiTheme="majorBidi" w:hAnsiTheme="majorBidi" w:cstheme="majorBidi"/>
        </w:rPr>
        <w:t xml:space="preserve"> </w:t>
      </w:r>
      <w:r w:rsidR="00803BB0" w:rsidRPr="00D8671A">
        <w:rPr>
          <w:rFonts w:asciiTheme="majorBidi" w:hAnsiTheme="majorBidi" w:cstheme="majorBidi"/>
        </w:rPr>
        <w:t>The</w:t>
      </w:r>
      <w:r w:rsidR="00757C3B" w:rsidRPr="00D8671A">
        <w:rPr>
          <w:rFonts w:asciiTheme="majorBidi" w:hAnsiTheme="majorBidi" w:cstheme="majorBidi"/>
        </w:rPr>
        <w:t xml:space="preserve"> contours of </w:t>
      </w:r>
      <w:r w:rsidR="00803BB0" w:rsidRPr="00D8671A">
        <w:rPr>
          <w:rFonts w:asciiTheme="majorBidi" w:hAnsiTheme="majorBidi" w:cstheme="majorBidi"/>
        </w:rPr>
        <w:t xml:space="preserve">the </w:t>
      </w:r>
      <w:r w:rsidR="003F1E45" w:rsidRPr="00D8671A">
        <w:rPr>
          <w:rFonts w:asciiTheme="majorBidi" w:hAnsiTheme="majorBidi" w:cstheme="majorBidi"/>
        </w:rPr>
        <w:t>joint agreement</w:t>
      </w:r>
      <w:r w:rsidR="00757C3B" w:rsidRPr="00D8671A">
        <w:rPr>
          <w:rFonts w:asciiTheme="majorBidi" w:hAnsiTheme="majorBidi" w:cstheme="majorBidi"/>
        </w:rPr>
        <w:t xml:space="preserve"> are more difficult to define in </w:t>
      </w:r>
      <w:r w:rsidR="00803BB0" w:rsidRPr="00D8671A">
        <w:rPr>
          <w:rFonts w:asciiTheme="majorBidi" w:hAnsiTheme="majorBidi" w:cstheme="majorBidi"/>
        </w:rPr>
        <w:t>respect</w:t>
      </w:r>
      <w:r w:rsidR="00757C3B" w:rsidRPr="00D8671A">
        <w:rPr>
          <w:rFonts w:asciiTheme="majorBidi" w:hAnsiTheme="majorBidi" w:cstheme="majorBidi"/>
        </w:rPr>
        <w:t xml:space="preserve"> of mass atrocities. </w:t>
      </w:r>
      <w:r w:rsidR="003F1E45" w:rsidRPr="00D8671A">
        <w:rPr>
          <w:rFonts w:asciiTheme="majorBidi" w:hAnsiTheme="majorBidi" w:cstheme="majorBidi"/>
        </w:rPr>
        <w:t>For</w:t>
      </w:r>
      <w:r w:rsidR="00757C3B" w:rsidRPr="00D8671A">
        <w:rPr>
          <w:rFonts w:asciiTheme="majorBidi" w:hAnsiTheme="majorBidi" w:cstheme="majorBidi"/>
        </w:rPr>
        <w:t xml:space="preserve"> this reason, </w:t>
      </w:r>
      <w:r w:rsidR="0050171D" w:rsidRPr="00D8671A">
        <w:rPr>
          <w:rFonts w:asciiTheme="majorBidi" w:hAnsiTheme="majorBidi" w:cstheme="majorBidi"/>
        </w:rPr>
        <w:t xml:space="preserve">it may often be </w:t>
      </w:r>
      <w:r w:rsidR="00757C3B" w:rsidRPr="00D8671A">
        <w:rPr>
          <w:rFonts w:asciiTheme="majorBidi" w:hAnsiTheme="majorBidi" w:cstheme="majorBidi"/>
        </w:rPr>
        <w:t>preferable to focus on the contribution to the crime, rather than the plan</w:t>
      </w:r>
      <w:r w:rsidR="00803BB0" w:rsidRPr="00D8671A">
        <w:rPr>
          <w:rFonts w:asciiTheme="majorBidi" w:hAnsiTheme="majorBidi" w:cstheme="majorBidi"/>
        </w:rPr>
        <w:t xml:space="preserve"> in the context of international criminal law</w:t>
      </w:r>
      <w:r w:rsidR="00757C3B" w:rsidRPr="00D8671A">
        <w:rPr>
          <w:rFonts w:asciiTheme="majorBidi" w:hAnsiTheme="majorBidi" w:cstheme="majorBidi"/>
        </w:rPr>
        <w:t xml:space="preserve">. </w:t>
      </w:r>
      <w:r w:rsidR="003F1E45" w:rsidRPr="00D8671A">
        <w:rPr>
          <w:rFonts w:asciiTheme="majorBidi" w:hAnsiTheme="majorBidi" w:cstheme="majorBidi"/>
        </w:rPr>
        <w:t>Moreover, t</w:t>
      </w:r>
      <w:r w:rsidR="00757C3B" w:rsidRPr="00D8671A">
        <w:rPr>
          <w:rFonts w:asciiTheme="majorBidi" w:hAnsiTheme="majorBidi" w:cstheme="majorBidi"/>
        </w:rPr>
        <w:t xml:space="preserve">he fault requirement at the ICC is </w:t>
      </w:r>
      <w:r w:rsidR="003F1E45" w:rsidRPr="00D8671A">
        <w:rPr>
          <w:rFonts w:asciiTheme="majorBidi" w:hAnsiTheme="majorBidi" w:cstheme="majorBidi"/>
        </w:rPr>
        <w:t>not a guarantee against unjustified mutual attribution as the standard “</w:t>
      </w:r>
      <w:r w:rsidR="00803BB0" w:rsidRPr="00D8671A">
        <w:rPr>
          <w:rFonts w:asciiTheme="majorBidi" w:hAnsiTheme="majorBidi" w:cstheme="majorBidi"/>
        </w:rPr>
        <w:t>awareness that a consequence will occur in the ordinary course of events</w:t>
      </w:r>
      <w:r w:rsidR="003F1E45" w:rsidRPr="00D8671A">
        <w:rPr>
          <w:rFonts w:asciiTheme="majorBidi" w:hAnsiTheme="majorBidi" w:cstheme="majorBidi"/>
        </w:rPr>
        <w:t xml:space="preserve">” </w:t>
      </w:r>
      <w:r w:rsidR="006F0717" w:rsidRPr="00D8671A">
        <w:rPr>
          <w:rFonts w:asciiTheme="majorBidi" w:hAnsiTheme="majorBidi" w:cstheme="majorBidi"/>
        </w:rPr>
        <w:t>hints at a</w:t>
      </w:r>
      <w:r w:rsidR="003F1E45" w:rsidRPr="00D8671A">
        <w:rPr>
          <w:rFonts w:asciiTheme="majorBidi" w:hAnsiTheme="majorBidi" w:cstheme="majorBidi"/>
        </w:rPr>
        <w:t xml:space="preserve"> certain degree of probability.</w:t>
      </w:r>
      <w:r w:rsidR="00DA2A56" w:rsidRPr="00D8671A">
        <w:rPr>
          <w:rStyle w:val="FootnoteReference"/>
          <w:rFonts w:asciiTheme="majorBidi" w:hAnsiTheme="majorBidi" w:cstheme="majorBidi"/>
        </w:rPr>
        <w:footnoteReference w:id="179"/>
      </w:r>
      <w:r w:rsidR="003F1E45" w:rsidRPr="00D8671A">
        <w:rPr>
          <w:rFonts w:asciiTheme="majorBidi" w:hAnsiTheme="majorBidi" w:cstheme="majorBidi"/>
        </w:rPr>
        <w:t xml:space="preserve"> </w:t>
      </w:r>
      <w:r w:rsidR="00757C3B" w:rsidRPr="00D8671A">
        <w:rPr>
          <w:rFonts w:asciiTheme="majorBidi" w:hAnsiTheme="majorBidi" w:cstheme="majorBidi"/>
        </w:rPr>
        <w:t xml:space="preserve"> </w:t>
      </w:r>
      <w:r w:rsidR="004E2E84" w:rsidRPr="00D8671A">
        <w:rPr>
          <w:rFonts w:asciiTheme="majorBidi" w:hAnsiTheme="majorBidi" w:cstheme="majorBidi"/>
        </w:rPr>
        <w:t xml:space="preserve">Secondly, the classical theory </w:t>
      </w:r>
      <w:r w:rsidRPr="00D8671A">
        <w:rPr>
          <w:rFonts w:asciiTheme="majorBidi" w:hAnsiTheme="majorBidi" w:cstheme="majorBidi"/>
        </w:rPr>
        <w:t>does not appear to imply a higher degree of guilt for the indirect perpetrator. The focus is not on the level of contribution of the accused but on the power to exercise control in the hierarchical system.</w:t>
      </w:r>
      <w:r w:rsidRPr="00D8671A">
        <w:rPr>
          <w:rStyle w:val="FootnoteReference"/>
          <w:rFonts w:asciiTheme="majorBidi" w:hAnsiTheme="majorBidi" w:cstheme="majorBidi"/>
        </w:rPr>
        <w:footnoteReference w:id="180"/>
      </w:r>
      <w:r w:rsidRPr="00D8671A">
        <w:rPr>
          <w:rFonts w:asciiTheme="majorBidi" w:hAnsiTheme="majorBidi" w:cstheme="majorBidi"/>
        </w:rPr>
        <w:t xml:space="preserve"> Roxin admitted that accessory’s or the instigator’s behaviour need not be less reprehensible than that of the perpetrator; rather their lack of power to control can be one of the factors at sentencing</w:t>
      </w:r>
      <w:r w:rsidR="00582406" w:rsidRPr="00D8671A">
        <w:rPr>
          <w:rFonts w:asciiTheme="majorBidi" w:hAnsiTheme="majorBidi" w:cstheme="majorBidi"/>
        </w:rPr>
        <w:t>.</w:t>
      </w:r>
      <w:r w:rsidRPr="00D8671A">
        <w:rPr>
          <w:rStyle w:val="FootnoteReference"/>
          <w:rFonts w:asciiTheme="majorBidi" w:hAnsiTheme="majorBidi" w:cstheme="majorBidi"/>
        </w:rPr>
        <w:footnoteReference w:id="181"/>
      </w:r>
      <w:r w:rsidRPr="00D8671A">
        <w:rPr>
          <w:rFonts w:asciiTheme="majorBidi" w:hAnsiTheme="majorBidi" w:cstheme="majorBidi"/>
        </w:rPr>
        <w:t xml:space="preserve"> </w:t>
      </w:r>
      <w:r w:rsidR="00514F9E" w:rsidRPr="00D8671A">
        <w:rPr>
          <w:rFonts w:asciiTheme="majorBidi" w:hAnsiTheme="majorBidi" w:cstheme="majorBidi"/>
        </w:rPr>
        <w:t>German criminal law</w:t>
      </w:r>
      <w:r w:rsidR="001D5AD2" w:rsidRPr="00D8671A">
        <w:rPr>
          <w:rFonts w:asciiTheme="majorBidi" w:hAnsiTheme="majorBidi" w:cstheme="majorBidi"/>
        </w:rPr>
        <w:t xml:space="preserve"> </w:t>
      </w:r>
      <w:r w:rsidR="00422467" w:rsidRPr="00D8671A">
        <w:rPr>
          <w:rFonts w:asciiTheme="majorBidi" w:hAnsiTheme="majorBidi" w:cstheme="majorBidi"/>
        </w:rPr>
        <w:t xml:space="preserve">provides for </w:t>
      </w:r>
      <w:r w:rsidR="00514F9E" w:rsidRPr="00D8671A">
        <w:rPr>
          <w:rFonts w:asciiTheme="majorBidi" w:hAnsiTheme="majorBidi" w:cstheme="majorBidi"/>
        </w:rPr>
        <w:t>sentencing discount</w:t>
      </w:r>
      <w:r w:rsidR="00422467" w:rsidRPr="00D8671A">
        <w:rPr>
          <w:rFonts w:asciiTheme="majorBidi" w:hAnsiTheme="majorBidi" w:cstheme="majorBidi"/>
        </w:rPr>
        <w:t>s</w:t>
      </w:r>
      <w:r w:rsidR="00514F9E" w:rsidRPr="00D8671A">
        <w:rPr>
          <w:rFonts w:asciiTheme="majorBidi" w:hAnsiTheme="majorBidi" w:cstheme="majorBidi"/>
        </w:rPr>
        <w:t xml:space="preserve"> for accessories, hence, as it became evident in the </w:t>
      </w:r>
      <w:r w:rsidR="00E25932" w:rsidRPr="00D8671A">
        <w:rPr>
          <w:rFonts w:asciiTheme="majorBidi" w:hAnsiTheme="majorBidi" w:cstheme="majorBidi"/>
          <w:i/>
        </w:rPr>
        <w:t>Stashynsky</w:t>
      </w:r>
      <w:r w:rsidR="00514F9E" w:rsidRPr="00D8671A">
        <w:rPr>
          <w:rFonts w:asciiTheme="majorBidi" w:hAnsiTheme="majorBidi" w:cstheme="majorBidi"/>
        </w:rPr>
        <w:t xml:space="preserve"> case,</w:t>
      </w:r>
      <w:r w:rsidR="00757C3B" w:rsidRPr="00D8671A">
        <w:rPr>
          <w:rStyle w:val="FootnoteReference"/>
          <w:rFonts w:asciiTheme="majorBidi" w:hAnsiTheme="majorBidi" w:cstheme="majorBidi"/>
        </w:rPr>
        <w:footnoteReference w:id="182"/>
      </w:r>
      <w:r w:rsidR="00514F9E" w:rsidRPr="00D8671A">
        <w:rPr>
          <w:rFonts w:asciiTheme="majorBidi" w:hAnsiTheme="majorBidi" w:cstheme="majorBidi"/>
        </w:rPr>
        <w:t xml:space="preserve"> the introduction of</w:t>
      </w:r>
      <w:r w:rsidR="004E2E84" w:rsidRPr="00D8671A">
        <w:rPr>
          <w:rFonts w:asciiTheme="majorBidi" w:hAnsiTheme="majorBidi" w:cstheme="majorBidi"/>
        </w:rPr>
        <w:t xml:space="preserve"> the</w:t>
      </w:r>
      <w:r w:rsidR="00514F9E" w:rsidRPr="00D8671A">
        <w:rPr>
          <w:rFonts w:asciiTheme="majorBidi" w:hAnsiTheme="majorBidi" w:cstheme="majorBidi"/>
        </w:rPr>
        <w:t xml:space="preserve"> “control over crime theory” was largely motivated by </w:t>
      </w:r>
      <w:r w:rsidR="00E25932" w:rsidRPr="00D8671A">
        <w:rPr>
          <w:rFonts w:asciiTheme="majorBidi" w:hAnsiTheme="majorBidi" w:cstheme="majorBidi"/>
        </w:rPr>
        <w:t>the unfairly</w:t>
      </w:r>
      <w:r w:rsidR="00514F9E" w:rsidRPr="00D8671A">
        <w:rPr>
          <w:rFonts w:asciiTheme="majorBidi" w:hAnsiTheme="majorBidi" w:cstheme="majorBidi"/>
        </w:rPr>
        <w:t xml:space="preserve"> leni</w:t>
      </w:r>
      <w:r w:rsidR="004E2E84" w:rsidRPr="00D8671A">
        <w:rPr>
          <w:rFonts w:asciiTheme="majorBidi" w:hAnsiTheme="majorBidi" w:cstheme="majorBidi"/>
        </w:rPr>
        <w:t>ent sentences distributed to</w:t>
      </w:r>
      <w:r w:rsidR="00514F9E" w:rsidRPr="00D8671A">
        <w:rPr>
          <w:rFonts w:asciiTheme="majorBidi" w:hAnsiTheme="majorBidi" w:cstheme="majorBidi"/>
        </w:rPr>
        <w:t xml:space="preserve"> accomplices</w:t>
      </w:r>
      <w:r w:rsidR="001D5AD2" w:rsidRPr="00D8671A">
        <w:rPr>
          <w:rFonts w:asciiTheme="majorBidi" w:hAnsiTheme="majorBidi" w:cstheme="majorBidi"/>
        </w:rPr>
        <w:t>. Th</w:t>
      </w:r>
      <w:r w:rsidR="00422467" w:rsidRPr="00D8671A">
        <w:rPr>
          <w:rFonts w:asciiTheme="majorBidi" w:hAnsiTheme="majorBidi" w:cstheme="majorBidi"/>
        </w:rPr>
        <w:t xml:space="preserve">is </w:t>
      </w:r>
      <w:r w:rsidR="001D5AD2" w:rsidRPr="00D8671A">
        <w:rPr>
          <w:rFonts w:asciiTheme="majorBidi" w:hAnsiTheme="majorBidi" w:cstheme="majorBidi"/>
        </w:rPr>
        <w:t xml:space="preserve">problem does not exist at the ICC. </w:t>
      </w:r>
      <w:r w:rsidR="00422467" w:rsidRPr="00D8671A">
        <w:rPr>
          <w:rFonts w:asciiTheme="majorBidi" w:hAnsiTheme="majorBidi" w:cstheme="majorBidi"/>
        </w:rPr>
        <w:t>It seems that</w:t>
      </w:r>
      <w:r w:rsidR="005D7CE0" w:rsidRPr="00D8671A">
        <w:rPr>
          <w:rFonts w:asciiTheme="majorBidi" w:hAnsiTheme="majorBidi" w:cstheme="majorBidi"/>
        </w:rPr>
        <w:t xml:space="preserve"> the reading of theory by the </w:t>
      </w:r>
      <w:r w:rsidRPr="00D8671A">
        <w:rPr>
          <w:rFonts w:asciiTheme="majorBidi" w:hAnsiTheme="majorBidi" w:cstheme="majorBidi"/>
        </w:rPr>
        <w:t xml:space="preserve">Trial Chamber in </w:t>
      </w:r>
      <w:r w:rsidRPr="00D8671A">
        <w:rPr>
          <w:rFonts w:asciiTheme="majorBidi" w:hAnsiTheme="majorBidi" w:cstheme="majorBidi"/>
          <w:i/>
        </w:rPr>
        <w:t>Katanga</w:t>
      </w:r>
      <w:r w:rsidRPr="00D8671A">
        <w:rPr>
          <w:rFonts w:asciiTheme="majorBidi" w:hAnsiTheme="majorBidi" w:cstheme="majorBidi"/>
        </w:rPr>
        <w:t xml:space="preserve"> appears </w:t>
      </w:r>
      <w:r w:rsidR="005D7CE0" w:rsidRPr="00D8671A">
        <w:rPr>
          <w:rFonts w:asciiTheme="majorBidi" w:hAnsiTheme="majorBidi" w:cstheme="majorBidi"/>
        </w:rPr>
        <w:t>closest to the original</w:t>
      </w:r>
      <w:r w:rsidRPr="00D8671A">
        <w:rPr>
          <w:rFonts w:asciiTheme="majorBidi" w:hAnsiTheme="majorBidi" w:cstheme="majorBidi"/>
        </w:rPr>
        <w:t>: unlike its predecessors, the Majority refused to link the theory with a higher degree of guilt.</w:t>
      </w:r>
      <w:r w:rsidRPr="00D8671A">
        <w:rPr>
          <w:rStyle w:val="FootnoteReference"/>
          <w:rFonts w:asciiTheme="majorBidi" w:hAnsiTheme="majorBidi" w:cstheme="majorBidi"/>
        </w:rPr>
        <w:footnoteReference w:id="183"/>
      </w:r>
      <w:r w:rsidRPr="00D8671A">
        <w:rPr>
          <w:rFonts w:asciiTheme="majorBidi" w:hAnsiTheme="majorBidi" w:cstheme="majorBidi"/>
        </w:rPr>
        <w:t xml:space="preserve"> </w:t>
      </w:r>
    </w:p>
    <w:p w14:paraId="748F1134" w14:textId="312C086D" w:rsidR="004B3BB4" w:rsidRPr="00D8671A" w:rsidRDefault="0039361C" w:rsidP="00D8671A">
      <w:pPr>
        <w:pStyle w:val="Heading3"/>
        <w:numPr>
          <w:ilvl w:val="0"/>
          <w:numId w:val="0"/>
        </w:numPr>
        <w:spacing w:before="0" w:line="240" w:lineRule="auto"/>
        <w:rPr>
          <w:rFonts w:asciiTheme="majorBidi" w:hAnsiTheme="majorBidi"/>
          <w:i/>
          <w:color w:val="auto"/>
        </w:rPr>
      </w:pPr>
      <w:bookmarkStart w:id="6" w:name="_Toc250621145"/>
      <w:bookmarkStart w:id="7" w:name="_Toc251494089"/>
      <w:bookmarkStart w:id="8" w:name="_Toc251518904"/>
      <w:r w:rsidRPr="00D8671A">
        <w:rPr>
          <w:rFonts w:asciiTheme="majorBidi" w:hAnsiTheme="majorBidi"/>
          <w:color w:val="auto"/>
        </w:rPr>
        <w:lastRenderedPageBreak/>
        <w:t>3.2.</w:t>
      </w:r>
      <w:r w:rsidRPr="00D8671A">
        <w:rPr>
          <w:rFonts w:asciiTheme="majorBidi" w:hAnsiTheme="majorBidi"/>
          <w:i/>
          <w:color w:val="auto"/>
        </w:rPr>
        <w:tab/>
      </w:r>
      <w:r w:rsidR="004B3BB4" w:rsidRPr="00D8671A">
        <w:rPr>
          <w:rFonts w:asciiTheme="majorBidi" w:hAnsiTheme="majorBidi"/>
          <w:i/>
          <w:color w:val="auto"/>
        </w:rPr>
        <w:t>Modes of Responsibility – Distinguished but not Ranked</w:t>
      </w:r>
      <w:bookmarkEnd w:id="6"/>
      <w:bookmarkEnd w:id="7"/>
      <w:bookmarkEnd w:id="8"/>
    </w:p>
    <w:p w14:paraId="2F93F8B2" w14:textId="13E8CA11" w:rsidR="004B3BB4" w:rsidRPr="00D8671A" w:rsidRDefault="004B3BB4" w:rsidP="00BE3AE2">
      <w:pPr>
        <w:spacing w:after="0" w:line="240" w:lineRule="auto"/>
        <w:rPr>
          <w:rFonts w:asciiTheme="majorBidi" w:eastAsia="Times New Roman" w:hAnsiTheme="majorBidi" w:cstheme="majorBidi"/>
        </w:rPr>
      </w:pPr>
      <w:r w:rsidRPr="00D8671A">
        <w:rPr>
          <w:rFonts w:asciiTheme="majorBidi" w:hAnsiTheme="majorBidi" w:cstheme="majorBidi"/>
        </w:rPr>
        <w:t xml:space="preserve">Article 25(3) of the Rome Statute represents a move towards the differential participation model that distinguishes different </w:t>
      </w:r>
      <w:r w:rsidR="007070BE" w:rsidRPr="00D8671A">
        <w:rPr>
          <w:rFonts w:asciiTheme="majorBidi" w:hAnsiTheme="majorBidi" w:cstheme="majorBidi"/>
        </w:rPr>
        <w:t>forms of responsibility</w:t>
      </w:r>
      <w:r w:rsidRPr="00D8671A">
        <w:rPr>
          <w:rFonts w:asciiTheme="majorBidi" w:hAnsiTheme="majorBidi" w:cstheme="majorBidi"/>
        </w:rPr>
        <w:t xml:space="preserve">, but </w:t>
      </w:r>
      <w:r w:rsidR="006607B4" w:rsidRPr="00D8671A">
        <w:rPr>
          <w:rFonts w:asciiTheme="majorBidi" w:hAnsiTheme="majorBidi" w:cstheme="majorBidi"/>
        </w:rPr>
        <w:t xml:space="preserve">does not </w:t>
      </w:r>
      <w:r w:rsidRPr="00D8671A">
        <w:rPr>
          <w:rFonts w:asciiTheme="majorBidi" w:hAnsiTheme="majorBidi" w:cstheme="majorBidi"/>
        </w:rPr>
        <w:t xml:space="preserve">necessarily rank. Sentencing is the main reason for grading </w:t>
      </w:r>
      <w:r w:rsidR="00BF48E6" w:rsidRPr="00D8671A">
        <w:rPr>
          <w:rFonts w:asciiTheme="majorBidi" w:hAnsiTheme="majorBidi" w:cstheme="majorBidi"/>
        </w:rPr>
        <w:t>modes of liability</w:t>
      </w:r>
      <w:r w:rsidR="007070BE" w:rsidRPr="00D8671A">
        <w:rPr>
          <w:rFonts w:asciiTheme="majorBidi" w:hAnsiTheme="majorBidi" w:cstheme="majorBidi"/>
        </w:rPr>
        <w:t>s</w:t>
      </w:r>
      <w:r w:rsidRPr="00D8671A">
        <w:rPr>
          <w:rFonts w:asciiTheme="majorBidi" w:hAnsiTheme="majorBidi" w:cstheme="majorBidi"/>
        </w:rPr>
        <w:t xml:space="preserve"> at the national level. For example, the legislation of Finland, Estonia, Germany and Indonesia provide for sentencing discounts for the accessories as opposed to the perpetrators. The Rome Statute does not contain </w:t>
      </w:r>
      <w:r w:rsidR="006607B4" w:rsidRPr="00D8671A">
        <w:rPr>
          <w:rFonts w:asciiTheme="majorBidi" w:hAnsiTheme="majorBidi" w:cstheme="majorBidi"/>
        </w:rPr>
        <w:t xml:space="preserve">a </w:t>
      </w:r>
      <w:r w:rsidRPr="00D8671A">
        <w:rPr>
          <w:rFonts w:asciiTheme="majorBidi" w:hAnsiTheme="majorBidi" w:cstheme="majorBidi"/>
        </w:rPr>
        <w:t xml:space="preserve">similar sentencing provision. Article 78 of the Statute only directs the court to take into account factors </w:t>
      </w:r>
      <w:r w:rsidR="006607B4" w:rsidRPr="00D8671A">
        <w:rPr>
          <w:rFonts w:asciiTheme="majorBidi" w:hAnsiTheme="majorBidi" w:cstheme="majorBidi"/>
        </w:rPr>
        <w:t xml:space="preserve">such </w:t>
      </w:r>
      <w:r w:rsidRPr="00D8671A">
        <w:rPr>
          <w:rFonts w:asciiTheme="majorBidi" w:hAnsiTheme="majorBidi" w:cstheme="majorBidi"/>
        </w:rPr>
        <w:t>as the gravity of the crime and the individual circumstances of the convicted person.</w:t>
      </w:r>
      <w:r w:rsidR="00232971" w:rsidRPr="00D8671A">
        <w:rPr>
          <w:rStyle w:val="FootnoteReference"/>
          <w:rFonts w:asciiTheme="majorBidi" w:hAnsiTheme="majorBidi" w:cstheme="majorBidi"/>
        </w:rPr>
        <w:footnoteReference w:id="184"/>
      </w:r>
      <w:r w:rsidRPr="00D8671A">
        <w:rPr>
          <w:rFonts w:asciiTheme="majorBidi" w:eastAsia="Times New Roman" w:hAnsiTheme="majorBidi" w:cstheme="majorBidi"/>
        </w:rPr>
        <w:t xml:space="preserve"> </w:t>
      </w:r>
      <w:r w:rsidRPr="00D8671A">
        <w:rPr>
          <w:rFonts w:asciiTheme="majorBidi" w:hAnsiTheme="majorBidi" w:cstheme="majorBidi"/>
        </w:rPr>
        <w:t xml:space="preserve">Thus, the liability label is not dispositive in determining the level of culpability of the offender. The factual </w:t>
      </w:r>
      <w:r w:rsidR="007070BE" w:rsidRPr="00D8671A">
        <w:rPr>
          <w:rFonts w:asciiTheme="majorBidi" w:hAnsiTheme="majorBidi" w:cstheme="majorBidi"/>
        </w:rPr>
        <w:t>circumstances of the case play</w:t>
      </w:r>
      <w:r w:rsidRPr="00D8671A">
        <w:rPr>
          <w:rFonts w:asciiTheme="majorBidi" w:hAnsiTheme="majorBidi" w:cstheme="majorBidi"/>
        </w:rPr>
        <w:t xml:space="preserve"> </w:t>
      </w:r>
      <w:r w:rsidR="006607B4" w:rsidRPr="00D8671A">
        <w:rPr>
          <w:rFonts w:asciiTheme="majorBidi" w:hAnsiTheme="majorBidi" w:cstheme="majorBidi"/>
        </w:rPr>
        <w:t xml:space="preserve">a </w:t>
      </w:r>
      <w:r w:rsidRPr="00D8671A">
        <w:rPr>
          <w:rFonts w:asciiTheme="majorBidi" w:hAnsiTheme="majorBidi" w:cstheme="majorBidi"/>
        </w:rPr>
        <w:t>more important role at sentencing.</w:t>
      </w:r>
      <w:r w:rsidRPr="00D8671A">
        <w:rPr>
          <w:rStyle w:val="FootnoteReference"/>
          <w:rFonts w:asciiTheme="majorBidi" w:hAnsiTheme="majorBidi" w:cstheme="majorBidi"/>
        </w:rPr>
        <w:footnoteReference w:id="185"/>
      </w:r>
      <w:r w:rsidR="00C84E99" w:rsidRPr="00D8671A">
        <w:rPr>
          <w:rFonts w:asciiTheme="majorBidi" w:hAnsiTheme="majorBidi" w:cstheme="majorBidi"/>
        </w:rPr>
        <w:t xml:space="preserve"> The </w:t>
      </w:r>
      <w:r w:rsidR="00C84E99" w:rsidRPr="00D8671A">
        <w:rPr>
          <w:rFonts w:asciiTheme="majorBidi" w:hAnsiTheme="majorBidi" w:cstheme="majorBidi"/>
          <w:i/>
        </w:rPr>
        <w:t>Lubanga</w:t>
      </w:r>
      <w:r w:rsidR="00C84E99" w:rsidRPr="00D8671A">
        <w:rPr>
          <w:rFonts w:asciiTheme="majorBidi" w:hAnsiTheme="majorBidi" w:cstheme="majorBidi"/>
        </w:rPr>
        <w:t xml:space="preserve"> Appeals Chamber upheld broad judicial discretion when it comes to penalty determinations.</w:t>
      </w:r>
      <w:r w:rsidR="00C84E99" w:rsidRPr="00D8671A">
        <w:rPr>
          <w:rStyle w:val="FootnoteReference"/>
          <w:rFonts w:asciiTheme="majorBidi" w:hAnsiTheme="majorBidi" w:cstheme="majorBidi"/>
        </w:rPr>
        <w:footnoteReference w:id="186"/>
      </w:r>
      <w:r w:rsidRPr="00D8671A">
        <w:rPr>
          <w:rFonts w:asciiTheme="majorBidi" w:eastAsia="Times New Roman" w:hAnsiTheme="majorBidi" w:cstheme="majorBidi"/>
        </w:rPr>
        <w:t xml:space="preserve"> </w:t>
      </w:r>
      <w:r w:rsidRPr="00D8671A">
        <w:rPr>
          <w:rFonts w:asciiTheme="majorBidi" w:hAnsiTheme="majorBidi" w:cstheme="majorBidi"/>
        </w:rPr>
        <w:t xml:space="preserve">Moreover, there is nothing in the Rome Statute or </w:t>
      </w:r>
      <w:r w:rsidRPr="00D8671A">
        <w:rPr>
          <w:rFonts w:asciiTheme="majorBidi" w:hAnsiTheme="majorBidi" w:cstheme="majorBidi"/>
          <w:i/>
        </w:rPr>
        <w:t>travaux preparatoire</w:t>
      </w:r>
      <w:r w:rsidRPr="00D8671A">
        <w:rPr>
          <w:rFonts w:asciiTheme="majorBidi" w:hAnsiTheme="majorBidi" w:cstheme="majorBidi"/>
        </w:rPr>
        <w:t xml:space="preserve"> </w:t>
      </w:r>
      <w:r w:rsidR="006607B4" w:rsidRPr="00D8671A">
        <w:rPr>
          <w:rFonts w:asciiTheme="majorBidi" w:hAnsiTheme="majorBidi" w:cstheme="majorBidi"/>
        </w:rPr>
        <w:t>to suggest</w:t>
      </w:r>
      <w:r w:rsidRPr="00D8671A">
        <w:rPr>
          <w:rFonts w:asciiTheme="majorBidi" w:hAnsiTheme="majorBidi" w:cstheme="majorBidi"/>
        </w:rPr>
        <w:t xml:space="preserve"> that modes of liability are arranged in a particular order. </w:t>
      </w:r>
      <w:r w:rsidR="00C84E99" w:rsidRPr="00D8671A">
        <w:rPr>
          <w:rFonts w:asciiTheme="majorBidi" w:hAnsiTheme="majorBidi" w:cstheme="majorBidi"/>
        </w:rPr>
        <w:t>One may be tempted to suggest that</w:t>
      </w:r>
      <w:r w:rsidR="007F54EA" w:rsidRPr="00D8671A">
        <w:rPr>
          <w:rFonts w:asciiTheme="majorBidi" w:hAnsiTheme="majorBidi" w:cstheme="majorBidi"/>
        </w:rPr>
        <w:t xml:space="preserve"> the</w:t>
      </w:r>
      <w:r w:rsidRPr="00D8671A">
        <w:rPr>
          <w:rFonts w:asciiTheme="majorBidi" w:hAnsiTheme="majorBidi" w:cstheme="majorBidi"/>
        </w:rPr>
        <w:t xml:space="preserve"> </w:t>
      </w:r>
      <w:r w:rsidR="00C84E99" w:rsidRPr="00D8671A">
        <w:rPr>
          <w:rFonts w:asciiTheme="majorBidi" w:hAnsiTheme="majorBidi" w:cstheme="majorBidi"/>
        </w:rPr>
        <w:t xml:space="preserve">lack of </w:t>
      </w:r>
      <w:r w:rsidR="007F54EA" w:rsidRPr="00D8671A">
        <w:rPr>
          <w:rFonts w:asciiTheme="majorBidi" w:hAnsiTheme="majorBidi" w:cstheme="majorBidi"/>
        </w:rPr>
        <w:t xml:space="preserve">a </w:t>
      </w:r>
      <w:r w:rsidR="00C84E99" w:rsidRPr="00D8671A">
        <w:rPr>
          <w:rFonts w:asciiTheme="majorBidi" w:hAnsiTheme="majorBidi" w:cstheme="majorBidi"/>
        </w:rPr>
        <w:t xml:space="preserve">value-based hierarchy of the modes of participation leads to the conclusion </w:t>
      </w:r>
      <w:r w:rsidR="006607B4" w:rsidRPr="00D8671A">
        <w:rPr>
          <w:rFonts w:asciiTheme="majorBidi" w:hAnsiTheme="majorBidi" w:cstheme="majorBidi"/>
        </w:rPr>
        <w:t xml:space="preserve">that </w:t>
      </w:r>
      <w:r w:rsidR="00C84E99" w:rsidRPr="00D8671A">
        <w:rPr>
          <w:rFonts w:asciiTheme="majorBidi" w:hAnsiTheme="majorBidi" w:cstheme="majorBidi"/>
        </w:rPr>
        <w:t>a</w:t>
      </w:r>
      <w:r w:rsidRPr="00D8671A">
        <w:rPr>
          <w:rFonts w:asciiTheme="majorBidi" w:hAnsiTheme="majorBidi" w:cstheme="majorBidi"/>
        </w:rPr>
        <w:t xml:space="preserve"> rigorous distinction between principals and accessories</w:t>
      </w:r>
      <w:r w:rsidR="006607B4" w:rsidRPr="00D8671A">
        <w:rPr>
          <w:rFonts w:asciiTheme="majorBidi" w:hAnsiTheme="majorBidi" w:cstheme="majorBidi"/>
        </w:rPr>
        <w:t xml:space="preserve"> would be obsolete</w:t>
      </w:r>
      <w:r w:rsidRPr="00D8671A">
        <w:rPr>
          <w:rFonts w:asciiTheme="majorBidi" w:hAnsiTheme="majorBidi" w:cstheme="majorBidi"/>
        </w:rPr>
        <w:t>.</w:t>
      </w:r>
      <w:r w:rsidRPr="00D8671A">
        <w:rPr>
          <w:rStyle w:val="FootnoteReference"/>
          <w:rFonts w:asciiTheme="majorBidi" w:hAnsiTheme="majorBidi" w:cstheme="majorBidi"/>
        </w:rPr>
        <w:footnoteReference w:id="187"/>
      </w:r>
      <w:r w:rsidRPr="00D8671A">
        <w:rPr>
          <w:rFonts w:asciiTheme="majorBidi" w:hAnsiTheme="majorBidi" w:cstheme="majorBidi"/>
        </w:rPr>
        <w:t xml:space="preserve"> </w:t>
      </w:r>
      <w:r w:rsidR="00961025" w:rsidRPr="00D8671A">
        <w:rPr>
          <w:rFonts w:asciiTheme="majorBidi" w:hAnsiTheme="majorBidi" w:cstheme="majorBidi"/>
        </w:rPr>
        <w:t xml:space="preserve">This is not entirely justified. </w:t>
      </w:r>
      <w:r w:rsidR="00985AB9" w:rsidRPr="00D8671A">
        <w:rPr>
          <w:rFonts w:asciiTheme="majorBidi" w:hAnsiTheme="majorBidi" w:cstheme="majorBidi"/>
        </w:rPr>
        <w:t>T</w:t>
      </w:r>
      <w:r w:rsidRPr="00D8671A">
        <w:rPr>
          <w:rFonts w:asciiTheme="majorBidi" w:hAnsiTheme="majorBidi" w:cstheme="majorBidi"/>
        </w:rPr>
        <w:t>here are</w:t>
      </w:r>
      <w:r w:rsidR="00985AB9" w:rsidRPr="00D8671A">
        <w:rPr>
          <w:rFonts w:asciiTheme="majorBidi" w:hAnsiTheme="majorBidi" w:cstheme="majorBidi"/>
        </w:rPr>
        <w:t xml:space="preserve"> solid</w:t>
      </w:r>
      <w:r w:rsidRPr="00D8671A">
        <w:rPr>
          <w:rFonts w:asciiTheme="majorBidi" w:hAnsiTheme="majorBidi" w:cstheme="majorBidi"/>
        </w:rPr>
        <w:t xml:space="preserve"> reasons</w:t>
      </w:r>
      <w:r w:rsidR="00985AB9" w:rsidRPr="00D8671A">
        <w:rPr>
          <w:rFonts w:asciiTheme="majorBidi" w:hAnsiTheme="majorBidi" w:cstheme="majorBidi"/>
        </w:rPr>
        <w:t xml:space="preserve"> </w:t>
      </w:r>
      <w:r w:rsidRPr="00D8671A">
        <w:rPr>
          <w:rFonts w:asciiTheme="majorBidi" w:hAnsiTheme="majorBidi" w:cstheme="majorBidi"/>
        </w:rPr>
        <w:t xml:space="preserve">to </w:t>
      </w:r>
      <w:r w:rsidR="007F54EA" w:rsidRPr="00D8671A">
        <w:rPr>
          <w:rFonts w:asciiTheme="majorBidi" w:hAnsiTheme="majorBidi" w:cstheme="majorBidi"/>
        </w:rPr>
        <w:t xml:space="preserve">differentiate </w:t>
      </w:r>
      <w:r w:rsidRPr="00D8671A">
        <w:rPr>
          <w:rFonts w:asciiTheme="majorBidi" w:hAnsiTheme="majorBidi" w:cstheme="majorBidi"/>
        </w:rPr>
        <w:t>modes of participation</w:t>
      </w:r>
      <w:r w:rsidR="00985AB9" w:rsidRPr="00D8671A">
        <w:rPr>
          <w:rFonts w:asciiTheme="majorBidi" w:hAnsiTheme="majorBidi" w:cstheme="majorBidi"/>
        </w:rPr>
        <w:t xml:space="preserve"> at an international level; this exercise need not, however, result in assigning</w:t>
      </w:r>
      <w:r w:rsidR="00961025" w:rsidRPr="00D8671A">
        <w:rPr>
          <w:rFonts w:asciiTheme="majorBidi" w:hAnsiTheme="majorBidi" w:cstheme="majorBidi"/>
        </w:rPr>
        <w:t xml:space="preserve"> a</w:t>
      </w:r>
      <w:r w:rsidR="00985AB9" w:rsidRPr="00D8671A">
        <w:rPr>
          <w:rFonts w:asciiTheme="majorBidi" w:hAnsiTheme="majorBidi" w:cstheme="majorBidi"/>
        </w:rPr>
        <w:t xml:space="preserve"> greater degree of blameworthiness to a certain </w:t>
      </w:r>
      <w:r w:rsidR="00552845" w:rsidRPr="00D8671A">
        <w:rPr>
          <w:rFonts w:asciiTheme="majorBidi" w:hAnsiTheme="majorBidi" w:cstheme="majorBidi"/>
        </w:rPr>
        <w:t>form</w:t>
      </w:r>
      <w:r w:rsidR="00985AB9" w:rsidRPr="00D8671A">
        <w:rPr>
          <w:rFonts w:asciiTheme="majorBidi" w:hAnsiTheme="majorBidi" w:cstheme="majorBidi"/>
        </w:rPr>
        <w:t>.</w:t>
      </w:r>
      <w:r w:rsidR="00985AB9" w:rsidRPr="00D8671A">
        <w:rPr>
          <w:rStyle w:val="FootnoteReference"/>
          <w:rFonts w:asciiTheme="majorBidi" w:hAnsiTheme="majorBidi" w:cstheme="majorBidi"/>
        </w:rPr>
        <w:footnoteReference w:id="188"/>
      </w:r>
    </w:p>
    <w:p w14:paraId="5AB8816E" w14:textId="3B29E966" w:rsidR="004B3BB4" w:rsidRPr="00D8671A" w:rsidRDefault="004B3BB4" w:rsidP="00566D5D">
      <w:pPr>
        <w:widowControl w:val="0"/>
        <w:autoSpaceDE w:val="0"/>
        <w:autoSpaceDN w:val="0"/>
        <w:adjustRightInd w:val="0"/>
        <w:spacing w:after="0" w:line="240" w:lineRule="auto"/>
        <w:ind w:right="-64" w:firstLine="720"/>
        <w:rPr>
          <w:rFonts w:asciiTheme="majorBidi" w:hAnsiTheme="majorBidi" w:cstheme="majorBidi"/>
        </w:rPr>
      </w:pPr>
      <w:r w:rsidRPr="00D8671A">
        <w:rPr>
          <w:rFonts w:asciiTheme="majorBidi" w:hAnsiTheme="majorBidi" w:cstheme="majorBidi"/>
        </w:rPr>
        <w:t>The need to separate modes of liability stems from three different fields informing international criminal law – domestic criminal law, transitional justice and human rights law.</w:t>
      </w:r>
      <w:r w:rsidRPr="00D8671A">
        <w:rPr>
          <w:rStyle w:val="FootnoteReference"/>
          <w:rFonts w:asciiTheme="majorBidi" w:hAnsiTheme="majorBidi" w:cstheme="majorBidi"/>
        </w:rPr>
        <w:footnoteReference w:id="189"/>
      </w:r>
      <w:r w:rsidRPr="00D8671A">
        <w:rPr>
          <w:rFonts w:asciiTheme="majorBidi" w:hAnsiTheme="majorBidi" w:cstheme="majorBidi"/>
        </w:rPr>
        <w:t xml:space="preserve"> From the domestic law perspective, the distinction between differential and unitary perpetration models </w:t>
      </w:r>
      <w:r w:rsidR="00552845" w:rsidRPr="00D8671A">
        <w:rPr>
          <w:rFonts w:asciiTheme="majorBidi" w:hAnsiTheme="majorBidi" w:cstheme="majorBidi"/>
        </w:rPr>
        <w:t>is significant</w:t>
      </w:r>
      <w:r w:rsidRPr="00D8671A">
        <w:rPr>
          <w:rFonts w:asciiTheme="majorBidi" w:hAnsiTheme="majorBidi" w:cstheme="majorBidi"/>
        </w:rPr>
        <w:t xml:space="preserve">. Both </w:t>
      </w:r>
      <w:r w:rsidR="00F97874" w:rsidRPr="00D8671A">
        <w:rPr>
          <w:rFonts w:asciiTheme="majorBidi" w:hAnsiTheme="majorBidi" w:cstheme="majorBidi"/>
        </w:rPr>
        <w:t>theories</w:t>
      </w:r>
      <w:r w:rsidRPr="00D8671A">
        <w:rPr>
          <w:rFonts w:asciiTheme="majorBidi" w:hAnsiTheme="majorBidi" w:cstheme="majorBidi"/>
        </w:rPr>
        <w:t xml:space="preserve"> honour the principle of individual culpability, whereby a person is punished only for his own conduct. However, the two systems arrive at the same result in different ways. Differential participation presupposes the derivative nature of accomplice liability in that it depends on the wrongful act of the principal perpetrator.</w:t>
      </w:r>
      <w:r w:rsidRPr="00D8671A">
        <w:rPr>
          <w:rStyle w:val="FootnoteReference"/>
          <w:rFonts w:asciiTheme="majorBidi" w:hAnsiTheme="majorBidi" w:cstheme="majorBidi"/>
        </w:rPr>
        <w:footnoteReference w:id="190"/>
      </w:r>
      <w:r w:rsidRPr="00D8671A">
        <w:rPr>
          <w:rFonts w:asciiTheme="majorBidi" w:hAnsiTheme="majorBidi" w:cstheme="majorBidi"/>
        </w:rPr>
        <w:t xml:space="preserve">  The underlying rationale behind this approach is that there is one offence and many crime participants – each having a different role. In</w:t>
      </w:r>
      <w:r w:rsidR="00F97874" w:rsidRPr="00D8671A">
        <w:rPr>
          <w:rFonts w:asciiTheme="majorBidi" w:hAnsiTheme="majorBidi" w:cstheme="majorBidi"/>
        </w:rPr>
        <w:t xml:space="preserve"> contrast, pursuant to the unitary perpetrator model, </w:t>
      </w:r>
      <w:r w:rsidRPr="00D8671A">
        <w:rPr>
          <w:rFonts w:asciiTheme="majorBidi" w:hAnsiTheme="majorBidi" w:cstheme="majorBidi"/>
        </w:rPr>
        <w:t>the responsibility of a party to the crime is less, if at all, dependent on the responsibility of the principal.</w:t>
      </w:r>
      <w:r w:rsidR="00F97874" w:rsidRPr="00D8671A">
        <w:rPr>
          <w:rFonts w:asciiTheme="majorBidi" w:hAnsiTheme="majorBidi" w:cstheme="majorBidi"/>
        </w:rPr>
        <w:t xml:space="preserve"> </w:t>
      </w:r>
      <w:r w:rsidR="006607B4" w:rsidRPr="00D8671A">
        <w:rPr>
          <w:rFonts w:asciiTheme="majorBidi" w:hAnsiTheme="majorBidi" w:cstheme="majorBidi"/>
        </w:rPr>
        <w:t>A p</w:t>
      </w:r>
      <w:r w:rsidR="00F97874" w:rsidRPr="00D8671A">
        <w:rPr>
          <w:rFonts w:asciiTheme="majorBidi" w:hAnsiTheme="majorBidi" w:cstheme="majorBidi"/>
        </w:rPr>
        <w:t xml:space="preserve">lurality of persons implies </w:t>
      </w:r>
      <w:r w:rsidR="006607B4" w:rsidRPr="00D8671A">
        <w:rPr>
          <w:rFonts w:asciiTheme="majorBidi" w:hAnsiTheme="majorBidi" w:cstheme="majorBidi"/>
        </w:rPr>
        <w:t xml:space="preserve">a </w:t>
      </w:r>
      <w:r w:rsidRPr="00D8671A">
        <w:rPr>
          <w:rFonts w:asciiTheme="majorBidi" w:hAnsiTheme="majorBidi" w:cstheme="majorBidi"/>
        </w:rPr>
        <w:t>plurality of offences because the liability of each party stands on its own.</w:t>
      </w:r>
      <w:r w:rsidRPr="00D8671A">
        <w:rPr>
          <w:rStyle w:val="FootnoteReference"/>
          <w:rFonts w:asciiTheme="majorBidi" w:hAnsiTheme="majorBidi" w:cstheme="majorBidi"/>
        </w:rPr>
        <w:footnoteReference w:id="191"/>
      </w:r>
      <w:r w:rsidRPr="00D8671A">
        <w:rPr>
          <w:rFonts w:asciiTheme="majorBidi" w:hAnsiTheme="majorBidi" w:cstheme="majorBidi"/>
        </w:rPr>
        <w:t xml:space="preserve"> </w:t>
      </w:r>
    </w:p>
    <w:p w14:paraId="734A3EB6" w14:textId="0560CD42" w:rsidR="004B3BB4" w:rsidRPr="00D8671A" w:rsidRDefault="004B3BB4" w:rsidP="00566D5D">
      <w:pPr>
        <w:widowControl w:val="0"/>
        <w:autoSpaceDE w:val="0"/>
        <w:autoSpaceDN w:val="0"/>
        <w:adjustRightInd w:val="0"/>
        <w:spacing w:after="0" w:line="240" w:lineRule="auto"/>
        <w:ind w:right="-64" w:firstLine="720"/>
        <w:rPr>
          <w:rFonts w:asciiTheme="majorBidi" w:hAnsiTheme="majorBidi" w:cstheme="majorBidi"/>
        </w:rPr>
      </w:pPr>
      <w:r w:rsidRPr="00D8671A">
        <w:rPr>
          <w:rFonts w:asciiTheme="majorBidi" w:hAnsiTheme="majorBidi" w:cstheme="majorBidi"/>
        </w:rPr>
        <w:t>The difference between the two systems is manifested in different pleading techniques and a different standard of causation. In the unitary participation model, any involvement whatsoever on the part of an actor in any offence establishes his connection to the crime,</w:t>
      </w:r>
      <w:r w:rsidRPr="00D8671A">
        <w:rPr>
          <w:rStyle w:val="FootnoteReference"/>
          <w:rFonts w:asciiTheme="majorBidi" w:hAnsiTheme="majorBidi" w:cstheme="majorBidi"/>
        </w:rPr>
        <w:footnoteReference w:id="192"/>
      </w:r>
      <w:r w:rsidRPr="00D8671A">
        <w:rPr>
          <w:rFonts w:asciiTheme="majorBidi" w:hAnsiTheme="majorBidi" w:cstheme="majorBidi"/>
        </w:rPr>
        <w:t xml:space="preserve"> while the differential model requires connecting the liability of accomplices to the conduct of the principal perpetrator. </w:t>
      </w:r>
      <w:r w:rsidR="00BB6063" w:rsidRPr="00D8671A">
        <w:rPr>
          <w:rFonts w:asciiTheme="majorBidi" w:hAnsiTheme="majorBidi" w:cstheme="majorBidi"/>
        </w:rPr>
        <w:t>The</w:t>
      </w:r>
      <w:r w:rsidRPr="00D8671A">
        <w:rPr>
          <w:rFonts w:asciiTheme="majorBidi" w:hAnsiTheme="majorBidi" w:cstheme="majorBidi"/>
        </w:rPr>
        <w:t xml:space="preserve"> Rome Statute has adopted the differential participation model</w:t>
      </w:r>
      <w:r w:rsidR="00BB6063" w:rsidRPr="00D8671A">
        <w:rPr>
          <w:rFonts w:asciiTheme="majorBidi" w:hAnsiTheme="majorBidi" w:cstheme="majorBidi"/>
        </w:rPr>
        <w:t>,</w:t>
      </w:r>
      <w:r w:rsidRPr="00D8671A">
        <w:rPr>
          <w:rFonts w:asciiTheme="majorBidi" w:hAnsiTheme="majorBidi" w:cstheme="majorBidi"/>
        </w:rPr>
        <w:t xml:space="preserve"> and the dynamics of this model shall inform the interpretation of Article 25(3) of the Statute. In line with the derivative nature of liability inherent in this </w:t>
      </w:r>
      <w:r w:rsidR="00933652" w:rsidRPr="00D8671A">
        <w:rPr>
          <w:rFonts w:asciiTheme="majorBidi" w:hAnsiTheme="majorBidi" w:cstheme="majorBidi"/>
        </w:rPr>
        <w:t>theory</w:t>
      </w:r>
      <w:r w:rsidRPr="00D8671A">
        <w:rPr>
          <w:rFonts w:asciiTheme="majorBidi" w:hAnsiTheme="majorBidi" w:cstheme="majorBidi"/>
        </w:rPr>
        <w:t xml:space="preserve">, the link between the accomplice and the principal perpetrator needs to be spelled out in greater detail.  </w:t>
      </w:r>
    </w:p>
    <w:p w14:paraId="0254BF96" w14:textId="3F10D648" w:rsidR="004B3BB4" w:rsidRPr="00D8671A" w:rsidRDefault="004B3BB4" w:rsidP="00566D5D">
      <w:pPr>
        <w:spacing w:after="0" w:line="240" w:lineRule="auto"/>
        <w:ind w:firstLine="720"/>
        <w:rPr>
          <w:rFonts w:asciiTheme="majorBidi" w:eastAsia="Times New Roman" w:hAnsiTheme="majorBidi" w:cstheme="majorBidi"/>
        </w:rPr>
      </w:pPr>
      <w:r w:rsidRPr="00D8671A">
        <w:rPr>
          <w:rFonts w:asciiTheme="majorBidi" w:hAnsiTheme="majorBidi" w:cstheme="majorBidi"/>
        </w:rPr>
        <w:lastRenderedPageBreak/>
        <w:t>The human rights aspect of international criminal law requires the role of the offender to be defined in precise terms.</w:t>
      </w:r>
      <w:r w:rsidRPr="00D8671A">
        <w:rPr>
          <w:rStyle w:val="FootnoteReference"/>
          <w:rFonts w:asciiTheme="majorBidi" w:hAnsiTheme="majorBidi" w:cstheme="majorBidi"/>
        </w:rPr>
        <w:footnoteReference w:id="193"/>
      </w:r>
      <w:r w:rsidRPr="00D8671A">
        <w:rPr>
          <w:rFonts w:asciiTheme="majorBidi" w:hAnsiTheme="majorBidi" w:cstheme="majorBidi"/>
        </w:rPr>
        <w:t xml:space="preserve"> This follows from the right of the accused to be properly informed about the nature of charges against him or her. This right, recognized as a fundamental human right in the major human rights instruments, is part of the broader notion of </w:t>
      </w:r>
      <w:r w:rsidR="00E31EFD" w:rsidRPr="00D8671A">
        <w:rPr>
          <w:rFonts w:asciiTheme="majorBidi" w:hAnsiTheme="majorBidi" w:cstheme="majorBidi"/>
        </w:rPr>
        <w:t>“</w:t>
      </w:r>
      <w:r w:rsidRPr="00D8671A">
        <w:rPr>
          <w:rFonts w:asciiTheme="majorBidi" w:hAnsiTheme="majorBidi" w:cstheme="majorBidi"/>
        </w:rPr>
        <w:t>fairness</w:t>
      </w:r>
      <w:r w:rsidR="00E31EFD" w:rsidRPr="00D8671A">
        <w:rPr>
          <w:rFonts w:asciiTheme="majorBidi" w:hAnsiTheme="majorBidi" w:cstheme="majorBidi"/>
        </w:rPr>
        <w:t>”</w:t>
      </w:r>
      <w:r w:rsidRPr="00D8671A">
        <w:rPr>
          <w:rFonts w:asciiTheme="majorBidi" w:hAnsiTheme="majorBidi" w:cstheme="majorBidi"/>
        </w:rPr>
        <w:t xml:space="preserve"> in criminal proceedings.</w:t>
      </w:r>
      <w:r w:rsidRPr="00D8671A">
        <w:rPr>
          <w:rStyle w:val="FootnoteReference"/>
          <w:rFonts w:asciiTheme="majorBidi" w:hAnsiTheme="majorBidi" w:cstheme="majorBidi"/>
        </w:rPr>
        <w:footnoteReference w:id="194"/>
      </w:r>
      <w:r w:rsidRPr="00D8671A">
        <w:rPr>
          <w:rFonts w:asciiTheme="majorBidi" w:hAnsiTheme="majorBidi" w:cstheme="majorBidi"/>
        </w:rPr>
        <w:t xml:space="preserve"> The European Court for Human Rights </w:t>
      </w:r>
      <w:r w:rsidR="00C57CB8" w:rsidRPr="00D8671A">
        <w:rPr>
          <w:rFonts w:asciiTheme="majorBidi" w:hAnsiTheme="majorBidi" w:cstheme="majorBidi"/>
        </w:rPr>
        <w:t xml:space="preserve">(ECrtHR) </w:t>
      </w:r>
      <w:r w:rsidR="006607B4" w:rsidRPr="00D8671A">
        <w:rPr>
          <w:rFonts w:asciiTheme="majorBidi" w:hAnsiTheme="majorBidi" w:cstheme="majorBidi"/>
        </w:rPr>
        <w:t xml:space="preserve">has </w:t>
      </w:r>
      <w:r w:rsidRPr="00D8671A">
        <w:rPr>
          <w:rFonts w:asciiTheme="majorBidi" w:hAnsiTheme="majorBidi" w:cstheme="majorBidi"/>
        </w:rPr>
        <w:t xml:space="preserve">held </w:t>
      </w:r>
      <w:r w:rsidR="006607B4" w:rsidRPr="00D8671A">
        <w:rPr>
          <w:rFonts w:asciiTheme="majorBidi" w:hAnsiTheme="majorBidi" w:cstheme="majorBidi"/>
        </w:rPr>
        <w:t xml:space="preserve">that </w:t>
      </w:r>
      <w:r w:rsidR="00E31EFD" w:rsidRPr="00D8671A">
        <w:rPr>
          <w:rFonts w:asciiTheme="majorBidi" w:hAnsiTheme="majorBidi" w:cstheme="majorBidi"/>
        </w:rPr>
        <w:t>‘</w:t>
      </w:r>
      <w:r w:rsidRPr="00D8671A">
        <w:rPr>
          <w:rFonts w:asciiTheme="majorBidi" w:eastAsia="Times New Roman" w:hAnsiTheme="majorBidi" w:cstheme="majorBidi"/>
          <w:shd w:val="clear" w:color="auto" w:fill="FFFFFF"/>
        </w:rPr>
        <w:t>in criminal matters the provision of full, detailed information concerning the charges against a defendant is an essential prerequisite for ensuring that the proceedings are fair</w:t>
      </w:r>
      <w:r w:rsidRPr="00D8671A">
        <w:rPr>
          <w:rFonts w:asciiTheme="majorBidi" w:eastAsia="Times New Roman" w:hAnsiTheme="majorBidi" w:cstheme="majorBidi"/>
        </w:rPr>
        <w:t>.</w:t>
      </w:r>
      <w:r w:rsidR="00E31EFD" w:rsidRPr="00D8671A">
        <w:rPr>
          <w:rFonts w:asciiTheme="majorBidi" w:hAnsiTheme="majorBidi" w:cstheme="majorBidi"/>
        </w:rPr>
        <w:t>’</w:t>
      </w:r>
      <w:r w:rsidRPr="00D8671A">
        <w:rPr>
          <w:rStyle w:val="FootnoteReference"/>
          <w:rFonts w:asciiTheme="majorBidi" w:hAnsiTheme="majorBidi" w:cstheme="majorBidi"/>
        </w:rPr>
        <w:footnoteReference w:id="195"/>
      </w:r>
      <w:r w:rsidRPr="00D8671A">
        <w:rPr>
          <w:rFonts w:asciiTheme="majorBidi" w:hAnsiTheme="majorBidi" w:cstheme="majorBidi"/>
        </w:rPr>
        <w:t xml:space="preserve"> </w:t>
      </w:r>
      <w:r w:rsidRPr="00D8671A">
        <w:rPr>
          <w:rFonts w:asciiTheme="majorBidi" w:eastAsia="Times New Roman" w:hAnsiTheme="majorBidi" w:cstheme="majorBidi"/>
          <w:shd w:val="clear" w:color="auto" w:fill="FFFFFF"/>
        </w:rPr>
        <w:t xml:space="preserve">In </w:t>
      </w:r>
      <w:r w:rsidRPr="00D8671A">
        <w:rPr>
          <w:rFonts w:asciiTheme="majorBidi" w:eastAsia="Times New Roman" w:hAnsiTheme="majorBidi" w:cstheme="majorBidi"/>
          <w:i/>
          <w:shd w:val="clear" w:color="auto" w:fill="FFFFFF"/>
        </w:rPr>
        <w:t>Pélissier and Sassi</w:t>
      </w:r>
      <w:r w:rsidRPr="00D8671A">
        <w:rPr>
          <w:rFonts w:asciiTheme="majorBidi" w:eastAsia="Times New Roman" w:hAnsiTheme="majorBidi" w:cstheme="majorBidi"/>
          <w:shd w:val="clear" w:color="auto" w:fill="FFFFFF"/>
        </w:rPr>
        <w:t xml:space="preserve">, the </w:t>
      </w:r>
      <w:r w:rsidR="00C57CB8" w:rsidRPr="00D8671A">
        <w:rPr>
          <w:rFonts w:asciiTheme="majorBidi" w:eastAsia="Times New Roman" w:hAnsiTheme="majorBidi" w:cstheme="majorBidi"/>
          <w:shd w:val="clear" w:color="auto" w:fill="FFFFFF"/>
        </w:rPr>
        <w:t xml:space="preserve">ECrtHR </w:t>
      </w:r>
      <w:r w:rsidRPr="00D8671A">
        <w:rPr>
          <w:rFonts w:asciiTheme="majorBidi" w:eastAsia="Times New Roman" w:hAnsiTheme="majorBidi" w:cstheme="majorBidi"/>
          <w:shd w:val="clear" w:color="auto" w:fill="FFFFFF"/>
        </w:rPr>
        <w:t xml:space="preserve">looked specifically at the issue of changing the legal characterization of facts. The French </w:t>
      </w:r>
      <w:r w:rsidR="006607B4" w:rsidRPr="00D8671A">
        <w:rPr>
          <w:rFonts w:asciiTheme="majorBidi" w:eastAsia="Times New Roman" w:hAnsiTheme="majorBidi" w:cstheme="majorBidi"/>
          <w:shd w:val="clear" w:color="auto" w:fill="FFFFFF"/>
        </w:rPr>
        <w:t>c</w:t>
      </w:r>
      <w:r w:rsidRPr="00D8671A">
        <w:rPr>
          <w:rFonts w:asciiTheme="majorBidi" w:eastAsia="Times New Roman" w:hAnsiTheme="majorBidi" w:cstheme="majorBidi"/>
          <w:shd w:val="clear" w:color="auto" w:fill="FFFFFF"/>
        </w:rPr>
        <w:t xml:space="preserve">ourt of </w:t>
      </w:r>
      <w:r w:rsidR="006607B4" w:rsidRPr="00D8671A">
        <w:rPr>
          <w:rFonts w:asciiTheme="majorBidi" w:eastAsia="Times New Roman" w:hAnsiTheme="majorBidi" w:cstheme="majorBidi"/>
          <w:shd w:val="clear" w:color="auto" w:fill="FFFFFF"/>
        </w:rPr>
        <w:t>a</w:t>
      </w:r>
      <w:r w:rsidRPr="00D8671A">
        <w:rPr>
          <w:rFonts w:asciiTheme="majorBidi" w:eastAsia="Times New Roman" w:hAnsiTheme="majorBidi" w:cstheme="majorBidi"/>
          <w:shd w:val="clear" w:color="auto" w:fill="FFFFFF"/>
        </w:rPr>
        <w:t xml:space="preserve">ppeal had convicted the claimants of aiding and abetting criminal bankruptcy as opposed to the commission of criminal bankruptcy, charged in the indictment. The court found a violation of Article 6(3)(a) of the Convention based on the consideration that </w:t>
      </w:r>
      <w:r w:rsidR="00E31EFD" w:rsidRPr="00D8671A">
        <w:rPr>
          <w:rFonts w:asciiTheme="majorBidi" w:eastAsia="Times New Roman" w:hAnsiTheme="majorBidi" w:cstheme="majorBidi"/>
          <w:shd w:val="clear" w:color="auto" w:fill="FFFFFF"/>
        </w:rPr>
        <w:t>‘</w:t>
      </w:r>
      <w:r w:rsidRPr="00D8671A">
        <w:rPr>
          <w:rFonts w:asciiTheme="majorBidi" w:eastAsia="Times New Roman" w:hAnsiTheme="majorBidi" w:cstheme="majorBidi"/>
          <w:shd w:val="clear" w:color="auto" w:fill="FFFFFF"/>
        </w:rPr>
        <w:t>aiding and abetting did not constitute an element intrinsic to the initial accusation known to the applicants from the beginning of the proceedings.</w:t>
      </w:r>
      <w:r w:rsidR="00E31EFD" w:rsidRPr="00D8671A">
        <w:rPr>
          <w:rFonts w:asciiTheme="majorBidi" w:eastAsia="Times New Roman" w:hAnsiTheme="majorBidi" w:cstheme="majorBidi"/>
          <w:shd w:val="clear" w:color="auto" w:fill="FFFFFF"/>
        </w:rPr>
        <w:t>’</w:t>
      </w:r>
      <w:r w:rsidRPr="00D8671A">
        <w:rPr>
          <w:rStyle w:val="FootnoteReference"/>
          <w:rFonts w:asciiTheme="majorBidi" w:eastAsia="Times New Roman" w:hAnsiTheme="majorBidi" w:cstheme="majorBidi"/>
          <w:shd w:val="clear" w:color="auto" w:fill="FFFFFF"/>
        </w:rPr>
        <w:footnoteReference w:id="196"/>
      </w:r>
      <w:r w:rsidRPr="00D8671A">
        <w:rPr>
          <w:rFonts w:asciiTheme="majorBidi" w:eastAsia="Times New Roman" w:hAnsiTheme="majorBidi" w:cstheme="majorBidi"/>
          <w:shd w:val="clear" w:color="auto" w:fill="FFFFFF"/>
        </w:rPr>
        <w:t xml:space="preserve"> The Court acknowledged that the elements of aiding and abetting are differen</w:t>
      </w:r>
      <w:r w:rsidR="00F765A7" w:rsidRPr="00D8671A">
        <w:rPr>
          <w:rFonts w:asciiTheme="majorBidi" w:eastAsia="Times New Roman" w:hAnsiTheme="majorBidi" w:cstheme="majorBidi"/>
          <w:shd w:val="clear" w:color="auto" w:fill="FFFFFF"/>
        </w:rPr>
        <w:t>t from those of</w:t>
      </w:r>
      <w:r w:rsidRPr="00D8671A">
        <w:rPr>
          <w:rFonts w:asciiTheme="majorBidi" w:eastAsia="Times New Roman" w:hAnsiTheme="majorBidi" w:cstheme="majorBidi"/>
          <w:shd w:val="clear" w:color="auto" w:fill="FFFFFF"/>
        </w:rPr>
        <w:t xml:space="preserve"> perpetration. Thus, the accused could have used different defence strategies if they knew they were being tried for aiding and abetting as opposed to principal perpetration.</w:t>
      </w:r>
      <w:r w:rsidRPr="00D8671A">
        <w:rPr>
          <w:rStyle w:val="FootnoteReference"/>
          <w:rFonts w:asciiTheme="majorBidi" w:eastAsia="Times New Roman" w:hAnsiTheme="majorBidi" w:cstheme="majorBidi"/>
          <w:shd w:val="clear" w:color="auto" w:fill="FFFFFF"/>
        </w:rPr>
        <w:footnoteReference w:id="197"/>
      </w:r>
      <w:r w:rsidRPr="00D8671A">
        <w:rPr>
          <w:rFonts w:asciiTheme="majorBidi" w:eastAsia="Times New Roman" w:hAnsiTheme="majorBidi" w:cstheme="majorBidi"/>
          <w:shd w:val="clear" w:color="auto" w:fill="FFFFFF"/>
        </w:rPr>
        <w:t xml:space="preserve"> </w:t>
      </w:r>
      <w:r w:rsidRPr="00D8671A">
        <w:rPr>
          <w:rFonts w:asciiTheme="majorBidi" w:eastAsia="Times New Roman" w:hAnsiTheme="majorBidi" w:cstheme="majorBidi"/>
          <w:bCs/>
          <w:shd w:val="clear" w:color="auto" w:fill="FFFFFF"/>
        </w:rPr>
        <w:t>T</w:t>
      </w:r>
      <w:r w:rsidRPr="00D8671A">
        <w:rPr>
          <w:rFonts w:asciiTheme="majorBidi" w:hAnsiTheme="majorBidi" w:cstheme="majorBidi"/>
        </w:rPr>
        <w:t>he reason for the existence of the rule to be properly informed about the charges stems from the notion of the equality of arms that is essential to the rights of the defence and underlies the concept of fairness.</w:t>
      </w:r>
      <w:r w:rsidRPr="00D8671A">
        <w:rPr>
          <w:rStyle w:val="FootnoteReference"/>
          <w:rFonts w:asciiTheme="majorBidi" w:hAnsiTheme="majorBidi" w:cstheme="majorBidi"/>
        </w:rPr>
        <w:footnoteReference w:id="198"/>
      </w:r>
      <w:r w:rsidRPr="00D8671A">
        <w:rPr>
          <w:rFonts w:asciiTheme="majorBidi" w:hAnsiTheme="majorBidi" w:cstheme="majorBidi"/>
        </w:rPr>
        <w:t xml:space="preserve"> True equality of arms can only be achieved if the accused is properly informed about the charges and is able to defend him or her-self accordingly.  </w:t>
      </w:r>
    </w:p>
    <w:p w14:paraId="08468D86" w14:textId="68D5470D" w:rsidR="004B3BB4" w:rsidRPr="00D8671A" w:rsidRDefault="004B3BB4" w:rsidP="00566D5D">
      <w:pPr>
        <w:widowControl w:val="0"/>
        <w:autoSpaceDE w:val="0"/>
        <w:autoSpaceDN w:val="0"/>
        <w:adjustRightInd w:val="0"/>
        <w:spacing w:after="0" w:line="240" w:lineRule="auto"/>
        <w:ind w:right="-64" w:firstLine="720"/>
        <w:rPr>
          <w:rFonts w:asciiTheme="majorBidi" w:hAnsiTheme="majorBidi" w:cstheme="majorBidi"/>
        </w:rPr>
      </w:pPr>
      <w:r w:rsidRPr="00D8671A">
        <w:rPr>
          <w:rFonts w:asciiTheme="majorBidi" w:hAnsiTheme="majorBidi" w:cstheme="majorBidi"/>
        </w:rPr>
        <w:t>Finally, the transitional justice aspect of distinguishing between different modes of liability manifests itself in the need to avoid assigning collective guilt. International crimina</w:t>
      </w:r>
      <w:r w:rsidR="00E54D7D" w:rsidRPr="00D8671A">
        <w:rPr>
          <w:rFonts w:asciiTheme="majorBidi" w:hAnsiTheme="majorBidi" w:cstheme="majorBidi"/>
        </w:rPr>
        <w:t>l trials are extremely complex as</w:t>
      </w:r>
      <w:r w:rsidRPr="00D8671A">
        <w:rPr>
          <w:rFonts w:asciiTheme="majorBidi" w:hAnsiTheme="majorBidi" w:cstheme="majorBidi"/>
        </w:rPr>
        <w:t xml:space="preserve"> they involve multiple accused; the crime scenes are often spread out in time and space; and the evidence linking the accused to the particular offence is oft</w:t>
      </w:r>
      <w:r w:rsidR="00E54D7D" w:rsidRPr="00D8671A">
        <w:rPr>
          <w:rFonts w:asciiTheme="majorBidi" w:hAnsiTheme="majorBidi" w:cstheme="majorBidi"/>
        </w:rPr>
        <w:t xml:space="preserve">en insufficient or missing. </w:t>
      </w:r>
      <w:r w:rsidR="002C14E0" w:rsidRPr="00D8671A">
        <w:rPr>
          <w:rFonts w:asciiTheme="majorBidi" w:hAnsiTheme="majorBidi" w:cstheme="majorBidi"/>
        </w:rPr>
        <w:t xml:space="preserve">In these circumstances, it </w:t>
      </w:r>
      <w:r w:rsidRPr="00D8671A">
        <w:rPr>
          <w:rFonts w:asciiTheme="majorBidi" w:hAnsiTheme="majorBidi" w:cstheme="majorBidi"/>
        </w:rPr>
        <w:t xml:space="preserve">may </w:t>
      </w:r>
      <w:r w:rsidR="002C14E0" w:rsidRPr="00D8671A">
        <w:rPr>
          <w:rFonts w:asciiTheme="majorBidi" w:hAnsiTheme="majorBidi" w:cstheme="majorBidi"/>
        </w:rPr>
        <w:t xml:space="preserve">be </w:t>
      </w:r>
      <w:r w:rsidRPr="00D8671A">
        <w:rPr>
          <w:rFonts w:asciiTheme="majorBidi" w:hAnsiTheme="majorBidi" w:cstheme="majorBidi"/>
        </w:rPr>
        <w:t>tempting to circumvent the principles of individual criminal responsibility</w:t>
      </w:r>
      <w:r w:rsidR="002C14E0" w:rsidRPr="00D8671A">
        <w:rPr>
          <w:rFonts w:asciiTheme="majorBidi" w:hAnsiTheme="majorBidi" w:cstheme="majorBidi"/>
        </w:rPr>
        <w:t xml:space="preserve"> in the name of achieving justice for numerous victims of mass atrocities</w:t>
      </w:r>
      <w:r w:rsidRPr="00D8671A">
        <w:rPr>
          <w:rFonts w:asciiTheme="majorBidi" w:hAnsiTheme="majorBidi" w:cstheme="majorBidi"/>
        </w:rPr>
        <w:t>.</w:t>
      </w:r>
      <w:r w:rsidRPr="00D8671A">
        <w:rPr>
          <w:rStyle w:val="FootnoteReference"/>
          <w:rFonts w:asciiTheme="majorBidi" w:hAnsiTheme="majorBidi" w:cstheme="majorBidi"/>
        </w:rPr>
        <w:footnoteReference w:id="199"/>
      </w:r>
      <w:r w:rsidRPr="00D8671A">
        <w:rPr>
          <w:rFonts w:asciiTheme="majorBidi" w:hAnsiTheme="majorBidi" w:cstheme="majorBidi"/>
        </w:rPr>
        <w:t xml:space="preserve"> However, assigning guilt by association is a dangerous tendency. Addressing past atrocities and criminal law guarantees for the accused are not two competing considerations in international criminal law but go </w:t>
      </w:r>
      <w:r w:rsidR="006607B4" w:rsidRPr="00D8671A">
        <w:rPr>
          <w:rFonts w:asciiTheme="majorBidi" w:hAnsiTheme="majorBidi" w:cstheme="majorBidi"/>
        </w:rPr>
        <w:t>hand-in-</w:t>
      </w:r>
      <w:r w:rsidRPr="00D8671A">
        <w:rPr>
          <w:rFonts w:asciiTheme="majorBidi" w:hAnsiTheme="majorBidi" w:cstheme="majorBidi"/>
        </w:rPr>
        <w:t>hand. This is because international criminal trials are evaluated by subsequent generations based on their adherence to the strict legal principles.</w:t>
      </w:r>
      <w:r w:rsidRPr="00D8671A">
        <w:rPr>
          <w:rStyle w:val="FootnoteReference"/>
          <w:rFonts w:asciiTheme="majorBidi" w:hAnsiTheme="majorBidi" w:cstheme="majorBidi"/>
        </w:rPr>
        <w:footnoteReference w:id="200"/>
      </w:r>
      <w:r w:rsidRPr="00D8671A">
        <w:rPr>
          <w:rFonts w:asciiTheme="majorBidi" w:hAnsiTheme="majorBidi" w:cstheme="majorBidi"/>
        </w:rPr>
        <w:t xml:space="preserve"> The Tokyo and Nuremberg tribunals are good examples of how international proceedings can be a labelled </w:t>
      </w:r>
      <w:r w:rsidR="00E31EFD" w:rsidRPr="00D8671A">
        <w:rPr>
          <w:rFonts w:asciiTheme="majorBidi" w:hAnsiTheme="majorBidi" w:cstheme="majorBidi"/>
        </w:rPr>
        <w:t>“</w:t>
      </w:r>
      <w:r w:rsidRPr="00D8671A">
        <w:rPr>
          <w:rFonts w:asciiTheme="majorBidi" w:hAnsiTheme="majorBidi" w:cstheme="majorBidi"/>
        </w:rPr>
        <w:t>victors justice</w:t>
      </w:r>
      <w:r w:rsidR="00E31EFD" w:rsidRPr="00D8671A">
        <w:rPr>
          <w:rFonts w:asciiTheme="majorBidi" w:hAnsiTheme="majorBidi" w:cstheme="majorBidi"/>
        </w:rPr>
        <w:t>”</w:t>
      </w:r>
      <w:r w:rsidRPr="00D8671A">
        <w:rPr>
          <w:rFonts w:asciiTheme="majorBidi" w:hAnsiTheme="majorBidi" w:cstheme="majorBidi"/>
        </w:rPr>
        <w:t xml:space="preserve"> because of jurisprudential shortcomings. The whole purpose of international criminal trials may be defeated if the principles of criminal law are not observed. Thus, honouring the</w:t>
      </w:r>
      <w:r w:rsidR="00C7571A" w:rsidRPr="00D8671A">
        <w:rPr>
          <w:rFonts w:asciiTheme="majorBidi" w:hAnsiTheme="majorBidi" w:cstheme="majorBidi"/>
        </w:rPr>
        <w:t xml:space="preserve"> principle of fair labelling by</w:t>
      </w:r>
      <w:r w:rsidRPr="00D8671A">
        <w:rPr>
          <w:rFonts w:asciiTheme="majorBidi" w:hAnsiTheme="majorBidi" w:cstheme="majorBidi"/>
        </w:rPr>
        <w:t xml:space="preserve"> </w:t>
      </w:r>
      <w:r w:rsidR="00C7571A" w:rsidRPr="00D8671A">
        <w:rPr>
          <w:rFonts w:asciiTheme="majorBidi" w:hAnsiTheme="majorBidi" w:cstheme="majorBidi"/>
        </w:rPr>
        <w:lastRenderedPageBreak/>
        <w:t xml:space="preserve">distinguishing </w:t>
      </w:r>
      <w:r w:rsidR="00EC7A47" w:rsidRPr="00D8671A">
        <w:rPr>
          <w:rFonts w:asciiTheme="majorBidi" w:hAnsiTheme="majorBidi" w:cstheme="majorBidi"/>
        </w:rPr>
        <w:t>between different forms of</w:t>
      </w:r>
      <w:r w:rsidR="00BF5852" w:rsidRPr="00D8671A">
        <w:rPr>
          <w:rFonts w:asciiTheme="majorBidi" w:hAnsiTheme="majorBidi" w:cstheme="majorBidi"/>
        </w:rPr>
        <w:t xml:space="preserve"> </w:t>
      </w:r>
      <w:r w:rsidRPr="00D8671A">
        <w:rPr>
          <w:rFonts w:asciiTheme="majorBidi" w:hAnsiTheme="majorBidi" w:cstheme="majorBidi"/>
        </w:rPr>
        <w:t xml:space="preserve">individual criminal responsibility is key to maintaining the perceived legitimacy of international and hybrid courts and tribunals. </w:t>
      </w:r>
    </w:p>
    <w:p w14:paraId="15B011B8" w14:textId="7DF80E13" w:rsidR="004B3BB4" w:rsidRPr="00D8671A" w:rsidRDefault="004B3BB4" w:rsidP="00D8671A">
      <w:pPr>
        <w:pStyle w:val="Heading3"/>
        <w:numPr>
          <w:ilvl w:val="1"/>
          <w:numId w:val="3"/>
        </w:numPr>
        <w:spacing w:before="0" w:line="240" w:lineRule="auto"/>
        <w:ind w:left="0" w:firstLine="0"/>
        <w:rPr>
          <w:rFonts w:asciiTheme="majorBidi" w:hAnsiTheme="majorBidi"/>
          <w:i/>
          <w:color w:val="auto"/>
        </w:rPr>
      </w:pPr>
      <w:bookmarkStart w:id="9" w:name="_Toc250621146"/>
      <w:bookmarkStart w:id="10" w:name="_Toc251494090"/>
      <w:bookmarkStart w:id="11" w:name="_Toc251518905"/>
      <w:r w:rsidRPr="00D8671A">
        <w:rPr>
          <w:rFonts w:asciiTheme="majorBidi" w:hAnsiTheme="majorBidi"/>
          <w:i/>
          <w:color w:val="auto"/>
        </w:rPr>
        <w:t>The Level of Contribution is not the Criterion for Differentiating Modes of Responsibility</w:t>
      </w:r>
      <w:bookmarkEnd w:id="9"/>
      <w:bookmarkEnd w:id="10"/>
      <w:bookmarkEnd w:id="11"/>
      <w:r w:rsidRPr="00D8671A">
        <w:rPr>
          <w:rFonts w:asciiTheme="majorBidi" w:hAnsiTheme="majorBidi"/>
          <w:i/>
          <w:color w:val="auto"/>
        </w:rPr>
        <w:t xml:space="preserve"> </w:t>
      </w:r>
    </w:p>
    <w:p w14:paraId="1EA4879E" w14:textId="6787FA1F" w:rsidR="004B3BB4" w:rsidRPr="00D8671A" w:rsidRDefault="004B3BB4" w:rsidP="00BE3AE2">
      <w:pPr>
        <w:widowControl w:val="0"/>
        <w:autoSpaceDE w:val="0"/>
        <w:autoSpaceDN w:val="0"/>
        <w:adjustRightInd w:val="0"/>
        <w:spacing w:after="0" w:line="240" w:lineRule="auto"/>
        <w:rPr>
          <w:rFonts w:asciiTheme="majorBidi" w:hAnsiTheme="majorBidi" w:cstheme="majorBidi"/>
        </w:rPr>
      </w:pPr>
      <w:r w:rsidRPr="00D8671A">
        <w:rPr>
          <w:rFonts w:asciiTheme="majorBidi" w:hAnsiTheme="majorBidi" w:cstheme="majorBidi"/>
        </w:rPr>
        <w:t xml:space="preserve">The third and final argument against the </w:t>
      </w:r>
      <w:r w:rsidR="000B0C04" w:rsidRPr="00D8671A">
        <w:rPr>
          <w:rFonts w:asciiTheme="majorBidi" w:hAnsiTheme="majorBidi" w:cstheme="majorBidi"/>
        </w:rPr>
        <w:t>culpability scale of different participation forms</w:t>
      </w:r>
      <w:r w:rsidRPr="00D8671A">
        <w:rPr>
          <w:rFonts w:asciiTheme="majorBidi" w:hAnsiTheme="majorBidi" w:cstheme="majorBidi"/>
        </w:rPr>
        <w:t xml:space="preserve"> has to do with the </w:t>
      </w:r>
      <w:r w:rsidR="006607B4" w:rsidRPr="00D8671A">
        <w:rPr>
          <w:rFonts w:asciiTheme="majorBidi" w:hAnsiTheme="majorBidi" w:cstheme="majorBidi"/>
        </w:rPr>
        <w:t xml:space="preserve">device </w:t>
      </w:r>
      <w:r w:rsidRPr="00D8671A">
        <w:rPr>
          <w:rFonts w:asciiTheme="majorBidi" w:hAnsiTheme="majorBidi" w:cstheme="majorBidi"/>
        </w:rPr>
        <w:t xml:space="preserve">the ICC </w:t>
      </w:r>
      <w:r w:rsidR="006607B4" w:rsidRPr="00D8671A">
        <w:rPr>
          <w:rFonts w:asciiTheme="majorBidi" w:hAnsiTheme="majorBidi" w:cstheme="majorBidi"/>
        </w:rPr>
        <w:t xml:space="preserve">employed </w:t>
      </w:r>
      <w:r w:rsidRPr="00D8671A">
        <w:rPr>
          <w:rFonts w:asciiTheme="majorBidi" w:hAnsiTheme="majorBidi" w:cstheme="majorBidi"/>
        </w:rPr>
        <w:t xml:space="preserve">to delineate </w:t>
      </w:r>
      <w:r w:rsidR="000B0C04" w:rsidRPr="00D8671A">
        <w:rPr>
          <w:rFonts w:asciiTheme="majorBidi" w:hAnsiTheme="majorBidi" w:cstheme="majorBidi"/>
        </w:rPr>
        <w:t>one form from another</w:t>
      </w:r>
      <w:r w:rsidRPr="00D8671A">
        <w:rPr>
          <w:rFonts w:asciiTheme="majorBidi" w:hAnsiTheme="majorBidi" w:cstheme="majorBidi"/>
        </w:rPr>
        <w:t>. Responsibility of the accused is measured by the amount of his or</w:t>
      </w:r>
      <w:r w:rsidR="00C73CD8" w:rsidRPr="00D8671A">
        <w:rPr>
          <w:rFonts w:asciiTheme="majorBidi" w:hAnsiTheme="majorBidi" w:cstheme="majorBidi"/>
        </w:rPr>
        <w:t xml:space="preserve"> her contribution to the crime: the</w:t>
      </w:r>
      <w:r w:rsidRPr="00D8671A">
        <w:rPr>
          <w:rFonts w:asciiTheme="majorBidi" w:hAnsiTheme="majorBidi" w:cstheme="majorBidi"/>
        </w:rPr>
        <w:t xml:space="preserve"> </w:t>
      </w:r>
      <w:r w:rsidR="006607B4" w:rsidRPr="00D8671A">
        <w:rPr>
          <w:rFonts w:asciiTheme="majorBidi" w:hAnsiTheme="majorBidi" w:cstheme="majorBidi"/>
        </w:rPr>
        <w:t xml:space="preserve">sequence </w:t>
      </w:r>
      <w:r w:rsidRPr="00D8671A">
        <w:rPr>
          <w:rFonts w:asciiTheme="majorBidi" w:hAnsiTheme="majorBidi" w:cstheme="majorBidi"/>
        </w:rPr>
        <w:t xml:space="preserve">of </w:t>
      </w:r>
      <w:r w:rsidR="00BF48E6" w:rsidRPr="00D8671A">
        <w:rPr>
          <w:rFonts w:asciiTheme="majorBidi" w:hAnsiTheme="majorBidi" w:cstheme="majorBidi"/>
        </w:rPr>
        <w:t>modes of liability</w:t>
      </w:r>
      <w:r w:rsidRPr="00D8671A">
        <w:rPr>
          <w:rFonts w:asciiTheme="majorBidi" w:hAnsiTheme="majorBidi" w:cstheme="majorBidi"/>
        </w:rPr>
        <w:t xml:space="preserve">s </w:t>
      </w:r>
      <w:r w:rsidR="00C73CD8" w:rsidRPr="00D8671A">
        <w:rPr>
          <w:rFonts w:asciiTheme="majorBidi" w:hAnsiTheme="majorBidi" w:cstheme="majorBidi"/>
        </w:rPr>
        <w:t xml:space="preserve">is </w:t>
      </w:r>
      <w:r w:rsidRPr="00D8671A">
        <w:rPr>
          <w:rFonts w:asciiTheme="majorBidi" w:hAnsiTheme="majorBidi" w:cstheme="majorBidi"/>
        </w:rPr>
        <w:t xml:space="preserve">based on </w:t>
      </w:r>
      <w:r w:rsidR="00C73CD8" w:rsidRPr="00D8671A">
        <w:rPr>
          <w:rFonts w:asciiTheme="majorBidi" w:hAnsiTheme="majorBidi" w:cstheme="majorBidi"/>
        </w:rPr>
        <w:t>the level of contribution. The C</w:t>
      </w:r>
      <w:r w:rsidRPr="00D8671A">
        <w:rPr>
          <w:rFonts w:asciiTheme="majorBidi" w:hAnsiTheme="majorBidi" w:cstheme="majorBidi"/>
        </w:rPr>
        <w:t xml:space="preserve">ourt requires an </w:t>
      </w:r>
      <w:r w:rsidRPr="00D8671A">
        <w:rPr>
          <w:rFonts w:asciiTheme="majorBidi" w:hAnsiTheme="majorBidi" w:cstheme="majorBidi"/>
          <w:i/>
        </w:rPr>
        <w:t>essential</w:t>
      </w:r>
      <w:r w:rsidRPr="00D8671A">
        <w:rPr>
          <w:rFonts w:asciiTheme="majorBidi" w:hAnsiTheme="majorBidi" w:cstheme="majorBidi"/>
        </w:rPr>
        <w:t xml:space="preserve"> contribution by the accused to the common plan, in the sense of </w:t>
      </w:r>
      <w:r w:rsidR="006607B4" w:rsidRPr="00D8671A">
        <w:rPr>
          <w:rFonts w:asciiTheme="majorBidi" w:hAnsiTheme="majorBidi" w:cstheme="majorBidi"/>
        </w:rPr>
        <w:t xml:space="preserve">an </w:t>
      </w:r>
      <w:r w:rsidRPr="00D8671A">
        <w:rPr>
          <w:rFonts w:asciiTheme="majorBidi" w:hAnsiTheme="majorBidi" w:cstheme="majorBidi"/>
        </w:rPr>
        <w:t>ability to frustrate the commission of the crime by not performing the tasks, under subparagraph (a);</w:t>
      </w:r>
      <w:r w:rsidRPr="00D8671A">
        <w:rPr>
          <w:rStyle w:val="FootnoteReference"/>
          <w:rFonts w:asciiTheme="majorBidi" w:hAnsiTheme="majorBidi" w:cstheme="majorBidi"/>
        </w:rPr>
        <w:footnoteReference w:id="201"/>
      </w:r>
      <w:r w:rsidRPr="00D8671A">
        <w:rPr>
          <w:rFonts w:asciiTheme="majorBidi" w:hAnsiTheme="majorBidi" w:cstheme="majorBidi"/>
        </w:rPr>
        <w:t xml:space="preserve"> a </w:t>
      </w:r>
      <w:r w:rsidRPr="00D8671A">
        <w:rPr>
          <w:rFonts w:asciiTheme="majorBidi" w:hAnsiTheme="majorBidi" w:cstheme="majorBidi"/>
          <w:i/>
        </w:rPr>
        <w:t>substantial</w:t>
      </w:r>
      <w:r w:rsidRPr="00D8671A">
        <w:rPr>
          <w:rFonts w:asciiTheme="majorBidi" w:hAnsiTheme="majorBidi" w:cstheme="majorBidi"/>
        </w:rPr>
        <w:t xml:space="preserve"> contribution to the commission of a crime for aiding and abetting under subparagraph (c);</w:t>
      </w:r>
      <w:r w:rsidRPr="00D8671A">
        <w:rPr>
          <w:rStyle w:val="FootnoteReference"/>
          <w:rFonts w:asciiTheme="majorBidi" w:hAnsiTheme="majorBidi" w:cstheme="majorBidi"/>
        </w:rPr>
        <w:footnoteReference w:id="202"/>
      </w:r>
      <w:r w:rsidRPr="00D8671A">
        <w:rPr>
          <w:rFonts w:asciiTheme="majorBidi" w:hAnsiTheme="majorBidi" w:cstheme="majorBidi"/>
        </w:rPr>
        <w:t xml:space="preserve"> and a </w:t>
      </w:r>
      <w:r w:rsidRPr="00D8671A">
        <w:rPr>
          <w:rFonts w:asciiTheme="majorBidi" w:hAnsiTheme="majorBidi" w:cstheme="majorBidi"/>
          <w:i/>
        </w:rPr>
        <w:t>significant</w:t>
      </w:r>
      <w:r w:rsidRPr="00D8671A">
        <w:rPr>
          <w:rFonts w:asciiTheme="majorBidi" w:hAnsiTheme="majorBidi" w:cstheme="majorBidi"/>
        </w:rPr>
        <w:t xml:space="preserve"> contribution to the commission of a crime by a group under subparagraph (d) of Article 25(3) of the Statute.</w:t>
      </w:r>
      <w:r w:rsidRPr="00D8671A">
        <w:rPr>
          <w:rStyle w:val="FootnoteReference"/>
          <w:rFonts w:asciiTheme="majorBidi" w:hAnsiTheme="majorBidi" w:cstheme="majorBidi"/>
        </w:rPr>
        <w:footnoteReference w:id="203"/>
      </w:r>
      <w:r w:rsidRPr="00D8671A">
        <w:rPr>
          <w:rFonts w:asciiTheme="majorBidi" w:hAnsiTheme="majorBidi" w:cstheme="majorBidi"/>
        </w:rPr>
        <w:t xml:space="preserve"> The </w:t>
      </w:r>
      <w:r w:rsidRPr="00D8671A">
        <w:rPr>
          <w:rFonts w:asciiTheme="majorBidi" w:hAnsiTheme="majorBidi" w:cstheme="majorBidi"/>
          <w:i/>
        </w:rPr>
        <w:t xml:space="preserve">Lubanga </w:t>
      </w:r>
      <w:r w:rsidRPr="00D8671A">
        <w:rPr>
          <w:rFonts w:asciiTheme="majorBidi" w:hAnsiTheme="majorBidi" w:cstheme="majorBidi"/>
        </w:rPr>
        <w:t xml:space="preserve">Trial Chamber reinforced the hierarchy based on the level of contribution by calling the latter provision a </w:t>
      </w:r>
      <w:r w:rsidR="00E31EFD" w:rsidRPr="00D8671A">
        <w:rPr>
          <w:rFonts w:asciiTheme="majorBidi" w:hAnsiTheme="majorBidi" w:cstheme="majorBidi"/>
        </w:rPr>
        <w:t>“</w:t>
      </w:r>
      <w:r w:rsidRPr="00D8671A">
        <w:rPr>
          <w:rFonts w:asciiTheme="majorBidi" w:hAnsiTheme="majorBidi" w:cstheme="majorBidi"/>
        </w:rPr>
        <w:t>residual</w:t>
      </w:r>
      <w:r w:rsidR="00E31EFD" w:rsidRPr="00D8671A">
        <w:rPr>
          <w:rFonts w:asciiTheme="majorBidi" w:hAnsiTheme="majorBidi" w:cstheme="majorBidi"/>
        </w:rPr>
        <w:t>”</w:t>
      </w:r>
      <w:r w:rsidRPr="00D8671A">
        <w:rPr>
          <w:rFonts w:asciiTheme="majorBidi" w:hAnsiTheme="majorBidi" w:cstheme="majorBidi"/>
        </w:rPr>
        <w:t xml:space="preserve"> form of liability, which makes it possible to criminalize those contributions that cannot be characterized as ordering, soliciting, inducing, aiding, abetting or assisting.</w:t>
      </w:r>
      <w:r w:rsidRPr="00D8671A">
        <w:rPr>
          <w:rStyle w:val="FootnoteReference"/>
          <w:rFonts w:asciiTheme="majorBidi" w:hAnsiTheme="majorBidi" w:cstheme="majorBidi"/>
        </w:rPr>
        <w:footnoteReference w:id="204"/>
      </w:r>
      <w:r w:rsidRPr="00D8671A">
        <w:rPr>
          <w:rFonts w:asciiTheme="majorBidi" w:hAnsiTheme="majorBidi" w:cstheme="majorBidi"/>
        </w:rPr>
        <w:t xml:space="preserve"> The Pre-Trial Chamber in </w:t>
      </w:r>
      <w:r w:rsidRPr="00D8671A">
        <w:rPr>
          <w:rFonts w:asciiTheme="majorBidi" w:hAnsiTheme="majorBidi" w:cstheme="majorBidi"/>
          <w:i/>
        </w:rPr>
        <w:t xml:space="preserve">Mbarushimana </w:t>
      </w:r>
      <w:r w:rsidR="006607B4" w:rsidRPr="00D8671A">
        <w:rPr>
          <w:rFonts w:asciiTheme="majorBidi" w:hAnsiTheme="majorBidi" w:cstheme="majorBidi"/>
        </w:rPr>
        <w:t>adopted the same approach.</w:t>
      </w:r>
      <w:r w:rsidRPr="00D8671A">
        <w:rPr>
          <w:rFonts w:asciiTheme="majorBidi" w:hAnsiTheme="majorBidi" w:cstheme="majorBidi"/>
        </w:rPr>
        <w:t xml:space="preserve"> </w:t>
      </w:r>
      <w:r w:rsidR="006607B4" w:rsidRPr="00D8671A">
        <w:rPr>
          <w:rFonts w:asciiTheme="majorBidi" w:hAnsiTheme="majorBidi" w:cstheme="majorBidi"/>
        </w:rPr>
        <w:t>I</w:t>
      </w:r>
      <w:r w:rsidRPr="00D8671A">
        <w:rPr>
          <w:rFonts w:asciiTheme="majorBidi" w:hAnsiTheme="majorBidi" w:cstheme="majorBidi"/>
        </w:rPr>
        <w:t xml:space="preserve">t felt compelled </w:t>
      </w:r>
      <w:proofErr w:type="gramStart"/>
      <w:r w:rsidRPr="00D8671A">
        <w:rPr>
          <w:rFonts w:asciiTheme="majorBidi" w:hAnsiTheme="majorBidi" w:cstheme="majorBidi"/>
        </w:rPr>
        <w:t>on the basis of</w:t>
      </w:r>
      <w:proofErr w:type="gramEnd"/>
      <w:r w:rsidRPr="00D8671A">
        <w:rPr>
          <w:rFonts w:asciiTheme="majorBidi" w:hAnsiTheme="majorBidi" w:cstheme="majorBidi"/>
        </w:rPr>
        <w:t xml:space="preserve"> the hierarchy of participation modes to measure the magnitud</w:t>
      </w:r>
      <w:r w:rsidR="006607B4" w:rsidRPr="00D8671A">
        <w:rPr>
          <w:rFonts w:asciiTheme="majorBidi" w:hAnsiTheme="majorBidi" w:cstheme="majorBidi"/>
        </w:rPr>
        <w:t>e of the accused’s contribution;</w:t>
      </w:r>
      <w:r w:rsidRPr="00D8671A">
        <w:rPr>
          <w:rStyle w:val="FootnoteReference"/>
          <w:rFonts w:asciiTheme="majorBidi" w:hAnsiTheme="majorBidi" w:cstheme="majorBidi"/>
        </w:rPr>
        <w:footnoteReference w:id="205"/>
      </w:r>
      <w:r w:rsidRPr="00D8671A">
        <w:rPr>
          <w:rFonts w:asciiTheme="majorBidi" w:hAnsiTheme="majorBidi" w:cstheme="majorBidi"/>
        </w:rPr>
        <w:t xml:space="preserve">  </w:t>
      </w:r>
      <w:r w:rsidR="006607B4" w:rsidRPr="00D8671A">
        <w:rPr>
          <w:rFonts w:asciiTheme="majorBidi" w:hAnsiTheme="majorBidi" w:cstheme="majorBidi"/>
        </w:rPr>
        <w:t>a</w:t>
      </w:r>
      <w:r w:rsidRPr="00D8671A">
        <w:rPr>
          <w:rFonts w:asciiTheme="majorBidi" w:hAnsiTheme="majorBidi" w:cstheme="majorBidi"/>
        </w:rPr>
        <w:t xml:space="preserve">n exercise </w:t>
      </w:r>
      <w:r w:rsidR="006607B4" w:rsidRPr="00D8671A">
        <w:rPr>
          <w:rFonts w:asciiTheme="majorBidi" w:hAnsiTheme="majorBidi" w:cstheme="majorBidi"/>
        </w:rPr>
        <w:t xml:space="preserve">that </w:t>
      </w:r>
      <w:r w:rsidRPr="00D8671A">
        <w:rPr>
          <w:rFonts w:asciiTheme="majorBidi" w:hAnsiTheme="majorBidi" w:cstheme="majorBidi"/>
        </w:rPr>
        <w:t xml:space="preserve">proved to be challenging and was duly criticized by </w:t>
      </w:r>
      <w:r w:rsidRPr="00D8671A">
        <w:rPr>
          <w:rFonts w:asciiTheme="majorBidi" w:eastAsiaTheme="minorEastAsia" w:hAnsiTheme="majorBidi" w:cstheme="majorBidi"/>
          <w:lang w:val="en-US"/>
        </w:rPr>
        <w:t>Judge Fernández de Gurmendi</w:t>
      </w:r>
      <w:r w:rsidRPr="00D8671A">
        <w:rPr>
          <w:rFonts w:asciiTheme="majorBidi" w:hAnsiTheme="majorBidi" w:cstheme="majorBidi"/>
        </w:rPr>
        <w:t>.</w:t>
      </w:r>
      <w:r w:rsidRPr="00D8671A">
        <w:rPr>
          <w:rStyle w:val="FootnoteReference"/>
          <w:rFonts w:asciiTheme="majorBidi" w:eastAsiaTheme="minorEastAsia" w:hAnsiTheme="majorBidi" w:cstheme="majorBidi"/>
          <w:lang w:val="en-US"/>
        </w:rPr>
        <w:footnoteReference w:id="206"/>
      </w:r>
    </w:p>
    <w:p w14:paraId="28F38371" w14:textId="6EE6B76D" w:rsidR="004B3BB4" w:rsidRPr="00D8671A" w:rsidRDefault="004B3BB4" w:rsidP="00566D5D">
      <w:pPr>
        <w:widowControl w:val="0"/>
        <w:autoSpaceDE w:val="0"/>
        <w:autoSpaceDN w:val="0"/>
        <w:adjustRightInd w:val="0"/>
        <w:spacing w:after="0" w:line="240" w:lineRule="auto"/>
        <w:ind w:firstLine="720"/>
        <w:rPr>
          <w:rFonts w:asciiTheme="majorBidi" w:hAnsiTheme="majorBidi" w:cstheme="majorBidi"/>
        </w:rPr>
      </w:pPr>
      <w:r w:rsidRPr="00D8671A">
        <w:rPr>
          <w:rFonts w:asciiTheme="majorBidi" w:hAnsiTheme="majorBidi" w:cstheme="majorBidi"/>
        </w:rPr>
        <w:t xml:space="preserve">However, there is a flaw in the reasoning </w:t>
      </w:r>
      <w:r w:rsidR="00A07AC1" w:rsidRPr="00D8671A">
        <w:rPr>
          <w:rFonts w:asciiTheme="majorBidi" w:hAnsiTheme="majorBidi" w:cstheme="majorBidi"/>
        </w:rPr>
        <w:t>connecting</w:t>
      </w:r>
      <w:r w:rsidRPr="00D8671A">
        <w:rPr>
          <w:rFonts w:asciiTheme="majorBidi" w:hAnsiTheme="majorBidi" w:cstheme="majorBidi"/>
        </w:rPr>
        <w:t xml:space="preserve"> the form of liability and the level of contribution because it is impossible to measure the precise degree to which the accused contributed to the crime in abstract terms. </w:t>
      </w:r>
      <w:r w:rsidR="0017279B" w:rsidRPr="00D8671A">
        <w:rPr>
          <w:rFonts w:asciiTheme="majorBidi" w:hAnsiTheme="majorBidi" w:cstheme="majorBidi"/>
        </w:rPr>
        <w:t xml:space="preserve">This </w:t>
      </w:r>
      <w:r w:rsidR="00FC03F0" w:rsidRPr="00D8671A">
        <w:rPr>
          <w:rFonts w:asciiTheme="majorBidi" w:hAnsiTheme="majorBidi" w:cstheme="majorBidi"/>
        </w:rPr>
        <w:t>concern</w:t>
      </w:r>
      <w:r w:rsidR="0017279B" w:rsidRPr="00D8671A">
        <w:rPr>
          <w:rFonts w:asciiTheme="majorBidi" w:hAnsiTheme="majorBidi" w:cstheme="majorBidi"/>
        </w:rPr>
        <w:t xml:space="preserve"> </w:t>
      </w:r>
      <w:r w:rsidR="00072FD1" w:rsidRPr="00D8671A">
        <w:rPr>
          <w:rFonts w:asciiTheme="majorBidi" w:hAnsiTheme="majorBidi" w:cstheme="majorBidi"/>
        </w:rPr>
        <w:t>might</w:t>
      </w:r>
      <w:r w:rsidR="0017279B" w:rsidRPr="00D8671A">
        <w:rPr>
          <w:rFonts w:asciiTheme="majorBidi" w:hAnsiTheme="majorBidi" w:cstheme="majorBidi"/>
        </w:rPr>
        <w:t xml:space="preserve"> have prompted the </w:t>
      </w:r>
      <w:r w:rsidR="0017279B" w:rsidRPr="00D8671A">
        <w:rPr>
          <w:rFonts w:asciiTheme="majorBidi" w:hAnsiTheme="majorBidi" w:cstheme="majorBidi"/>
          <w:i/>
        </w:rPr>
        <w:t>Lubanga</w:t>
      </w:r>
      <w:r w:rsidR="0017279B" w:rsidRPr="00D8671A">
        <w:rPr>
          <w:rFonts w:asciiTheme="majorBidi" w:hAnsiTheme="majorBidi" w:cstheme="majorBidi"/>
        </w:rPr>
        <w:t xml:space="preserve"> Appeals Chamber</w:t>
      </w:r>
      <w:r w:rsidR="00045D5F" w:rsidRPr="00D8671A">
        <w:rPr>
          <w:rFonts w:asciiTheme="majorBidi" w:hAnsiTheme="majorBidi" w:cstheme="majorBidi"/>
        </w:rPr>
        <w:t>’s</w:t>
      </w:r>
      <w:r w:rsidR="0017279B" w:rsidRPr="00D8671A">
        <w:rPr>
          <w:rFonts w:asciiTheme="majorBidi" w:hAnsiTheme="majorBidi" w:cstheme="majorBidi"/>
        </w:rPr>
        <w:t xml:space="preserve"> </w:t>
      </w:r>
      <w:r w:rsidR="00045D5F" w:rsidRPr="00D8671A">
        <w:rPr>
          <w:rFonts w:asciiTheme="majorBidi" w:hAnsiTheme="majorBidi" w:cstheme="majorBidi"/>
        </w:rPr>
        <w:t xml:space="preserve">reliance on </w:t>
      </w:r>
      <w:r w:rsidR="0017279B" w:rsidRPr="00D8671A">
        <w:rPr>
          <w:rFonts w:asciiTheme="majorBidi" w:hAnsiTheme="majorBidi" w:cstheme="majorBidi"/>
        </w:rPr>
        <w:t xml:space="preserve">normative assessment of the </w:t>
      </w:r>
      <w:r w:rsidR="00045D5F" w:rsidRPr="00D8671A">
        <w:rPr>
          <w:rFonts w:asciiTheme="majorBidi" w:hAnsiTheme="majorBidi" w:cstheme="majorBidi"/>
        </w:rPr>
        <w:t xml:space="preserve">role of the accused </w:t>
      </w:r>
      <w:r w:rsidR="001B0209" w:rsidRPr="00D8671A">
        <w:rPr>
          <w:rFonts w:asciiTheme="majorBidi" w:hAnsiTheme="majorBidi" w:cstheme="majorBidi"/>
        </w:rPr>
        <w:t xml:space="preserve">person role in determining his </w:t>
      </w:r>
      <w:r w:rsidR="00045D5F" w:rsidRPr="00D8671A">
        <w:rPr>
          <w:rFonts w:asciiTheme="majorBidi" w:hAnsiTheme="majorBidi" w:cstheme="majorBidi"/>
        </w:rPr>
        <w:t xml:space="preserve">or her </w:t>
      </w:r>
      <w:r w:rsidR="001B0209" w:rsidRPr="00D8671A">
        <w:rPr>
          <w:rFonts w:asciiTheme="majorBidi" w:hAnsiTheme="majorBidi" w:cstheme="majorBidi"/>
        </w:rPr>
        <w:t>respective role in offending.</w:t>
      </w:r>
      <w:r w:rsidR="001B0209" w:rsidRPr="00D8671A">
        <w:rPr>
          <w:rStyle w:val="FootnoteReference"/>
          <w:rFonts w:asciiTheme="majorBidi" w:hAnsiTheme="majorBidi" w:cstheme="majorBidi"/>
        </w:rPr>
        <w:footnoteReference w:id="207"/>
      </w:r>
      <w:r w:rsidR="001B0209" w:rsidRPr="00D8671A">
        <w:rPr>
          <w:rFonts w:asciiTheme="majorBidi" w:hAnsiTheme="majorBidi" w:cstheme="majorBidi"/>
        </w:rPr>
        <w:t xml:space="preserve"> </w:t>
      </w:r>
      <w:r w:rsidRPr="00D8671A">
        <w:rPr>
          <w:rFonts w:asciiTheme="majorBidi" w:hAnsiTheme="majorBidi" w:cstheme="majorBidi"/>
        </w:rPr>
        <w:t>Th</w:t>
      </w:r>
      <w:r w:rsidR="00B94B64" w:rsidRPr="00D8671A">
        <w:rPr>
          <w:rFonts w:asciiTheme="majorBidi" w:hAnsiTheme="majorBidi" w:cstheme="majorBidi"/>
        </w:rPr>
        <w:t>e</w:t>
      </w:r>
      <w:r w:rsidR="00072FD1" w:rsidRPr="00D8671A">
        <w:rPr>
          <w:rFonts w:asciiTheme="majorBidi" w:hAnsiTheme="majorBidi" w:cstheme="majorBidi"/>
        </w:rPr>
        <w:t xml:space="preserve"> worry</w:t>
      </w:r>
      <w:r w:rsidRPr="00D8671A">
        <w:rPr>
          <w:rFonts w:asciiTheme="majorBidi" w:hAnsiTheme="majorBidi" w:cstheme="majorBidi"/>
        </w:rPr>
        <w:t xml:space="preserve"> is par</w:t>
      </w:r>
      <w:r w:rsidR="00A07AC1" w:rsidRPr="00D8671A">
        <w:rPr>
          <w:rFonts w:asciiTheme="majorBidi" w:hAnsiTheme="majorBidi" w:cstheme="majorBidi"/>
        </w:rPr>
        <w:t xml:space="preserve">ticularly true in respect of an </w:t>
      </w:r>
      <w:r w:rsidR="00E31EFD" w:rsidRPr="00D8671A">
        <w:rPr>
          <w:rFonts w:asciiTheme="majorBidi" w:hAnsiTheme="majorBidi" w:cstheme="majorBidi"/>
        </w:rPr>
        <w:t>“</w:t>
      </w:r>
      <w:r w:rsidRPr="00D8671A">
        <w:rPr>
          <w:rFonts w:asciiTheme="majorBidi" w:hAnsiTheme="majorBidi" w:cstheme="majorBidi"/>
        </w:rPr>
        <w:t>essential</w:t>
      </w:r>
      <w:r w:rsidR="00E31EFD" w:rsidRPr="00D8671A">
        <w:rPr>
          <w:rFonts w:asciiTheme="majorBidi" w:hAnsiTheme="majorBidi" w:cstheme="majorBidi"/>
        </w:rPr>
        <w:t>”</w:t>
      </w:r>
      <w:r w:rsidRPr="00D8671A">
        <w:rPr>
          <w:rFonts w:asciiTheme="majorBidi" w:hAnsiTheme="majorBidi" w:cstheme="majorBidi"/>
        </w:rPr>
        <w:t xml:space="preserve">, or </w:t>
      </w:r>
      <w:r w:rsidRPr="00D8671A">
        <w:rPr>
          <w:rFonts w:asciiTheme="majorBidi" w:hAnsiTheme="majorBidi" w:cstheme="majorBidi"/>
          <w:i/>
        </w:rPr>
        <w:t>conditio sine qua non</w:t>
      </w:r>
      <w:r w:rsidRPr="00D8671A">
        <w:rPr>
          <w:rFonts w:asciiTheme="majorBidi" w:hAnsiTheme="majorBidi" w:cstheme="majorBidi"/>
        </w:rPr>
        <w:t xml:space="preserve">, contribution </w:t>
      </w:r>
      <w:r w:rsidR="00072FD1" w:rsidRPr="00D8671A">
        <w:rPr>
          <w:rFonts w:asciiTheme="majorBidi" w:hAnsiTheme="majorBidi" w:cstheme="majorBidi"/>
        </w:rPr>
        <w:t xml:space="preserve">required </w:t>
      </w:r>
      <w:r w:rsidRPr="00D8671A">
        <w:rPr>
          <w:rFonts w:asciiTheme="majorBidi" w:hAnsiTheme="majorBidi" w:cstheme="majorBidi"/>
        </w:rPr>
        <w:t xml:space="preserve">for co-perpetration. This </w:t>
      </w:r>
      <w:r w:rsidR="00A07AC1" w:rsidRPr="00D8671A">
        <w:rPr>
          <w:rFonts w:asciiTheme="majorBidi" w:hAnsiTheme="majorBidi" w:cstheme="majorBidi"/>
        </w:rPr>
        <w:t>prerequisite</w:t>
      </w:r>
      <w:r w:rsidRPr="00D8671A">
        <w:rPr>
          <w:rFonts w:asciiTheme="majorBidi" w:hAnsiTheme="majorBidi" w:cstheme="majorBidi"/>
        </w:rPr>
        <w:t xml:space="preserve"> goes against the distinction between nature and will, which Kadish accurately pointed out</w:t>
      </w:r>
      <w:r w:rsidR="00A07AC1" w:rsidRPr="00D8671A">
        <w:rPr>
          <w:rFonts w:asciiTheme="majorBidi" w:hAnsiTheme="majorBidi" w:cstheme="majorBidi"/>
        </w:rPr>
        <w:t>: i</w:t>
      </w:r>
      <w:r w:rsidRPr="00D8671A">
        <w:rPr>
          <w:rFonts w:asciiTheme="majorBidi" w:hAnsiTheme="majorBidi" w:cstheme="majorBidi"/>
        </w:rPr>
        <w:t>n the physical world events inevitably follow</w:t>
      </w:r>
      <w:r w:rsidR="003B751B" w:rsidRPr="00D8671A">
        <w:rPr>
          <w:rFonts w:asciiTheme="majorBidi" w:hAnsiTheme="majorBidi" w:cstheme="majorBidi"/>
        </w:rPr>
        <w:t xml:space="preserve"> one from another</w:t>
      </w:r>
      <w:r w:rsidRPr="00D8671A">
        <w:rPr>
          <w:rFonts w:asciiTheme="majorBidi" w:hAnsiTheme="majorBidi" w:cstheme="majorBidi"/>
        </w:rPr>
        <w:t>, but in the world of voluntary human action the outcome is the result of a freely chosen expressions of will.</w:t>
      </w:r>
      <w:r w:rsidRPr="00D8671A">
        <w:rPr>
          <w:rStyle w:val="FootnoteReference"/>
          <w:rFonts w:asciiTheme="majorBidi" w:hAnsiTheme="majorBidi" w:cstheme="majorBidi"/>
        </w:rPr>
        <w:footnoteReference w:id="208"/>
      </w:r>
      <w:r w:rsidRPr="00D8671A">
        <w:rPr>
          <w:rFonts w:asciiTheme="majorBidi" w:hAnsiTheme="majorBidi" w:cstheme="majorBidi"/>
        </w:rPr>
        <w:t xml:space="preserve"> This distinction underlies the conception of responsibility in criminal law because it em</w:t>
      </w:r>
      <w:r w:rsidR="00760BE5" w:rsidRPr="00D8671A">
        <w:rPr>
          <w:rFonts w:asciiTheme="majorBidi" w:hAnsiTheme="majorBidi" w:cstheme="majorBidi"/>
        </w:rPr>
        <w:t>ploys the doctrine of causation -</w:t>
      </w:r>
      <w:r w:rsidRPr="00D8671A">
        <w:rPr>
          <w:rFonts w:asciiTheme="majorBidi" w:hAnsiTheme="majorBidi" w:cstheme="majorBidi"/>
        </w:rPr>
        <w:t xml:space="preserve"> for the r</w:t>
      </w:r>
      <w:r w:rsidR="00760BE5" w:rsidRPr="00D8671A">
        <w:rPr>
          <w:rFonts w:asciiTheme="majorBidi" w:hAnsiTheme="majorBidi" w:cstheme="majorBidi"/>
        </w:rPr>
        <w:t xml:space="preserve">ealm of nature, and complicity - </w:t>
      </w:r>
      <w:r w:rsidRPr="00D8671A">
        <w:rPr>
          <w:rFonts w:asciiTheme="majorBidi" w:hAnsiTheme="majorBidi" w:cstheme="majorBidi"/>
        </w:rPr>
        <w:t>for the realm of will.</w:t>
      </w:r>
      <w:r w:rsidR="00A53A9F" w:rsidRPr="00D8671A">
        <w:rPr>
          <w:rFonts w:asciiTheme="majorBidi" w:hAnsiTheme="majorBidi" w:cstheme="majorBidi"/>
        </w:rPr>
        <w:t xml:space="preserve"> </w:t>
      </w:r>
      <w:r w:rsidRPr="00D8671A">
        <w:rPr>
          <w:rFonts w:asciiTheme="majorBidi" w:hAnsiTheme="majorBidi" w:cstheme="majorBidi"/>
        </w:rPr>
        <w:t>Causation translates into the events happening in the physical world, while complicity results in another person’s voluntary action.</w:t>
      </w:r>
      <w:r w:rsidRPr="00D8671A">
        <w:rPr>
          <w:rStyle w:val="FootnoteReference"/>
          <w:rFonts w:asciiTheme="majorBidi" w:hAnsiTheme="majorBidi" w:cstheme="majorBidi"/>
        </w:rPr>
        <w:footnoteReference w:id="209"/>
      </w:r>
      <w:r w:rsidRPr="00D8671A">
        <w:rPr>
          <w:rFonts w:asciiTheme="majorBidi" w:hAnsiTheme="majorBidi" w:cstheme="majorBidi"/>
        </w:rPr>
        <w:t xml:space="preserve"> The </w:t>
      </w:r>
      <w:r w:rsidR="00BF1135" w:rsidRPr="00D8671A">
        <w:rPr>
          <w:rFonts w:asciiTheme="majorBidi" w:hAnsiTheme="majorBidi" w:cstheme="majorBidi"/>
        </w:rPr>
        <w:t xml:space="preserve">explanation </w:t>
      </w:r>
      <w:r w:rsidRPr="00D8671A">
        <w:rPr>
          <w:rFonts w:asciiTheme="majorBidi" w:hAnsiTheme="majorBidi" w:cstheme="majorBidi"/>
        </w:rPr>
        <w:t xml:space="preserve">for this </w:t>
      </w:r>
      <w:r w:rsidR="00BF1135" w:rsidRPr="00D8671A">
        <w:rPr>
          <w:rFonts w:asciiTheme="majorBidi" w:hAnsiTheme="majorBidi" w:cstheme="majorBidi"/>
        </w:rPr>
        <w:t xml:space="preserve">differentiation </w:t>
      </w:r>
      <w:r w:rsidRPr="00D8671A">
        <w:rPr>
          <w:rFonts w:asciiTheme="majorBidi" w:hAnsiTheme="majorBidi" w:cstheme="majorBidi"/>
        </w:rPr>
        <w:t xml:space="preserve">is that every person is presumed to have a free will, and it cannot be said that another person </w:t>
      </w:r>
      <w:r w:rsidRPr="00D8671A">
        <w:rPr>
          <w:rFonts w:asciiTheme="majorBidi" w:hAnsiTheme="majorBidi" w:cstheme="majorBidi"/>
          <w:i/>
        </w:rPr>
        <w:t>caused</w:t>
      </w:r>
      <w:r w:rsidRPr="00D8671A">
        <w:rPr>
          <w:rFonts w:asciiTheme="majorBidi" w:hAnsiTheme="majorBidi" w:cstheme="majorBidi"/>
        </w:rPr>
        <w:t xml:space="preserve"> him or her to act. The principal freely chose to commit a crime. </w:t>
      </w:r>
    </w:p>
    <w:p w14:paraId="0B0309B3" w14:textId="77777777" w:rsidR="00566D5D" w:rsidRDefault="004B3BB4" w:rsidP="00566D5D">
      <w:pPr>
        <w:widowControl w:val="0"/>
        <w:autoSpaceDE w:val="0"/>
        <w:autoSpaceDN w:val="0"/>
        <w:adjustRightInd w:val="0"/>
        <w:spacing w:after="0" w:line="240" w:lineRule="auto"/>
        <w:ind w:firstLine="720"/>
        <w:rPr>
          <w:rFonts w:asciiTheme="majorBidi" w:hAnsiTheme="majorBidi" w:cstheme="majorBidi"/>
        </w:rPr>
      </w:pPr>
      <w:r w:rsidRPr="00D8671A">
        <w:rPr>
          <w:rFonts w:asciiTheme="majorBidi" w:hAnsiTheme="majorBidi" w:cstheme="majorBidi"/>
        </w:rPr>
        <w:t xml:space="preserve">For example, it can be fairly said that the burglar caused the burglary by breaking into the house and appropriating the valuables. However, his accomplice, who provided the truck to transport the stolen goods with the knowledge of the crime being committed, cannot be said to have </w:t>
      </w:r>
      <w:r w:rsidRPr="00D8671A">
        <w:rPr>
          <w:rFonts w:asciiTheme="majorBidi" w:hAnsiTheme="majorBidi" w:cstheme="majorBidi"/>
          <w:i/>
        </w:rPr>
        <w:t>caused</w:t>
      </w:r>
      <w:r w:rsidRPr="00D8671A">
        <w:rPr>
          <w:rFonts w:asciiTheme="majorBidi" w:hAnsiTheme="majorBidi" w:cstheme="majorBidi"/>
        </w:rPr>
        <w:t xml:space="preserve"> the burglary. His responsibility lies in the wrongful choice to assist the principal. Another example involving co-perpetrators would be two men simultaneously delivering blows to a third person. Both co-perpetrators cause grave bodily harm to the other person. This event is happening in the physical world. Thus, causation applies to cases that do </w:t>
      </w:r>
      <w:r w:rsidRPr="00D8671A">
        <w:rPr>
          <w:rFonts w:asciiTheme="majorBidi" w:hAnsiTheme="majorBidi" w:cstheme="majorBidi"/>
        </w:rPr>
        <w:lastRenderedPageBreak/>
        <w:t xml:space="preserve">not involve an intermediary between the crime and the offender – these are the classical cases of perpetration, co-perpetration and perpetration by means. The latter form of perpetration is somewhat an exception to the general causation rule because there is an intermediary between the crime and the principal. This intermediary, however, is innocent in a classical form of indirect perpetration. </w:t>
      </w:r>
      <w:r w:rsidR="00072FD1" w:rsidRPr="00D8671A">
        <w:rPr>
          <w:rFonts w:asciiTheme="majorBidi" w:hAnsiTheme="majorBidi" w:cstheme="majorBidi"/>
        </w:rPr>
        <w:t>Consequently</w:t>
      </w:r>
      <w:r w:rsidRPr="00D8671A">
        <w:rPr>
          <w:rFonts w:asciiTheme="majorBidi" w:hAnsiTheme="majorBidi" w:cstheme="majorBidi"/>
        </w:rPr>
        <w:t>, he lacks free will and becomes an instrument, in the physical sense of the word, in the hands of the primary perpetrator.</w:t>
      </w:r>
    </w:p>
    <w:p w14:paraId="0939B65E" w14:textId="0E97C7AF" w:rsidR="004B3BB4" w:rsidRPr="00D8671A" w:rsidRDefault="004B3BB4" w:rsidP="00566D5D">
      <w:pPr>
        <w:widowControl w:val="0"/>
        <w:autoSpaceDE w:val="0"/>
        <w:autoSpaceDN w:val="0"/>
        <w:adjustRightInd w:val="0"/>
        <w:spacing w:after="0" w:line="240" w:lineRule="auto"/>
        <w:ind w:firstLine="720"/>
        <w:rPr>
          <w:rFonts w:asciiTheme="majorBidi" w:hAnsiTheme="majorBidi" w:cstheme="majorBidi"/>
        </w:rPr>
      </w:pPr>
      <w:r w:rsidRPr="00D8671A">
        <w:rPr>
          <w:rFonts w:asciiTheme="majorBidi" w:hAnsiTheme="majorBidi" w:cstheme="majorBidi"/>
        </w:rPr>
        <w:t xml:space="preserve">In case of ICC-developed doctrines of indirect or direct co-perpetration, the agents committing crimes are usually criminally responsible. Therefore, it cannot be said that they are instruments in the hands of others - they retain their </w:t>
      </w:r>
      <w:r w:rsidR="00072FD1" w:rsidRPr="00D8671A">
        <w:rPr>
          <w:rFonts w:asciiTheme="majorBidi" w:hAnsiTheme="majorBidi" w:cstheme="majorBidi"/>
        </w:rPr>
        <w:t>autonomy</w:t>
      </w:r>
      <w:r w:rsidRPr="00D8671A">
        <w:rPr>
          <w:rFonts w:asciiTheme="majorBidi" w:hAnsiTheme="majorBidi" w:cstheme="majorBidi"/>
        </w:rPr>
        <w:t xml:space="preserve"> to choose the course of action. </w:t>
      </w:r>
      <w:r w:rsidR="00137AD5" w:rsidRPr="00D8671A">
        <w:rPr>
          <w:rFonts w:asciiTheme="majorBidi" w:hAnsiTheme="majorBidi" w:cstheme="majorBidi"/>
        </w:rPr>
        <w:t xml:space="preserve">Contribution </w:t>
      </w:r>
      <w:r w:rsidR="00137AD5" w:rsidRPr="00D8671A">
        <w:rPr>
          <w:rFonts w:asciiTheme="majorBidi" w:hAnsiTheme="majorBidi" w:cstheme="majorBidi"/>
          <w:i/>
        </w:rPr>
        <w:t>sine qua non</w:t>
      </w:r>
      <w:r w:rsidR="00137AD5" w:rsidRPr="00D8671A">
        <w:rPr>
          <w:rFonts w:asciiTheme="majorBidi" w:hAnsiTheme="majorBidi" w:cstheme="majorBidi"/>
        </w:rPr>
        <w:t xml:space="preserve"> presupposes that the acts of the perpetrator directly cause the crime to occur. However, if the intermediary, who possesses the ability to act voluntarily, commits a crime, he is the sole cause of this event in the physical world, while the person exercising influence over the agent is </w:t>
      </w:r>
      <w:r w:rsidR="00072FD1" w:rsidRPr="00D8671A">
        <w:rPr>
          <w:rFonts w:asciiTheme="majorBidi" w:hAnsiTheme="majorBidi" w:cstheme="majorBidi"/>
        </w:rPr>
        <w:t xml:space="preserve">only </w:t>
      </w:r>
      <w:r w:rsidR="00137AD5" w:rsidRPr="00D8671A">
        <w:rPr>
          <w:rFonts w:asciiTheme="majorBidi" w:hAnsiTheme="majorBidi" w:cstheme="majorBidi"/>
        </w:rPr>
        <w:t>responsible for changing the latter’s motivation. Thus, t</w:t>
      </w:r>
      <w:r w:rsidRPr="00D8671A">
        <w:rPr>
          <w:rFonts w:asciiTheme="majorBidi" w:hAnsiTheme="majorBidi" w:cstheme="majorBidi"/>
        </w:rPr>
        <w:t>h</w:t>
      </w:r>
      <w:r w:rsidR="00CE6F10" w:rsidRPr="00D8671A">
        <w:rPr>
          <w:rFonts w:asciiTheme="majorBidi" w:hAnsiTheme="majorBidi" w:cstheme="majorBidi"/>
        </w:rPr>
        <w:t>e causal link is</w:t>
      </w:r>
      <w:r w:rsidR="00137AD5" w:rsidRPr="00D8671A">
        <w:rPr>
          <w:rFonts w:asciiTheme="majorBidi" w:hAnsiTheme="majorBidi" w:cstheme="majorBidi"/>
        </w:rPr>
        <w:t xml:space="preserve"> </w:t>
      </w:r>
      <w:r w:rsidR="00CE6F10" w:rsidRPr="00D8671A">
        <w:rPr>
          <w:rFonts w:asciiTheme="majorBidi" w:hAnsiTheme="majorBidi" w:cstheme="majorBidi"/>
        </w:rPr>
        <w:t>nearly impossible to construct</w:t>
      </w:r>
      <w:r w:rsidR="00137AD5" w:rsidRPr="00D8671A">
        <w:rPr>
          <w:rFonts w:asciiTheme="majorBidi" w:hAnsiTheme="majorBidi" w:cstheme="majorBidi"/>
        </w:rPr>
        <w:t xml:space="preserve"> in cases of indirect perpetration</w:t>
      </w:r>
      <w:r w:rsidR="00CE6F10" w:rsidRPr="00D8671A">
        <w:rPr>
          <w:rFonts w:asciiTheme="majorBidi" w:hAnsiTheme="majorBidi" w:cstheme="majorBidi"/>
        </w:rPr>
        <w:t xml:space="preserve"> </w:t>
      </w:r>
      <w:r w:rsidRPr="00D8671A">
        <w:rPr>
          <w:rFonts w:asciiTheme="majorBidi" w:hAnsiTheme="majorBidi" w:cstheme="majorBidi"/>
        </w:rPr>
        <w:t xml:space="preserve">if one treats individuals as sovereigns of their own acts. </w:t>
      </w:r>
      <w:r w:rsidR="00250EF3" w:rsidRPr="00D8671A">
        <w:rPr>
          <w:rFonts w:asciiTheme="majorBidi" w:hAnsiTheme="majorBidi" w:cstheme="majorBidi"/>
        </w:rPr>
        <w:t>For instance, the mayor of the city who publicly deliver</w:t>
      </w:r>
      <w:r w:rsidR="003B751B" w:rsidRPr="00D8671A">
        <w:rPr>
          <w:rFonts w:asciiTheme="majorBidi" w:hAnsiTheme="majorBidi" w:cstheme="majorBidi"/>
        </w:rPr>
        <w:t>s</w:t>
      </w:r>
      <w:r w:rsidR="00250EF3" w:rsidRPr="00D8671A">
        <w:rPr>
          <w:rFonts w:asciiTheme="majorBidi" w:hAnsiTheme="majorBidi" w:cstheme="majorBidi"/>
        </w:rPr>
        <w:t xml:space="preserve"> hate speeches urging one ethnic group to take up arms against another ethnic group cannot be said to have </w:t>
      </w:r>
      <w:r w:rsidR="00250EF3" w:rsidRPr="00D8671A">
        <w:rPr>
          <w:rFonts w:asciiTheme="majorBidi" w:hAnsiTheme="majorBidi" w:cstheme="majorBidi"/>
          <w:i/>
        </w:rPr>
        <w:t>caused</w:t>
      </w:r>
      <w:r w:rsidR="00250EF3" w:rsidRPr="00D8671A">
        <w:rPr>
          <w:rFonts w:asciiTheme="majorBidi" w:hAnsiTheme="majorBidi" w:cstheme="majorBidi"/>
        </w:rPr>
        <w:t xml:space="preserve"> the members of the former group to commit acts of persecution or genocide, but rather influenced their behaviour through incitement.</w:t>
      </w:r>
      <w:r w:rsidR="00250EF3" w:rsidRPr="00D8671A">
        <w:rPr>
          <w:rStyle w:val="FootnoteReference"/>
          <w:rFonts w:asciiTheme="majorBidi" w:hAnsiTheme="majorBidi" w:cstheme="majorBidi"/>
        </w:rPr>
        <w:footnoteReference w:id="210"/>
      </w:r>
      <w:r w:rsidR="00250EF3" w:rsidRPr="00D8671A">
        <w:rPr>
          <w:rFonts w:asciiTheme="majorBidi" w:hAnsiTheme="majorBidi" w:cstheme="majorBidi"/>
        </w:rPr>
        <w:t xml:space="preserve"> </w:t>
      </w:r>
      <w:r w:rsidR="00137AD5" w:rsidRPr="00D8671A">
        <w:rPr>
          <w:rFonts w:asciiTheme="majorBidi" w:hAnsiTheme="majorBidi" w:cstheme="majorBidi"/>
        </w:rPr>
        <w:t xml:space="preserve">The cases of co-perpetration also present many difficulties </w:t>
      </w:r>
      <w:r w:rsidR="00072FD1" w:rsidRPr="00D8671A">
        <w:rPr>
          <w:rFonts w:asciiTheme="majorBidi" w:hAnsiTheme="majorBidi" w:cstheme="majorBidi"/>
        </w:rPr>
        <w:t xml:space="preserve">in the context of mass atrocities, which </w:t>
      </w:r>
      <w:r w:rsidR="00137AD5" w:rsidRPr="00D8671A">
        <w:rPr>
          <w:rFonts w:asciiTheme="majorBidi" w:hAnsiTheme="majorBidi" w:cstheme="majorBidi"/>
        </w:rPr>
        <w:t xml:space="preserve">necessarily involve multiple </w:t>
      </w:r>
      <w:r w:rsidR="007A04FA" w:rsidRPr="00D8671A">
        <w:rPr>
          <w:rFonts w:asciiTheme="majorBidi" w:hAnsiTheme="majorBidi" w:cstheme="majorBidi"/>
        </w:rPr>
        <w:t>actors and aspects</w:t>
      </w:r>
      <w:r w:rsidR="00C109DC" w:rsidRPr="00D8671A">
        <w:rPr>
          <w:rFonts w:asciiTheme="majorBidi" w:hAnsiTheme="majorBidi" w:cstheme="majorBidi"/>
        </w:rPr>
        <w:t xml:space="preserve"> that impact the end result. </w:t>
      </w:r>
      <w:r w:rsidR="00250EF3" w:rsidRPr="00D8671A">
        <w:rPr>
          <w:rFonts w:asciiTheme="majorBidi" w:hAnsiTheme="majorBidi" w:cstheme="majorBidi"/>
        </w:rPr>
        <w:t>In that vein,</w:t>
      </w:r>
      <w:r w:rsidR="00F465FF" w:rsidRPr="00D8671A">
        <w:rPr>
          <w:rFonts w:asciiTheme="majorBidi" w:hAnsiTheme="majorBidi" w:cstheme="majorBidi"/>
        </w:rPr>
        <w:t xml:space="preserve"> one cannot be entirely certain that the recruitment of children in the Ituri region would have been avoided in the absence of Lubanga’s military involvement and speeches.  </w:t>
      </w:r>
    </w:p>
    <w:p w14:paraId="0615DEC0" w14:textId="12CCCB0E" w:rsidR="004B3BB4" w:rsidRPr="00D8671A" w:rsidRDefault="004B3BB4" w:rsidP="00566D5D">
      <w:pPr>
        <w:widowControl w:val="0"/>
        <w:autoSpaceDE w:val="0"/>
        <w:autoSpaceDN w:val="0"/>
        <w:adjustRightInd w:val="0"/>
        <w:spacing w:after="0" w:line="240" w:lineRule="auto"/>
        <w:ind w:firstLine="720"/>
        <w:rPr>
          <w:rFonts w:asciiTheme="majorBidi" w:hAnsiTheme="majorBidi" w:cstheme="majorBidi"/>
        </w:rPr>
      </w:pPr>
      <w:r w:rsidRPr="00D8671A">
        <w:rPr>
          <w:rFonts w:asciiTheme="majorBidi" w:hAnsiTheme="majorBidi" w:cstheme="majorBidi"/>
        </w:rPr>
        <w:t>Some quantification of contribution to the crime is nonetheless possible</w:t>
      </w:r>
      <w:r w:rsidR="003B751B" w:rsidRPr="00D8671A">
        <w:rPr>
          <w:rFonts w:asciiTheme="majorBidi" w:hAnsiTheme="majorBidi" w:cstheme="majorBidi"/>
        </w:rPr>
        <w:t xml:space="preserve"> and necessary</w:t>
      </w:r>
      <w:r w:rsidRPr="00D8671A">
        <w:rPr>
          <w:rFonts w:asciiTheme="majorBidi" w:hAnsiTheme="majorBidi" w:cstheme="majorBidi"/>
        </w:rPr>
        <w:t xml:space="preserve">, or even a marginal input would render a person criminally responsible, bringing about the unjust result of punishing only the guilty state of mind rather than the state of mind </w:t>
      </w:r>
      <w:r w:rsidRPr="00D8671A">
        <w:rPr>
          <w:rFonts w:asciiTheme="majorBidi" w:hAnsiTheme="majorBidi" w:cstheme="majorBidi"/>
          <w:i/>
        </w:rPr>
        <w:t>and</w:t>
      </w:r>
      <w:r w:rsidRPr="00D8671A">
        <w:rPr>
          <w:rFonts w:asciiTheme="majorBidi" w:hAnsiTheme="majorBidi" w:cstheme="majorBidi"/>
        </w:rPr>
        <w:t xml:space="preserve"> the conduct.</w:t>
      </w:r>
      <w:r w:rsidRPr="00D8671A">
        <w:rPr>
          <w:rStyle w:val="FootnoteReference"/>
          <w:rFonts w:asciiTheme="majorBidi" w:hAnsiTheme="majorBidi" w:cstheme="majorBidi"/>
        </w:rPr>
        <w:footnoteReference w:id="211"/>
      </w:r>
      <w:r w:rsidRPr="00D8671A">
        <w:rPr>
          <w:rFonts w:asciiTheme="majorBidi" w:hAnsiTheme="majorBidi" w:cstheme="majorBidi"/>
        </w:rPr>
        <w:t xml:space="preserve"> However, it seems more appropriate to talk about establishing the nature of assistance and its relevance to the crime rather than simply measuring it in the numerical terms. </w:t>
      </w:r>
      <w:r w:rsidR="004A78CE" w:rsidRPr="00D8671A">
        <w:rPr>
          <w:rFonts w:asciiTheme="majorBidi" w:hAnsiTheme="majorBidi" w:cstheme="majorBidi"/>
        </w:rPr>
        <w:t>If one talks about complicity, t</w:t>
      </w:r>
      <w:r w:rsidRPr="00D8671A">
        <w:rPr>
          <w:rFonts w:asciiTheme="majorBidi" w:hAnsiTheme="majorBidi" w:cstheme="majorBidi"/>
        </w:rPr>
        <w:t xml:space="preserve">wo more factors from the realm of culpability have to be placed in the background of any consideration of </w:t>
      </w:r>
      <w:r w:rsidR="003B751B" w:rsidRPr="00D8671A">
        <w:rPr>
          <w:rFonts w:asciiTheme="majorBidi" w:hAnsiTheme="majorBidi" w:cstheme="majorBidi"/>
        </w:rPr>
        <w:t xml:space="preserve">an </w:t>
      </w:r>
      <w:r w:rsidRPr="00D8671A">
        <w:rPr>
          <w:rFonts w:asciiTheme="majorBidi" w:hAnsiTheme="majorBidi" w:cstheme="majorBidi"/>
        </w:rPr>
        <w:t xml:space="preserve">accomplice’s input: his intent to contribute and the level of specificity of his knowledge about the crimes. </w:t>
      </w:r>
    </w:p>
    <w:p w14:paraId="100F1620" w14:textId="55968E55" w:rsidR="004B3BB4" w:rsidRPr="00D8671A" w:rsidRDefault="004B3BB4" w:rsidP="00D8671A">
      <w:pPr>
        <w:widowControl w:val="0"/>
        <w:autoSpaceDE w:val="0"/>
        <w:autoSpaceDN w:val="0"/>
        <w:adjustRightInd w:val="0"/>
        <w:spacing w:after="0" w:line="240" w:lineRule="auto"/>
        <w:rPr>
          <w:rFonts w:asciiTheme="majorBidi" w:hAnsiTheme="majorBidi" w:cstheme="majorBidi"/>
        </w:rPr>
      </w:pPr>
      <w:r w:rsidRPr="00D8671A">
        <w:rPr>
          <w:rFonts w:asciiTheme="majorBidi" w:hAnsiTheme="majorBidi" w:cstheme="majorBidi"/>
        </w:rPr>
        <w:t xml:space="preserve">The facts of a particular case usually permit an evaluation as to whether the contribution had </w:t>
      </w:r>
      <w:r w:rsidRPr="00D8671A">
        <w:rPr>
          <w:rFonts w:asciiTheme="majorBidi" w:hAnsiTheme="majorBidi" w:cstheme="majorBidi"/>
          <w:i/>
        </w:rPr>
        <w:t xml:space="preserve">some </w:t>
      </w:r>
      <w:r w:rsidRPr="00D8671A">
        <w:rPr>
          <w:rFonts w:asciiTheme="majorBidi" w:hAnsiTheme="majorBidi" w:cstheme="majorBidi"/>
        </w:rPr>
        <w:t xml:space="preserve">effect on the commission of the crime. This appears to be a reasonable approach. The </w:t>
      </w:r>
      <w:r w:rsidRPr="00D8671A">
        <w:rPr>
          <w:rFonts w:asciiTheme="majorBidi" w:hAnsiTheme="majorBidi" w:cstheme="majorBidi"/>
          <w:i/>
        </w:rPr>
        <w:t xml:space="preserve">Mbarushimana </w:t>
      </w:r>
      <w:r w:rsidRPr="00D8671A">
        <w:rPr>
          <w:rFonts w:asciiTheme="majorBidi" w:hAnsiTheme="majorBidi" w:cstheme="majorBidi"/>
        </w:rPr>
        <w:t>Pre-Trial</w:t>
      </w:r>
      <w:r w:rsidRPr="00D8671A">
        <w:rPr>
          <w:rFonts w:asciiTheme="majorBidi" w:hAnsiTheme="majorBidi" w:cstheme="majorBidi"/>
          <w:i/>
        </w:rPr>
        <w:t xml:space="preserve"> </w:t>
      </w:r>
      <w:r w:rsidRPr="00D8671A">
        <w:rPr>
          <w:rFonts w:asciiTheme="majorBidi" w:hAnsiTheme="majorBidi" w:cstheme="majorBidi"/>
        </w:rPr>
        <w:t xml:space="preserve">Chamber and the </w:t>
      </w:r>
      <w:r w:rsidRPr="00D8671A">
        <w:rPr>
          <w:rFonts w:asciiTheme="majorBidi" w:hAnsiTheme="majorBidi" w:cstheme="majorBidi"/>
          <w:i/>
        </w:rPr>
        <w:t>Katanga</w:t>
      </w:r>
      <w:r w:rsidRPr="00D8671A">
        <w:rPr>
          <w:rFonts w:asciiTheme="majorBidi" w:hAnsiTheme="majorBidi" w:cstheme="majorBidi"/>
        </w:rPr>
        <w:t xml:space="preserve"> Trial Chambers took a step in this direction by noting that determination as to which contributions are significant requires a case-by-case assessment in the proper context.</w:t>
      </w:r>
      <w:r w:rsidRPr="00D8671A">
        <w:rPr>
          <w:rStyle w:val="FootnoteReference"/>
          <w:rFonts w:asciiTheme="majorBidi" w:hAnsiTheme="majorBidi" w:cstheme="majorBidi"/>
        </w:rPr>
        <w:footnoteReference w:id="212"/>
      </w:r>
      <w:r w:rsidRPr="00D8671A">
        <w:rPr>
          <w:rFonts w:asciiTheme="majorBidi" w:hAnsiTheme="majorBidi" w:cstheme="majorBidi"/>
        </w:rPr>
        <w:t xml:space="preserve"> It seems, however, that the ICC is still in search of the right formula for evaluating the effect of accomplice’s assistance on the crime. The </w:t>
      </w:r>
      <w:r w:rsidRPr="00D8671A">
        <w:rPr>
          <w:rFonts w:asciiTheme="majorBidi" w:hAnsiTheme="majorBidi" w:cstheme="majorBidi"/>
          <w:i/>
        </w:rPr>
        <w:t>Mbarushimana</w:t>
      </w:r>
      <w:r w:rsidRPr="00D8671A">
        <w:rPr>
          <w:rFonts w:asciiTheme="majorBidi" w:hAnsiTheme="majorBidi" w:cstheme="majorBidi"/>
        </w:rPr>
        <w:t xml:space="preserve"> Chamber could not refrain from providing some indicators regarding what amounts to significant contributions. These included the role played by the suspect vis-à-vis the seriousness and scope of the crimes committed or the sustained nature of the participation after acquiring knowledge of the criminality of the group's common purpose.</w:t>
      </w:r>
      <w:r w:rsidR="009923EC" w:rsidRPr="00D8671A">
        <w:rPr>
          <w:rStyle w:val="FootnoteReference"/>
          <w:rFonts w:asciiTheme="majorBidi" w:hAnsiTheme="majorBidi" w:cstheme="majorBidi"/>
        </w:rPr>
        <w:footnoteReference w:id="213"/>
      </w:r>
      <w:r w:rsidRPr="00D8671A">
        <w:rPr>
          <w:rFonts w:asciiTheme="majorBidi" w:hAnsiTheme="majorBidi" w:cstheme="majorBidi"/>
        </w:rPr>
        <w:t xml:space="preserve"> These indicators are useful in assessing the input of the suspect or accused, but can just as well be used to determine the contribution that is </w:t>
      </w:r>
      <w:r w:rsidR="00AC73B9" w:rsidRPr="00D8671A">
        <w:rPr>
          <w:rFonts w:asciiTheme="majorBidi" w:hAnsiTheme="majorBidi" w:cstheme="majorBidi"/>
        </w:rPr>
        <w:t>“</w:t>
      </w:r>
      <w:r w:rsidRPr="00D8671A">
        <w:rPr>
          <w:rFonts w:asciiTheme="majorBidi" w:hAnsiTheme="majorBidi" w:cstheme="majorBidi"/>
        </w:rPr>
        <w:t>essential</w:t>
      </w:r>
      <w:r w:rsidR="00AC73B9" w:rsidRPr="00D8671A">
        <w:rPr>
          <w:rFonts w:asciiTheme="majorBidi" w:hAnsiTheme="majorBidi" w:cstheme="majorBidi"/>
        </w:rPr>
        <w:t>”</w:t>
      </w:r>
      <w:r w:rsidRPr="00D8671A">
        <w:rPr>
          <w:rFonts w:asciiTheme="majorBidi" w:hAnsiTheme="majorBidi" w:cstheme="majorBidi"/>
        </w:rPr>
        <w:t xml:space="preserve"> and </w:t>
      </w:r>
      <w:r w:rsidR="00AC73B9" w:rsidRPr="00D8671A">
        <w:rPr>
          <w:rFonts w:asciiTheme="majorBidi" w:hAnsiTheme="majorBidi" w:cstheme="majorBidi"/>
        </w:rPr>
        <w:t>“</w:t>
      </w:r>
      <w:r w:rsidRPr="00D8671A">
        <w:rPr>
          <w:rFonts w:asciiTheme="majorBidi" w:hAnsiTheme="majorBidi" w:cstheme="majorBidi"/>
        </w:rPr>
        <w:t>substantial</w:t>
      </w:r>
      <w:r w:rsidR="00AC73B9" w:rsidRPr="00D8671A">
        <w:rPr>
          <w:rFonts w:asciiTheme="majorBidi" w:hAnsiTheme="majorBidi" w:cstheme="majorBidi"/>
        </w:rPr>
        <w:t>”</w:t>
      </w:r>
      <w:r w:rsidRPr="00D8671A">
        <w:rPr>
          <w:rFonts w:asciiTheme="majorBidi" w:hAnsiTheme="majorBidi" w:cstheme="majorBidi"/>
        </w:rPr>
        <w:t xml:space="preserve">, and not necessarily </w:t>
      </w:r>
      <w:r w:rsidR="00AC73B9" w:rsidRPr="00D8671A">
        <w:rPr>
          <w:rFonts w:asciiTheme="majorBidi" w:hAnsiTheme="majorBidi" w:cstheme="majorBidi"/>
        </w:rPr>
        <w:t>“</w:t>
      </w:r>
      <w:r w:rsidRPr="00D8671A">
        <w:rPr>
          <w:rFonts w:asciiTheme="majorBidi" w:hAnsiTheme="majorBidi" w:cstheme="majorBidi"/>
        </w:rPr>
        <w:t>significant</w:t>
      </w:r>
      <w:r w:rsidR="00AC73B9" w:rsidRPr="00D8671A">
        <w:rPr>
          <w:rFonts w:asciiTheme="majorBidi" w:hAnsiTheme="majorBidi" w:cstheme="majorBidi"/>
        </w:rPr>
        <w:t>”</w:t>
      </w:r>
      <w:r w:rsidRPr="00D8671A">
        <w:rPr>
          <w:rFonts w:asciiTheme="majorBidi" w:hAnsiTheme="majorBidi" w:cstheme="majorBidi"/>
        </w:rPr>
        <w:t xml:space="preserve">. </w:t>
      </w:r>
    </w:p>
    <w:p w14:paraId="2DD08575" w14:textId="654CA7BA" w:rsidR="004B3BB4" w:rsidRPr="00D8671A" w:rsidRDefault="004B3BB4" w:rsidP="00566D5D">
      <w:pPr>
        <w:widowControl w:val="0"/>
        <w:autoSpaceDE w:val="0"/>
        <w:autoSpaceDN w:val="0"/>
        <w:adjustRightInd w:val="0"/>
        <w:spacing w:after="0" w:line="240" w:lineRule="auto"/>
        <w:ind w:firstLine="207"/>
        <w:rPr>
          <w:rFonts w:asciiTheme="majorBidi" w:hAnsiTheme="majorBidi" w:cstheme="majorBidi"/>
        </w:rPr>
      </w:pPr>
      <w:r w:rsidRPr="00D8671A">
        <w:rPr>
          <w:rFonts w:asciiTheme="majorBidi" w:hAnsiTheme="majorBidi" w:cstheme="majorBidi"/>
        </w:rPr>
        <w:t xml:space="preserve">Consequently, the level of contribution has to be at a certain level in order to attract </w:t>
      </w:r>
      <w:r w:rsidRPr="00D8671A">
        <w:rPr>
          <w:rFonts w:asciiTheme="majorBidi" w:hAnsiTheme="majorBidi" w:cstheme="majorBidi"/>
          <w:i/>
        </w:rPr>
        <w:t xml:space="preserve">any </w:t>
      </w:r>
      <w:r w:rsidRPr="00D8671A">
        <w:rPr>
          <w:rFonts w:asciiTheme="majorBidi" w:hAnsiTheme="majorBidi" w:cstheme="majorBidi"/>
        </w:rPr>
        <w:t xml:space="preserve">liability, but it cannot serve as an instrument for grading modes of liability and establishing a hierarchy. </w:t>
      </w:r>
      <w:r w:rsidR="009E1DEA" w:rsidRPr="00D8671A">
        <w:rPr>
          <w:rFonts w:asciiTheme="majorBidi" w:eastAsiaTheme="minorEastAsia" w:hAnsiTheme="majorBidi" w:cstheme="majorBidi"/>
          <w:lang w:val="en-US"/>
        </w:rPr>
        <w:t xml:space="preserve">Alternative recommendations may include reinforcing the analysis of the accused’s mental state on the basis of sufficiently detailed evidence, and assessing “neutral” or </w:t>
      </w:r>
      <w:r w:rsidR="009E1DEA" w:rsidRPr="00D8671A">
        <w:rPr>
          <w:rFonts w:asciiTheme="majorBidi" w:eastAsiaTheme="minorEastAsia" w:hAnsiTheme="majorBidi" w:cstheme="majorBidi"/>
          <w:lang w:val="en-US"/>
        </w:rPr>
        <w:lastRenderedPageBreak/>
        <w:t>“generic” input, emphasizing the link between the crime and the assistance, rather than the amount of the contribution in question.</w:t>
      </w:r>
    </w:p>
    <w:p w14:paraId="339CA1B3" w14:textId="77777777" w:rsidR="004B3BB4" w:rsidRPr="00D8671A" w:rsidRDefault="004B3BB4" w:rsidP="00D8671A">
      <w:pPr>
        <w:pStyle w:val="Heading2"/>
        <w:spacing w:before="0" w:line="240" w:lineRule="auto"/>
        <w:ind w:left="567"/>
        <w:rPr>
          <w:rFonts w:asciiTheme="majorBidi" w:hAnsiTheme="majorBidi"/>
          <w:color w:val="auto"/>
          <w:sz w:val="22"/>
          <w:szCs w:val="22"/>
        </w:rPr>
      </w:pPr>
      <w:bookmarkStart w:id="12" w:name="_Toc250621147"/>
      <w:bookmarkStart w:id="13" w:name="_Toc251494091"/>
      <w:bookmarkStart w:id="14" w:name="_Toc251518906"/>
      <w:r w:rsidRPr="00D8671A">
        <w:rPr>
          <w:rFonts w:asciiTheme="majorBidi" w:hAnsiTheme="majorBidi"/>
          <w:color w:val="auto"/>
          <w:sz w:val="22"/>
          <w:szCs w:val="22"/>
        </w:rPr>
        <w:t>Conclusion</w:t>
      </w:r>
      <w:bookmarkEnd w:id="12"/>
      <w:bookmarkEnd w:id="13"/>
      <w:bookmarkEnd w:id="14"/>
    </w:p>
    <w:p w14:paraId="1AF41719" w14:textId="4224445C" w:rsidR="004B3BB4" w:rsidRPr="00D8671A" w:rsidRDefault="0073286C" w:rsidP="00BE3AE2">
      <w:pPr>
        <w:spacing w:after="0" w:line="240" w:lineRule="auto"/>
        <w:rPr>
          <w:rFonts w:asciiTheme="majorBidi" w:hAnsiTheme="majorBidi" w:cstheme="majorBidi"/>
        </w:rPr>
      </w:pPr>
      <w:r w:rsidRPr="00D8671A">
        <w:rPr>
          <w:rFonts w:asciiTheme="majorBidi" w:hAnsiTheme="majorBidi" w:cstheme="majorBidi"/>
        </w:rPr>
        <w:t xml:space="preserve">While Article 25(3) of the Rome Statute remains </w:t>
      </w:r>
      <w:r w:rsidR="004B3BB4" w:rsidRPr="00D8671A">
        <w:rPr>
          <w:rFonts w:asciiTheme="majorBidi" w:hAnsiTheme="majorBidi" w:cstheme="majorBidi"/>
        </w:rPr>
        <w:t xml:space="preserve">the most detailed contemporary statement of the </w:t>
      </w:r>
      <w:r w:rsidR="009923EC" w:rsidRPr="00D8671A">
        <w:rPr>
          <w:rFonts w:asciiTheme="majorBidi" w:hAnsiTheme="majorBidi" w:cstheme="majorBidi"/>
        </w:rPr>
        <w:t>forms</w:t>
      </w:r>
      <w:r w:rsidR="004B3BB4" w:rsidRPr="00D8671A">
        <w:rPr>
          <w:rFonts w:asciiTheme="majorBidi" w:hAnsiTheme="majorBidi" w:cstheme="majorBidi"/>
        </w:rPr>
        <w:t xml:space="preserve"> of responsibility in international criminal law, </w:t>
      </w:r>
      <w:r w:rsidRPr="00D8671A">
        <w:rPr>
          <w:rFonts w:asciiTheme="majorBidi" w:hAnsiTheme="majorBidi" w:cstheme="majorBidi"/>
        </w:rPr>
        <w:t xml:space="preserve">it still requires </w:t>
      </w:r>
      <w:r w:rsidR="004B3BB4" w:rsidRPr="00D8671A">
        <w:rPr>
          <w:rFonts w:asciiTheme="majorBidi" w:hAnsiTheme="majorBidi" w:cstheme="majorBidi"/>
        </w:rPr>
        <w:t xml:space="preserve">further interpretation. </w:t>
      </w:r>
      <w:r w:rsidR="004F7288" w:rsidRPr="00D8671A">
        <w:rPr>
          <w:rFonts w:asciiTheme="majorBidi" w:hAnsiTheme="majorBidi" w:cstheme="majorBidi"/>
        </w:rPr>
        <w:t xml:space="preserve">The two convictions discussed in detail in this article demonstrate a number of difficulties the ICC faces when choosing and applying different </w:t>
      </w:r>
      <w:r w:rsidR="00BF48E6" w:rsidRPr="00D8671A">
        <w:rPr>
          <w:rFonts w:asciiTheme="majorBidi" w:hAnsiTheme="majorBidi" w:cstheme="majorBidi"/>
        </w:rPr>
        <w:t>modes of liability</w:t>
      </w:r>
      <w:r w:rsidR="004F7288" w:rsidRPr="00D8671A">
        <w:rPr>
          <w:rFonts w:asciiTheme="majorBidi" w:hAnsiTheme="majorBidi" w:cstheme="majorBidi"/>
        </w:rPr>
        <w:t>s.</w:t>
      </w:r>
      <w:r w:rsidR="00F337E1" w:rsidRPr="00D8671A">
        <w:rPr>
          <w:rFonts w:asciiTheme="majorBidi" w:hAnsiTheme="majorBidi" w:cstheme="majorBidi"/>
        </w:rPr>
        <w:t xml:space="preserve"> It appears that </w:t>
      </w:r>
      <w:r w:rsidR="006B61B7" w:rsidRPr="00D8671A">
        <w:rPr>
          <w:rFonts w:asciiTheme="majorBidi" w:hAnsiTheme="majorBidi" w:cstheme="majorBidi"/>
        </w:rPr>
        <w:t>particularly</w:t>
      </w:r>
      <w:r w:rsidR="00F337E1" w:rsidRPr="00D8671A">
        <w:rPr>
          <w:rFonts w:asciiTheme="majorBidi" w:hAnsiTheme="majorBidi" w:cstheme="majorBidi"/>
        </w:rPr>
        <w:t xml:space="preserve"> </w:t>
      </w:r>
      <w:r w:rsidR="000E7045" w:rsidRPr="00D8671A">
        <w:rPr>
          <w:rFonts w:asciiTheme="majorBidi" w:hAnsiTheme="majorBidi" w:cstheme="majorBidi"/>
        </w:rPr>
        <w:t xml:space="preserve">complex </w:t>
      </w:r>
      <w:r w:rsidR="00F337E1" w:rsidRPr="00D8671A">
        <w:rPr>
          <w:rFonts w:asciiTheme="majorBidi" w:hAnsiTheme="majorBidi" w:cstheme="majorBidi"/>
        </w:rPr>
        <w:t xml:space="preserve">issues </w:t>
      </w:r>
      <w:r w:rsidRPr="00D8671A">
        <w:rPr>
          <w:rFonts w:asciiTheme="majorBidi" w:hAnsiTheme="majorBidi" w:cstheme="majorBidi"/>
        </w:rPr>
        <w:t xml:space="preserve">include </w:t>
      </w:r>
      <w:r w:rsidR="000E7045" w:rsidRPr="00D8671A">
        <w:rPr>
          <w:rFonts w:asciiTheme="majorBidi" w:hAnsiTheme="majorBidi" w:cstheme="majorBidi"/>
        </w:rPr>
        <w:t xml:space="preserve">assessing the evidence to establish the mental state of the accused, </w:t>
      </w:r>
      <w:r w:rsidR="00A3744C" w:rsidRPr="00D8671A">
        <w:rPr>
          <w:rFonts w:asciiTheme="majorBidi" w:hAnsiTheme="majorBidi" w:cstheme="majorBidi"/>
        </w:rPr>
        <w:t>constructing</w:t>
      </w:r>
      <w:r w:rsidR="007F6574" w:rsidRPr="00D8671A">
        <w:rPr>
          <w:rFonts w:asciiTheme="majorBidi" w:hAnsiTheme="majorBidi" w:cstheme="majorBidi"/>
        </w:rPr>
        <w:t xml:space="preserve"> </w:t>
      </w:r>
      <w:r w:rsidR="00D50229" w:rsidRPr="00D8671A">
        <w:rPr>
          <w:rFonts w:asciiTheme="majorBidi" w:hAnsiTheme="majorBidi" w:cstheme="majorBidi"/>
        </w:rPr>
        <w:t>the</w:t>
      </w:r>
      <w:r w:rsidR="007F6574" w:rsidRPr="00D8671A">
        <w:rPr>
          <w:rFonts w:asciiTheme="majorBidi" w:hAnsiTheme="majorBidi" w:cstheme="majorBidi"/>
        </w:rPr>
        <w:t xml:space="preserve"> link between the accused and the crime, </w:t>
      </w:r>
      <w:r w:rsidR="000E7045" w:rsidRPr="00D8671A">
        <w:rPr>
          <w:rFonts w:asciiTheme="majorBidi" w:hAnsiTheme="majorBidi" w:cstheme="majorBidi"/>
        </w:rPr>
        <w:t xml:space="preserve">developing methodology for interpreting the sources of law, and defining the “group” requirement.  </w:t>
      </w:r>
    </w:p>
    <w:p w14:paraId="6D2DB491" w14:textId="29E7FAF4" w:rsidR="004B3BB4" w:rsidRPr="00D8671A" w:rsidRDefault="004B3BB4" w:rsidP="00D8671A">
      <w:pPr>
        <w:spacing w:after="0" w:line="240" w:lineRule="auto"/>
        <w:rPr>
          <w:rFonts w:asciiTheme="majorBidi" w:hAnsiTheme="majorBidi" w:cstheme="majorBidi"/>
        </w:rPr>
      </w:pPr>
      <w:r w:rsidRPr="00D8671A">
        <w:rPr>
          <w:rFonts w:asciiTheme="majorBidi" w:hAnsiTheme="majorBidi" w:cstheme="majorBidi"/>
        </w:rPr>
        <w:t xml:space="preserve">Until recently, the ICC has used different forms of complicity - embodied in Article 25(3)(b)-(d) </w:t>
      </w:r>
      <w:r w:rsidR="0073286C" w:rsidRPr="00D8671A">
        <w:rPr>
          <w:rFonts w:asciiTheme="majorBidi" w:hAnsiTheme="majorBidi" w:cstheme="majorBidi"/>
        </w:rPr>
        <w:t>–</w:t>
      </w:r>
      <w:r w:rsidRPr="00D8671A">
        <w:rPr>
          <w:rFonts w:asciiTheme="majorBidi" w:hAnsiTheme="majorBidi" w:cstheme="majorBidi"/>
        </w:rPr>
        <w:t xml:space="preserve"> </w:t>
      </w:r>
      <w:r w:rsidR="0073286C" w:rsidRPr="00D8671A">
        <w:rPr>
          <w:rFonts w:asciiTheme="majorBidi" w:hAnsiTheme="majorBidi" w:cstheme="majorBidi"/>
        </w:rPr>
        <w:t xml:space="preserve">rarely </w:t>
      </w:r>
      <w:r w:rsidRPr="00D8671A">
        <w:rPr>
          <w:rFonts w:asciiTheme="majorBidi" w:hAnsiTheme="majorBidi" w:cstheme="majorBidi"/>
        </w:rPr>
        <w:t xml:space="preserve">and with reluctance. The explanation for this could be the </w:t>
      </w:r>
      <w:r w:rsidR="0073286C" w:rsidRPr="00D8671A">
        <w:rPr>
          <w:rFonts w:asciiTheme="majorBidi" w:hAnsiTheme="majorBidi" w:cstheme="majorBidi"/>
        </w:rPr>
        <w:t xml:space="preserve">established </w:t>
      </w:r>
      <w:r w:rsidR="00C06A3C" w:rsidRPr="00D8671A">
        <w:rPr>
          <w:rFonts w:asciiTheme="majorBidi" w:hAnsiTheme="majorBidi" w:cstheme="majorBidi"/>
        </w:rPr>
        <w:t xml:space="preserve">position </w:t>
      </w:r>
      <w:r w:rsidR="00DD4F28" w:rsidRPr="00D8671A">
        <w:rPr>
          <w:rFonts w:asciiTheme="majorBidi" w:hAnsiTheme="majorBidi" w:cstheme="majorBidi"/>
        </w:rPr>
        <w:t>that</w:t>
      </w:r>
      <w:r w:rsidR="00C06A3C" w:rsidRPr="00D8671A">
        <w:rPr>
          <w:rFonts w:asciiTheme="majorBidi" w:hAnsiTheme="majorBidi" w:cstheme="majorBidi"/>
        </w:rPr>
        <w:t xml:space="preserve"> </w:t>
      </w:r>
      <w:r w:rsidR="00DD4F28" w:rsidRPr="00D8671A">
        <w:rPr>
          <w:rFonts w:asciiTheme="majorBidi" w:hAnsiTheme="majorBidi" w:cstheme="majorBidi"/>
        </w:rPr>
        <w:t>a</w:t>
      </w:r>
      <w:r w:rsidR="00C06A3C" w:rsidRPr="00D8671A">
        <w:rPr>
          <w:rFonts w:asciiTheme="majorBidi" w:hAnsiTheme="majorBidi" w:cstheme="majorBidi"/>
        </w:rPr>
        <w:t xml:space="preserve"> value-based </w:t>
      </w:r>
      <w:r w:rsidRPr="00D8671A">
        <w:rPr>
          <w:rFonts w:asciiTheme="majorBidi" w:hAnsiTheme="majorBidi" w:cstheme="majorBidi"/>
        </w:rPr>
        <w:t xml:space="preserve">hierarchy of the modes of participation </w:t>
      </w:r>
      <w:r w:rsidR="00DD4F28" w:rsidRPr="00D8671A">
        <w:rPr>
          <w:rFonts w:asciiTheme="majorBidi" w:hAnsiTheme="majorBidi" w:cstheme="majorBidi"/>
        </w:rPr>
        <w:t xml:space="preserve">is </w:t>
      </w:r>
      <w:r w:rsidRPr="00D8671A">
        <w:rPr>
          <w:rFonts w:asciiTheme="majorBidi" w:hAnsiTheme="majorBidi" w:cstheme="majorBidi"/>
        </w:rPr>
        <w:t xml:space="preserve">implicit in the Rome Statute.  This assumption in turn created a pressure on the court to utilize the </w:t>
      </w:r>
      <w:r w:rsidR="00AC73B9" w:rsidRPr="00D8671A">
        <w:rPr>
          <w:rFonts w:asciiTheme="majorBidi" w:hAnsiTheme="majorBidi" w:cstheme="majorBidi"/>
        </w:rPr>
        <w:t>“</w:t>
      </w:r>
      <w:r w:rsidRPr="00D8671A">
        <w:rPr>
          <w:rFonts w:asciiTheme="majorBidi" w:hAnsiTheme="majorBidi" w:cstheme="majorBidi"/>
        </w:rPr>
        <w:t>stronger</w:t>
      </w:r>
      <w:r w:rsidR="00AC73B9" w:rsidRPr="00D8671A">
        <w:rPr>
          <w:rFonts w:asciiTheme="majorBidi" w:hAnsiTheme="majorBidi" w:cstheme="majorBidi"/>
        </w:rPr>
        <w:t>”</w:t>
      </w:r>
      <w:r w:rsidRPr="00D8671A">
        <w:rPr>
          <w:rFonts w:asciiTheme="majorBidi" w:hAnsiTheme="majorBidi" w:cstheme="majorBidi"/>
        </w:rPr>
        <w:t xml:space="preserve"> mode of participation – commission under Article 25(3)(a) – to reflect the gravity of the crimes </w:t>
      </w:r>
      <w:r w:rsidR="0073286C" w:rsidRPr="00D8671A">
        <w:rPr>
          <w:rFonts w:asciiTheme="majorBidi" w:hAnsiTheme="majorBidi" w:cstheme="majorBidi"/>
        </w:rPr>
        <w:t xml:space="preserve">that fall within </w:t>
      </w:r>
      <w:r w:rsidRPr="00D8671A">
        <w:rPr>
          <w:rFonts w:asciiTheme="majorBidi" w:hAnsiTheme="majorBidi" w:cstheme="majorBidi"/>
        </w:rPr>
        <w:t xml:space="preserve">the jurisdiction of the ICC. </w:t>
      </w:r>
      <w:r w:rsidR="00DD4F28" w:rsidRPr="00D8671A">
        <w:rPr>
          <w:rFonts w:asciiTheme="majorBidi" w:hAnsiTheme="majorBidi" w:cstheme="majorBidi"/>
        </w:rPr>
        <w:t xml:space="preserve">Despite the fact that the </w:t>
      </w:r>
      <w:r w:rsidR="00DD4F28" w:rsidRPr="00D8671A">
        <w:rPr>
          <w:rFonts w:asciiTheme="majorBidi" w:hAnsiTheme="majorBidi" w:cstheme="majorBidi"/>
          <w:i/>
        </w:rPr>
        <w:t xml:space="preserve">Lubanga </w:t>
      </w:r>
      <w:r w:rsidR="00DD4F28" w:rsidRPr="00D8671A">
        <w:rPr>
          <w:rFonts w:asciiTheme="majorBidi" w:hAnsiTheme="majorBidi" w:cstheme="majorBidi"/>
        </w:rPr>
        <w:t xml:space="preserve">Appeals Chamber </w:t>
      </w:r>
      <w:r w:rsidR="006B61B7" w:rsidRPr="00D8671A">
        <w:rPr>
          <w:rFonts w:asciiTheme="majorBidi" w:hAnsiTheme="majorBidi" w:cstheme="majorBidi"/>
        </w:rPr>
        <w:t xml:space="preserve">recently </w:t>
      </w:r>
      <w:r w:rsidR="00DD4F28" w:rsidRPr="00D8671A">
        <w:rPr>
          <w:rFonts w:asciiTheme="majorBidi" w:hAnsiTheme="majorBidi" w:cstheme="majorBidi"/>
        </w:rPr>
        <w:t xml:space="preserve">upheld the existence of the hierarchy of </w:t>
      </w:r>
      <w:r w:rsidR="00BF48E6" w:rsidRPr="00D8671A">
        <w:rPr>
          <w:rFonts w:asciiTheme="majorBidi" w:hAnsiTheme="majorBidi" w:cstheme="majorBidi"/>
        </w:rPr>
        <w:t>modes of liability</w:t>
      </w:r>
      <w:r w:rsidR="00DD4F28" w:rsidRPr="00D8671A">
        <w:rPr>
          <w:rFonts w:asciiTheme="majorBidi" w:hAnsiTheme="majorBidi" w:cstheme="majorBidi"/>
        </w:rPr>
        <w:t>s, t</w:t>
      </w:r>
      <w:r w:rsidRPr="00D8671A">
        <w:rPr>
          <w:rFonts w:asciiTheme="majorBidi" w:hAnsiTheme="majorBidi" w:cstheme="majorBidi"/>
        </w:rPr>
        <w:t xml:space="preserve">he </w:t>
      </w:r>
      <w:r w:rsidR="00DD4F28" w:rsidRPr="00D8671A">
        <w:rPr>
          <w:rFonts w:asciiTheme="majorBidi" w:hAnsiTheme="majorBidi" w:cstheme="majorBidi"/>
        </w:rPr>
        <w:t>matter does not appear entirely settled</w:t>
      </w:r>
      <w:r w:rsidRPr="00D8671A">
        <w:rPr>
          <w:rFonts w:asciiTheme="majorBidi" w:hAnsiTheme="majorBidi" w:cstheme="majorBidi"/>
        </w:rPr>
        <w:t xml:space="preserve"> with the second conviction</w:t>
      </w:r>
      <w:r w:rsidR="006B61B7" w:rsidRPr="00D8671A">
        <w:rPr>
          <w:rFonts w:asciiTheme="majorBidi" w:hAnsiTheme="majorBidi" w:cstheme="majorBidi"/>
        </w:rPr>
        <w:t xml:space="preserve"> in </w:t>
      </w:r>
      <w:r w:rsidR="006B61B7" w:rsidRPr="00D8671A">
        <w:rPr>
          <w:rFonts w:asciiTheme="majorBidi" w:hAnsiTheme="majorBidi" w:cstheme="majorBidi"/>
          <w:i/>
        </w:rPr>
        <w:t>Katanga</w:t>
      </w:r>
      <w:r w:rsidRPr="00D8671A">
        <w:rPr>
          <w:rFonts w:asciiTheme="majorBidi" w:hAnsiTheme="majorBidi" w:cstheme="majorBidi"/>
        </w:rPr>
        <w:t xml:space="preserve"> rendered under Article 25(3)(d)</w:t>
      </w:r>
      <w:r w:rsidR="00DD4F28" w:rsidRPr="00D8671A">
        <w:rPr>
          <w:rFonts w:asciiTheme="majorBidi" w:hAnsiTheme="majorBidi" w:cstheme="majorBidi"/>
        </w:rPr>
        <w:t xml:space="preserve"> and various forms of complicity </w:t>
      </w:r>
      <w:r w:rsidR="006B61B7" w:rsidRPr="00D8671A">
        <w:rPr>
          <w:rFonts w:asciiTheme="majorBidi" w:hAnsiTheme="majorBidi" w:cstheme="majorBidi"/>
        </w:rPr>
        <w:t>making its way in</w:t>
      </w:r>
      <w:r w:rsidR="00A3744C" w:rsidRPr="00D8671A">
        <w:rPr>
          <w:rFonts w:asciiTheme="majorBidi" w:hAnsiTheme="majorBidi" w:cstheme="majorBidi"/>
        </w:rPr>
        <w:t>to</w:t>
      </w:r>
      <w:r w:rsidR="006B61B7" w:rsidRPr="00D8671A">
        <w:rPr>
          <w:rFonts w:asciiTheme="majorBidi" w:hAnsiTheme="majorBidi" w:cstheme="majorBidi"/>
        </w:rPr>
        <w:t xml:space="preserve"> the jurisprudence of the court</w:t>
      </w:r>
      <w:r w:rsidRPr="00D8671A">
        <w:rPr>
          <w:rFonts w:asciiTheme="majorBidi" w:hAnsiTheme="majorBidi" w:cstheme="majorBidi"/>
        </w:rPr>
        <w:t xml:space="preserve">. Indeed, the </w:t>
      </w:r>
      <w:r w:rsidR="0073286C" w:rsidRPr="00D8671A">
        <w:rPr>
          <w:rFonts w:asciiTheme="majorBidi" w:hAnsiTheme="majorBidi" w:cstheme="majorBidi"/>
        </w:rPr>
        <w:t xml:space="preserve">assumption </w:t>
      </w:r>
      <w:r w:rsidRPr="00D8671A">
        <w:rPr>
          <w:rFonts w:asciiTheme="majorBidi" w:hAnsiTheme="majorBidi" w:cstheme="majorBidi"/>
        </w:rPr>
        <w:t xml:space="preserve">that the </w:t>
      </w:r>
      <w:r w:rsidR="00ED3589" w:rsidRPr="00D8671A">
        <w:rPr>
          <w:rFonts w:asciiTheme="majorBidi" w:hAnsiTheme="majorBidi" w:cstheme="majorBidi"/>
        </w:rPr>
        <w:t xml:space="preserve">forms </w:t>
      </w:r>
      <w:r w:rsidRPr="00D8671A">
        <w:rPr>
          <w:rFonts w:asciiTheme="majorBidi" w:hAnsiTheme="majorBidi" w:cstheme="majorBidi"/>
        </w:rPr>
        <w:t xml:space="preserve">of participations are ranked is questionable because it is not supported by the Rome Statute or </w:t>
      </w:r>
      <w:r w:rsidRPr="00D8671A">
        <w:rPr>
          <w:rFonts w:asciiTheme="majorBidi" w:hAnsiTheme="majorBidi" w:cstheme="majorBidi"/>
          <w:i/>
        </w:rPr>
        <w:t>travaux preparatoire</w:t>
      </w:r>
      <w:r w:rsidRPr="00D8671A">
        <w:rPr>
          <w:rFonts w:asciiTheme="majorBidi" w:hAnsiTheme="majorBidi" w:cstheme="majorBidi"/>
        </w:rPr>
        <w:t xml:space="preserve">. The hierarchy does not follow from the original German control over crime doctrine or the sentencing provisions in the Statute, which do not distinguish between different </w:t>
      </w:r>
      <w:r w:rsidR="00BF48E6" w:rsidRPr="00D8671A">
        <w:rPr>
          <w:rFonts w:asciiTheme="majorBidi" w:hAnsiTheme="majorBidi" w:cstheme="majorBidi"/>
        </w:rPr>
        <w:t>modes of liability</w:t>
      </w:r>
      <w:r w:rsidRPr="00D8671A">
        <w:rPr>
          <w:rFonts w:asciiTheme="majorBidi" w:hAnsiTheme="majorBidi" w:cstheme="majorBidi"/>
        </w:rPr>
        <w:t xml:space="preserve">s for sentencing purposes. </w:t>
      </w:r>
    </w:p>
    <w:p w14:paraId="1AFAB767" w14:textId="7E3CDDA0" w:rsidR="00E550EF" w:rsidRPr="00D8671A" w:rsidRDefault="004B3BB4" w:rsidP="00D8671A">
      <w:pPr>
        <w:spacing w:after="0" w:line="240" w:lineRule="auto"/>
        <w:rPr>
          <w:rFonts w:asciiTheme="majorBidi" w:hAnsiTheme="majorBidi" w:cstheme="majorBidi"/>
        </w:rPr>
      </w:pPr>
      <w:r w:rsidRPr="00D8671A">
        <w:rPr>
          <w:rFonts w:asciiTheme="majorBidi" w:hAnsiTheme="majorBidi" w:cstheme="majorBidi"/>
        </w:rPr>
        <w:t xml:space="preserve">The main conclusion of the above discussion is that co-perpetration </w:t>
      </w:r>
      <w:r w:rsidR="007F6574" w:rsidRPr="00D8671A">
        <w:rPr>
          <w:rFonts w:asciiTheme="majorBidi" w:hAnsiTheme="majorBidi" w:cstheme="majorBidi"/>
        </w:rPr>
        <w:t xml:space="preserve">shall </w:t>
      </w:r>
      <w:r w:rsidRPr="00D8671A">
        <w:rPr>
          <w:rFonts w:asciiTheme="majorBidi" w:hAnsiTheme="majorBidi" w:cstheme="majorBidi"/>
        </w:rPr>
        <w:t>not be used to the detriment of other forms of liability enshrined in the Rome Statute. Different forms of complicity do not</w:t>
      </w:r>
      <w:r w:rsidR="007F6574" w:rsidRPr="00D8671A">
        <w:rPr>
          <w:rFonts w:asciiTheme="majorBidi" w:hAnsiTheme="majorBidi" w:cstheme="majorBidi"/>
        </w:rPr>
        <w:t xml:space="preserve"> necessarily</w:t>
      </w:r>
      <w:r w:rsidRPr="00D8671A">
        <w:rPr>
          <w:rFonts w:asciiTheme="majorBidi" w:hAnsiTheme="majorBidi" w:cstheme="majorBidi"/>
        </w:rPr>
        <w:t xml:space="preserve"> amount to a </w:t>
      </w:r>
      <w:r w:rsidR="00AC73B9" w:rsidRPr="00D8671A">
        <w:rPr>
          <w:rFonts w:asciiTheme="majorBidi" w:hAnsiTheme="majorBidi" w:cstheme="majorBidi"/>
        </w:rPr>
        <w:t>“</w:t>
      </w:r>
      <w:r w:rsidRPr="00D8671A">
        <w:rPr>
          <w:rFonts w:asciiTheme="majorBidi" w:hAnsiTheme="majorBidi" w:cstheme="majorBidi"/>
        </w:rPr>
        <w:t>lesser</w:t>
      </w:r>
      <w:r w:rsidR="00AC73B9" w:rsidRPr="00D8671A">
        <w:rPr>
          <w:rFonts w:asciiTheme="majorBidi" w:hAnsiTheme="majorBidi" w:cstheme="majorBidi"/>
        </w:rPr>
        <w:t>”</w:t>
      </w:r>
      <w:r w:rsidRPr="00D8671A">
        <w:rPr>
          <w:rFonts w:asciiTheme="majorBidi" w:hAnsiTheme="majorBidi" w:cstheme="majorBidi"/>
        </w:rPr>
        <w:t xml:space="preserve"> form of responsibility</w:t>
      </w:r>
      <w:r w:rsidR="00ED3589" w:rsidRPr="00D8671A">
        <w:rPr>
          <w:rFonts w:asciiTheme="majorBidi" w:hAnsiTheme="majorBidi" w:cstheme="majorBidi"/>
        </w:rPr>
        <w:t xml:space="preserve"> because </w:t>
      </w:r>
      <w:r w:rsidR="0073766E" w:rsidRPr="00D8671A">
        <w:rPr>
          <w:rFonts w:asciiTheme="majorBidi" w:hAnsiTheme="majorBidi" w:cstheme="majorBidi"/>
        </w:rPr>
        <w:t>the</w:t>
      </w:r>
      <w:r w:rsidR="0062625D" w:rsidRPr="00D8671A">
        <w:rPr>
          <w:rFonts w:asciiTheme="majorBidi" w:hAnsiTheme="majorBidi" w:cstheme="majorBidi"/>
        </w:rPr>
        <w:t xml:space="preserve"> </w:t>
      </w:r>
      <w:r w:rsidR="00252754" w:rsidRPr="00D8671A">
        <w:rPr>
          <w:rFonts w:asciiTheme="majorBidi" w:hAnsiTheme="majorBidi" w:cstheme="majorBidi"/>
        </w:rPr>
        <w:t xml:space="preserve">legal </w:t>
      </w:r>
      <w:r w:rsidR="0073766E" w:rsidRPr="00D8671A">
        <w:rPr>
          <w:rFonts w:asciiTheme="majorBidi" w:hAnsiTheme="majorBidi" w:cstheme="majorBidi"/>
        </w:rPr>
        <w:t>labels</w:t>
      </w:r>
      <w:r w:rsidR="00ED3589" w:rsidRPr="00D8671A">
        <w:rPr>
          <w:rFonts w:asciiTheme="majorBidi" w:hAnsiTheme="majorBidi" w:cstheme="majorBidi"/>
        </w:rPr>
        <w:t xml:space="preserve"> are not dispositive in assessing the degree of offender’s blameworthiness.</w:t>
      </w:r>
      <w:r w:rsidRPr="00D8671A">
        <w:rPr>
          <w:rFonts w:asciiTheme="majorBidi" w:hAnsiTheme="majorBidi" w:cstheme="majorBidi"/>
        </w:rPr>
        <w:t xml:space="preserve"> Complicity can serve an important role in addressing the issue of collective criminality because it is designed specifically to deal with cases involving multiple accused. The key challenge seems to be not the choice of the </w:t>
      </w:r>
      <w:r w:rsidR="00BF48E6" w:rsidRPr="00D8671A">
        <w:rPr>
          <w:rFonts w:asciiTheme="majorBidi" w:hAnsiTheme="majorBidi" w:cstheme="majorBidi"/>
        </w:rPr>
        <w:t>modes of liability</w:t>
      </w:r>
      <w:r w:rsidRPr="00D8671A">
        <w:rPr>
          <w:rFonts w:asciiTheme="majorBidi" w:hAnsiTheme="majorBidi" w:cstheme="majorBidi"/>
        </w:rPr>
        <w:t xml:space="preserve"> </w:t>
      </w:r>
      <w:r w:rsidRPr="00D8671A">
        <w:rPr>
          <w:rFonts w:asciiTheme="majorBidi" w:hAnsiTheme="majorBidi" w:cstheme="majorBidi"/>
          <w:i/>
        </w:rPr>
        <w:t>in abstracto</w:t>
      </w:r>
      <w:r w:rsidRPr="00D8671A">
        <w:rPr>
          <w:rFonts w:asciiTheme="majorBidi" w:hAnsiTheme="majorBidi" w:cstheme="majorBidi"/>
        </w:rPr>
        <w:t xml:space="preserve">, but rather faithfully </w:t>
      </w:r>
      <w:r w:rsidR="00BE10D9" w:rsidRPr="00D8671A">
        <w:rPr>
          <w:rFonts w:asciiTheme="majorBidi" w:hAnsiTheme="majorBidi" w:cstheme="majorBidi"/>
        </w:rPr>
        <w:t xml:space="preserve">evaluating </w:t>
      </w:r>
      <w:r w:rsidRPr="00D8671A">
        <w:rPr>
          <w:rFonts w:asciiTheme="majorBidi" w:hAnsiTheme="majorBidi" w:cstheme="majorBidi"/>
        </w:rPr>
        <w:t xml:space="preserve">the facts of the case against the legal requirements of the chosen form of criminal participation. </w:t>
      </w:r>
      <w:r w:rsidR="00BE10D9" w:rsidRPr="00D8671A">
        <w:rPr>
          <w:rFonts w:asciiTheme="majorBidi" w:hAnsiTheme="majorBidi" w:cstheme="majorBidi"/>
        </w:rPr>
        <w:t xml:space="preserve">The recent case law of the ICC seems to be moving in this direction with the reinforcement of the normative assessment of the role of accused. </w:t>
      </w:r>
    </w:p>
    <w:sectPr w:rsidR="00E550EF" w:rsidRPr="00D8671A" w:rsidSect="00CB1AB9">
      <w:footerReference w:type="even" r:id="rId9"/>
      <w:footerReference w:type="default" r:id="rId10"/>
      <w:type w:val="nextColumn"/>
      <w:pgSz w:w="11900" w:h="16840"/>
      <w:pgMar w:top="1440" w:right="1797" w:bottom="1440" w:left="179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694E3EA" w14:textId="77777777" w:rsidR="00070BCD" w:rsidRDefault="00070BCD" w:rsidP="004B3BB4">
      <w:pPr>
        <w:spacing w:after="0" w:line="240" w:lineRule="auto"/>
      </w:pPr>
      <w:r>
        <w:separator/>
      </w:r>
    </w:p>
  </w:endnote>
  <w:endnote w:type="continuationSeparator" w:id="0">
    <w:p w14:paraId="5D24A41D" w14:textId="77777777" w:rsidR="00070BCD" w:rsidRDefault="00070BCD" w:rsidP="004B3BB4">
      <w:pPr>
        <w:spacing w:after="0" w:line="240" w:lineRule="auto"/>
      </w:pPr>
      <w:r>
        <w:continuationSeparator/>
      </w:r>
    </w:p>
  </w:endnote>
  <w:endnote w:type="continuationNotice" w:id="1">
    <w:p w14:paraId="09CCF4F9" w14:textId="77777777" w:rsidR="00070BCD" w:rsidRDefault="00070BC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Lucida Grande">
    <w:panose1 w:val="020B0600040502020204"/>
    <w:charset w:val="00"/>
    <w:family w:val="swiss"/>
    <w:pitch w:val="variable"/>
    <w:sig w:usb0="E1000AEF" w:usb1="5000A1FF" w:usb2="00000000" w:usb3="00000000" w:csb0="000001B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15B27B" w14:textId="77777777" w:rsidR="0079099C" w:rsidRDefault="0079099C" w:rsidP="00115DD7">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0E52F88B" w14:textId="77777777" w:rsidR="0079099C" w:rsidRDefault="0079099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70458D" w14:textId="77777777" w:rsidR="0079099C" w:rsidRDefault="0079099C" w:rsidP="00115DD7">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F6273F">
      <w:rPr>
        <w:rStyle w:val="PageNumber"/>
        <w:noProof/>
      </w:rPr>
      <w:t>2</w:t>
    </w:r>
    <w:r>
      <w:rPr>
        <w:rStyle w:val="PageNumber"/>
      </w:rPr>
      <w:fldChar w:fldCharType="end"/>
    </w:r>
  </w:p>
  <w:p w14:paraId="1BA12760" w14:textId="77777777" w:rsidR="0079099C" w:rsidRDefault="0079099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0E00265" w14:textId="77777777" w:rsidR="00070BCD" w:rsidRDefault="00070BCD" w:rsidP="004B3BB4">
      <w:pPr>
        <w:spacing w:after="0" w:line="240" w:lineRule="auto"/>
      </w:pPr>
      <w:r>
        <w:separator/>
      </w:r>
    </w:p>
  </w:footnote>
  <w:footnote w:type="continuationSeparator" w:id="0">
    <w:p w14:paraId="20D1EEBC" w14:textId="77777777" w:rsidR="00070BCD" w:rsidRDefault="00070BCD" w:rsidP="004B3BB4">
      <w:pPr>
        <w:spacing w:after="0" w:line="240" w:lineRule="auto"/>
      </w:pPr>
      <w:r>
        <w:continuationSeparator/>
      </w:r>
    </w:p>
  </w:footnote>
  <w:footnote w:type="continuationNotice" w:id="1">
    <w:p w14:paraId="62B7C446" w14:textId="77777777" w:rsidR="00070BCD" w:rsidRDefault="00070BCD">
      <w:pPr>
        <w:spacing w:after="0" w:line="240" w:lineRule="auto"/>
      </w:pPr>
    </w:p>
  </w:footnote>
  <w:footnote w:id="2">
    <w:p w14:paraId="0219DDEE" w14:textId="4BF8C041" w:rsidR="0079099C" w:rsidRPr="00135614" w:rsidRDefault="0079099C" w:rsidP="00A818E2">
      <w:pPr>
        <w:spacing w:after="0" w:line="240" w:lineRule="auto"/>
        <w:jc w:val="both"/>
        <w:rPr>
          <w:rFonts w:ascii="Times New Roman" w:hAnsi="Times New Roman" w:cs="Times New Roman"/>
          <w:sz w:val="20"/>
          <w:szCs w:val="20"/>
        </w:rPr>
      </w:pPr>
      <w:r w:rsidRPr="00135614">
        <w:rPr>
          <w:rStyle w:val="FootnoteReference"/>
          <w:rFonts w:ascii="Times New Roman" w:hAnsi="Times New Roman" w:cs="Times New Roman"/>
          <w:sz w:val="20"/>
          <w:szCs w:val="20"/>
        </w:rPr>
        <w:footnoteRef/>
      </w:r>
      <w:r w:rsidRPr="00135614">
        <w:rPr>
          <w:rFonts w:ascii="Times New Roman" w:hAnsi="Times New Roman" w:cs="Times New Roman"/>
          <w:sz w:val="20"/>
          <w:szCs w:val="20"/>
        </w:rPr>
        <w:t xml:space="preserve"> Report of the ILC to the General Assembly, Forty-Eighth Session, U.N. GAOR, 51st Sess., No. 10 U.N. A/51/10 (1996), p. 20, para. 6. </w:t>
      </w:r>
    </w:p>
  </w:footnote>
  <w:footnote w:id="3">
    <w:p w14:paraId="2989BBEF" w14:textId="7A9792FC" w:rsidR="0079099C" w:rsidRPr="00135614" w:rsidRDefault="0079099C" w:rsidP="00A818E2">
      <w:pPr>
        <w:pStyle w:val="FootnoteText"/>
        <w:spacing w:after="0" w:line="240" w:lineRule="auto"/>
        <w:jc w:val="both"/>
        <w:rPr>
          <w:rFonts w:ascii="Times New Roman" w:hAnsi="Times New Roman" w:cs="Times New Roman"/>
          <w:sz w:val="20"/>
          <w:szCs w:val="20"/>
        </w:rPr>
      </w:pPr>
      <w:r w:rsidRPr="00135614">
        <w:rPr>
          <w:rStyle w:val="FootnoteReference"/>
          <w:rFonts w:ascii="Times New Roman" w:eastAsiaTheme="majorEastAsia" w:hAnsi="Times New Roman" w:cs="Times New Roman"/>
          <w:sz w:val="20"/>
          <w:szCs w:val="20"/>
        </w:rPr>
        <w:footnoteRef/>
      </w:r>
      <w:r w:rsidRPr="00135614">
        <w:rPr>
          <w:rFonts w:ascii="Times New Roman" w:hAnsi="Times New Roman" w:cs="Times New Roman"/>
          <w:sz w:val="20"/>
          <w:szCs w:val="20"/>
        </w:rPr>
        <w:t xml:space="preserve"> W. Schabas, </w:t>
      </w:r>
      <w:r w:rsidRPr="00135614">
        <w:rPr>
          <w:rFonts w:ascii="Times New Roman" w:hAnsi="Times New Roman" w:cs="Times New Roman"/>
          <w:i/>
          <w:sz w:val="20"/>
          <w:szCs w:val="20"/>
        </w:rPr>
        <w:t>The International Criminal Court: A Commentary on the Rome Statute</w:t>
      </w:r>
      <w:r w:rsidRPr="00135614">
        <w:rPr>
          <w:rFonts w:ascii="Times New Roman" w:hAnsi="Times New Roman" w:cs="Times New Roman"/>
          <w:sz w:val="20"/>
          <w:szCs w:val="20"/>
        </w:rPr>
        <w:t xml:space="preserve"> (Oxford University Press, </w:t>
      </w:r>
      <w:r>
        <w:rPr>
          <w:rFonts w:ascii="Times New Roman" w:hAnsi="Times New Roman" w:cs="Times New Roman"/>
          <w:sz w:val="20"/>
          <w:szCs w:val="20"/>
        </w:rPr>
        <w:t xml:space="preserve">Oxford, </w:t>
      </w:r>
      <w:r w:rsidRPr="00135614">
        <w:rPr>
          <w:rFonts w:ascii="Times New Roman" w:hAnsi="Times New Roman" w:cs="Times New Roman"/>
          <w:sz w:val="20"/>
          <w:szCs w:val="20"/>
        </w:rPr>
        <w:t>2010), pp. 427-428.</w:t>
      </w:r>
    </w:p>
  </w:footnote>
  <w:footnote w:id="4">
    <w:p w14:paraId="23FB9A6A" w14:textId="2CEDDDF1" w:rsidR="0079099C" w:rsidRPr="00135614" w:rsidRDefault="0079099C" w:rsidP="00A818E2">
      <w:pPr>
        <w:spacing w:after="0" w:line="240" w:lineRule="auto"/>
        <w:jc w:val="both"/>
        <w:rPr>
          <w:rFonts w:ascii="Times New Roman" w:hAnsi="Times New Roman" w:cs="Times New Roman"/>
          <w:sz w:val="20"/>
          <w:szCs w:val="20"/>
        </w:rPr>
      </w:pPr>
      <w:r w:rsidRPr="00135614">
        <w:rPr>
          <w:rStyle w:val="FootnoteReference"/>
          <w:rFonts w:ascii="Times New Roman" w:eastAsiaTheme="majorEastAsia" w:hAnsi="Times New Roman" w:cs="Times New Roman"/>
          <w:sz w:val="20"/>
          <w:szCs w:val="20"/>
        </w:rPr>
        <w:footnoteRef/>
      </w:r>
      <w:r w:rsidRPr="00135614">
        <w:rPr>
          <w:rStyle w:val="FootnoteReference"/>
          <w:rFonts w:ascii="Times New Roman" w:eastAsiaTheme="majorEastAsia" w:hAnsi="Times New Roman" w:cs="Times New Roman"/>
          <w:sz w:val="20"/>
          <w:szCs w:val="20"/>
        </w:rPr>
        <w:t xml:space="preserve"> </w:t>
      </w:r>
      <w:r w:rsidRPr="00135614">
        <w:rPr>
          <w:rFonts w:ascii="Times New Roman" w:eastAsiaTheme="majorEastAsia" w:hAnsi="Times New Roman" w:cs="Times New Roman"/>
          <w:i/>
          <w:sz w:val="20"/>
          <w:szCs w:val="20"/>
        </w:rPr>
        <w:t>Eg.</w:t>
      </w:r>
      <w:r w:rsidRPr="00135614">
        <w:rPr>
          <w:rFonts w:ascii="Times New Roman" w:eastAsiaTheme="majorEastAsia" w:hAnsi="Times New Roman" w:cs="Times New Roman"/>
          <w:sz w:val="20"/>
          <w:szCs w:val="20"/>
        </w:rPr>
        <w:t xml:space="preserve"> </w:t>
      </w:r>
      <w:r w:rsidRPr="00135614">
        <w:rPr>
          <w:rFonts w:ascii="Times New Roman" w:hAnsi="Times New Roman" w:cs="Times New Roman"/>
          <w:sz w:val="20"/>
          <w:szCs w:val="20"/>
        </w:rPr>
        <w:t xml:space="preserve">Prosecutor v. Thomas </w:t>
      </w:r>
      <w:r w:rsidRPr="00135614">
        <w:rPr>
          <w:rFonts w:ascii="Times New Roman" w:hAnsi="Times New Roman" w:cs="Times New Roman"/>
          <w:i/>
          <w:sz w:val="20"/>
          <w:szCs w:val="20"/>
        </w:rPr>
        <w:t>Lubanga Dyilo</w:t>
      </w:r>
      <w:r w:rsidRPr="00135614">
        <w:rPr>
          <w:rFonts w:ascii="Times New Roman" w:hAnsi="Times New Roman" w:cs="Times New Roman"/>
          <w:sz w:val="20"/>
          <w:szCs w:val="20"/>
        </w:rPr>
        <w:t>, ICC-01/04-01/06, Pre-Trial Chamber I, Decision on the Confirmation of Charges, 29 January 2007 (‘</w:t>
      </w:r>
      <w:r w:rsidRPr="00135614">
        <w:rPr>
          <w:rFonts w:ascii="Times New Roman" w:hAnsi="Times New Roman" w:cs="Times New Roman"/>
          <w:i/>
          <w:sz w:val="20"/>
          <w:szCs w:val="20"/>
        </w:rPr>
        <w:t>Lubanga</w:t>
      </w:r>
      <w:r w:rsidRPr="00135614">
        <w:rPr>
          <w:rFonts w:ascii="Times New Roman" w:hAnsi="Times New Roman" w:cs="Times New Roman"/>
          <w:sz w:val="20"/>
          <w:szCs w:val="20"/>
        </w:rPr>
        <w:t xml:space="preserve"> Decision’); </w:t>
      </w:r>
      <w:r w:rsidRPr="00135614">
        <w:rPr>
          <w:rFonts w:ascii="Times New Roman" w:eastAsia="Times New Roman" w:hAnsi="Times New Roman" w:cs="Times New Roman"/>
          <w:sz w:val="20"/>
          <w:szCs w:val="20"/>
          <w:lang w:eastAsia="en-GB"/>
        </w:rPr>
        <w:t xml:space="preserve">Prosecutor v. </w:t>
      </w:r>
      <w:r w:rsidRPr="00135614">
        <w:rPr>
          <w:rFonts w:ascii="Times New Roman" w:eastAsia="Times New Roman" w:hAnsi="Times New Roman" w:cs="Times New Roman"/>
          <w:i/>
          <w:sz w:val="20"/>
          <w:szCs w:val="20"/>
          <w:lang w:eastAsia="en-GB"/>
        </w:rPr>
        <w:t>Germain Katanga and Mathieu Ngudjolo Chui</w:t>
      </w:r>
      <w:r w:rsidRPr="00135614">
        <w:rPr>
          <w:rFonts w:ascii="Times New Roman" w:eastAsia="Times New Roman" w:hAnsi="Times New Roman" w:cs="Times New Roman"/>
          <w:sz w:val="20"/>
          <w:szCs w:val="20"/>
          <w:lang w:eastAsia="en-GB"/>
        </w:rPr>
        <w:t>, ICC-01/04-01/07, Pre-Trial Chamber I, Decision on the Confirmation of Charges, 30 September 2008 (‘</w:t>
      </w:r>
      <w:r w:rsidRPr="00135614">
        <w:rPr>
          <w:rFonts w:ascii="Times New Roman" w:eastAsia="Times New Roman" w:hAnsi="Times New Roman" w:cs="Times New Roman"/>
          <w:i/>
          <w:sz w:val="20"/>
          <w:szCs w:val="20"/>
          <w:lang w:eastAsia="en-GB"/>
        </w:rPr>
        <w:t>Katanga</w:t>
      </w:r>
      <w:r w:rsidRPr="00135614">
        <w:rPr>
          <w:rFonts w:ascii="Times New Roman" w:hAnsi="Times New Roman" w:cs="Times New Roman"/>
          <w:sz w:val="20"/>
          <w:szCs w:val="20"/>
        </w:rPr>
        <w:t xml:space="preserve"> Decision’); Prosecutor</w:t>
      </w:r>
      <w:r w:rsidRPr="00135614">
        <w:rPr>
          <w:rFonts w:ascii="Times New Roman" w:eastAsia="Times New Roman" w:hAnsi="Times New Roman" w:cs="Times New Roman"/>
          <w:sz w:val="20"/>
          <w:szCs w:val="20"/>
          <w:lang w:eastAsia="en-GB"/>
        </w:rPr>
        <w:t xml:space="preserve"> v. </w:t>
      </w:r>
      <w:r w:rsidRPr="00135614">
        <w:rPr>
          <w:rFonts w:ascii="Times New Roman" w:eastAsia="Times New Roman" w:hAnsi="Times New Roman" w:cs="Times New Roman"/>
          <w:i/>
          <w:sz w:val="20"/>
          <w:szCs w:val="20"/>
          <w:lang w:eastAsia="en-GB"/>
        </w:rPr>
        <w:t>Jean-Pierre Bemba Gombo</w:t>
      </w:r>
      <w:r w:rsidRPr="00135614">
        <w:rPr>
          <w:rFonts w:ascii="Times New Roman" w:eastAsia="Times New Roman" w:hAnsi="Times New Roman" w:cs="Times New Roman"/>
          <w:sz w:val="20"/>
          <w:szCs w:val="20"/>
          <w:lang w:eastAsia="en-GB"/>
        </w:rPr>
        <w:t xml:space="preserve">, </w:t>
      </w:r>
      <w:r w:rsidRPr="00135614">
        <w:rPr>
          <w:rFonts w:ascii="Times New Roman" w:eastAsiaTheme="minorEastAsia" w:hAnsi="Times New Roman" w:cs="Times New Roman"/>
          <w:sz w:val="20"/>
          <w:szCs w:val="20"/>
          <w:lang w:val="en-US"/>
        </w:rPr>
        <w:t>ICC-01/05-01/08</w:t>
      </w:r>
      <w:r w:rsidRPr="00135614">
        <w:rPr>
          <w:rFonts w:ascii="Times New Roman" w:eastAsia="Times New Roman" w:hAnsi="Times New Roman" w:cs="Times New Roman"/>
          <w:sz w:val="20"/>
          <w:szCs w:val="20"/>
          <w:lang w:eastAsia="en-GB"/>
        </w:rPr>
        <w:t xml:space="preserve">, Pre-Trial Chamber II, </w:t>
      </w:r>
      <w:r w:rsidRPr="00135614">
        <w:rPr>
          <w:rFonts w:ascii="Times New Roman" w:eastAsiaTheme="minorEastAsia" w:hAnsi="Times New Roman" w:cs="Times New Roman"/>
          <w:sz w:val="20"/>
          <w:szCs w:val="20"/>
          <w:lang w:val="en-US"/>
        </w:rPr>
        <w:t>Decision Pursuant to Article 61(7)(a) and (b) of the Rome Statute on the Charges</w:t>
      </w:r>
      <w:r w:rsidRPr="00135614">
        <w:rPr>
          <w:rFonts w:ascii="Times New Roman" w:eastAsia="Times New Roman" w:hAnsi="Times New Roman" w:cs="Times New Roman"/>
          <w:sz w:val="20"/>
          <w:szCs w:val="20"/>
          <w:lang w:eastAsia="en-GB"/>
        </w:rPr>
        <w:t>, 15 June 2009 (</w:t>
      </w:r>
      <w:r w:rsidRPr="00135614">
        <w:rPr>
          <w:rFonts w:ascii="Times New Roman" w:hAnsi="Times New Roman" w:cs="Times New Roman"/>
          <w:i/>
          <w:sz w:val="20"/>
          <w:szCs w:val="20"/>
        </w:rPr>
        <w:t xml:space="preserve">Bemba </w:t>
      </w:r>
      <w:r w:rsidRPr="00135614">
        <w:rPr>
          <w:rFonts w:ascii="Times New Roman" w:hAnsi="Times New Roman" w:cs="Times New Roman"/>
          <w:sz w:val="20"/>
          <w:szCs w:val="20"/>
        </w:rPr>
        <w:t>Decision)</w:t>
      </w:r>
      <w:r>
        <w:rPr>
          <w:rFonts w:ascii="Times New Roman" w:hAnsi="Times New Roman" w:cs="Times New Roman"/>
          <w:sz w:val="20"/>
          <w:szCs w:val="20"/>
        </w:rPr>
        <w:t>.</w:t>
      </w:r>
    </w:p>
  </w:footnote>
  <w:footnote w:id="5">
    <w:p w14:paraId="149A5CAE" w14:textId="45728794" w:rsidR="0079099C" w:rsidRPr="00135614" w:rsidRDefault="0079099C" w:rsidP="00A818E2">
      <w:pPr>
        <w:widowControl w:val="0"/>
        <w:autoSpaceDE w:val="0"/>
        <w:autoSpaceDN w:val="0"/>
        <w:adjustRightInd w:val="0"/>
        <w:spacing w:after="0" w:line="240" w:lineRule="auto"/>
        <w:jc w:val="both"/>
        <w:rPr>
          <w:rFonts w:ascii="Times New Roman" w:eastAsiaTheme="minorEastAsia" w:hAnsi="Times New Roman" w:cs="Times New Roman"/>
          <w:sz w:val="20"/>
          <w:szCs w:val="20"/>
          <w:lang w:val="en-US"/>
        </w:rPr>
      </w:pPr>
      <w:r w:rsidRPr="00135614">
        <w:rPr>
          <w:rStyle w:val="FootnoteReference"/>
          <w:rFonts w:ascii="Times New Roman" w:eastAsiaTheme="majorEastAsia" w:hAnsi="Times New Roman" w:cs="Times New Roman"/>
          <w:sz w:val="20"/>
          <w:szCs w:val="20"/>
        </w:rPr>
        <w:footnoteRef/>
      </w:r>
      <w:r w:rsidRPr="00135614">
        <w:rPr>
          <w:rFonts w:ascii="Times New Roman" w:eastAsiaTheme="minorEastAsia" w:hAnsi="Times New Roman" w:cs="Times New Roman"/>
          <w:sz w:val="20"/>
          <w:szCs w:val="20"/>
          <w:lang w:val="en-US"/>
        </w:rPr>
        <w:t xml:space="preserve"> For the problems with the methodological interpretation of the sources at the ICC see L. Sadat and J. Jolly, ‘Seven Canons of ICC Treaty Interpretation: Making Sense of Article 25’s Rorschach Blot’, 27 </w:t>
      </w:r>
      <w:r w:rsidRPr="00135614">
        <w:rPr>
          <w:rFonts w:ascii="Times New Roman" w:eastAsiaTheme="minorEastAsia" w:hAnsi="Times New Roman" w:cs="Times New Roman"/>
          <w:i/>
          <w:sz w:val="20"/>
          <w:szCs w:val="20"/>
          <w:lang w:val="en-US"/>
        </w:rPr>
        <w:t>Leiden Journal of International Law</w:t>
      </w:r>
      <w:r w:rsidRPr="00135614">
        <w:rPr>
          <w:rFonts w:ascii="Times New Roman" w:eastAsiaTheme="minorEastAsia" w:hAnsi="Times New Roman" w:cs="Times New Roman"/>
          <w:sz w:val="20"/>
          <w:szCs w:val="20"/>
          <w:lang w:val="en-US"/>
        </w:rPr>
        <w:t xml:space="preserve"> (2014), 755–788.</w:t>
      </w:r>
    </w:p>
  </w:footnote>
  <w:footnote w:id="6">
    <w:p w14:paraId="065F9F24" w14:textId="40E0E74F" w:rsidR="0079099C" w:rsidRPr="00135614" w:rsidRDefault="0079099C" w:rsidP="00A818E2">
      <w:pPr>
        <w:pStyle w:val="Heading3"/>
        <w:numPr>
          <w:ilvl w:val="0"/>
          <w:numId w:val="0"/>
        </w:numPr>
        <w:spacing w:before="0" w:line="240" w:lineRule="auto"/>
        <w:jc w:val="both"/>
        <w:rPr>
          <w:rFonts w:ascii="Times New Roman" w:eastAsia="Times New Roman" w:hAnsi="Times New Roman" w:cs="Times New Roman"/>
          <w:b w:val="0"/>
          <w:color w:val="auto"/>
          <w:sz w:val="20"/>
          <w:szCs w:val="20"/>
        </w:rPr>
      </w:pPr>
      <w:r w:rsidRPr="00135614">
        <w:rPr>
          <w:rStyle w:val="FootnoteReference"/>
          <w:rFonts w:ascii="Times New Roman" w:hAnsi="Times New Roman" w:cs="Times New Roman"/>
          <w:b w:val="0"/>
          <w:color w:val="auto"/>
          <w:sz w:val="20"/>
          <w:szCs w:val="20"/>
          <w:lang w:val="en-US"/>
        </w:rPr>
        <w:footnoteRef/>
      </w:r>
      <w:r w:rsidRPr="00135614">
        <w:rPr>
          <w:rStyle w:val="FootnoteReference"/>
          <w:rFonts w:ascii="Times New Roman" w:hAnsi="Times New Roman" w:cs="Times New Roman"/>
          <w:b w:val="0"/>
          <w:color w:val="auto"/>
          <w:sz w:val="20"/>
          <w:szCs w:val="20"/>
          <w:lang w:val="en-US"/>
        </w:rPr>
        <w:t xml:space="preserve"> </w:t>
      </w:r>
      <w:r w:rsidRPr="00135614">
        <w:rPr>
          <w:rFonts w:ascii="Times New Roman" w:eastAsiaTheme="minorEastAsia" w:hAnsi="Times New Roman" w:cs="Times New Roman"/>
          <w:b w:val="0"/>
          <w:bCs w:val="0"/>
          <w:color w:val="auto"/>
          <w:sz w:val="20"/>
          <w:szCs w:val="20"/>
          <w:lang w:val="en-US"/>
        </w:rPr>
        <w:t xml:space="preserve">C. Roxin, Crimes as Part of Organized Power Structures, </w:t>
      </w:r>
      <w:r w:rsidRPr="00135614">
        <w:rPr>
          <w:rFonts w:ascii="Times New Roman" w:eastAsiaTheme="minorEastAsia" w:hAnsi="Times New Roman" w:cs="Times New Roman"/>
          <w:b w:val="0"/>
          <w:bCs w:val="0"/>
          <w:i/>
          <w:color w:val="auto"/>
          <w:sz w:val="20"/>
          <w:szCs w:val="20"/>
          <w:lang w:val="en-US"/>
        </w:rPr>
        <w:t>Goltdammer’s Archiv für Strafrecht</w:t>
      </w:r>
      <w:r w:rsidRPr="00135614">
        <w:rPr>
          <w:rFonts w:ascii="Times New Roman" w:eastAsiaTheme="minorEastAsia" w:hAnsi="Times New Roman" w:cs="Times New Roman"/>
          <w:b w:val="0"/>
          <w:bCs w:val="0"/>
          <w:color w:val="auto"/>
          <w:sz w:val="20"/>
          <w:szCs w:val="20"/>
          <w:lang w:val="en-US"/>
        </w:rPr>
        <w:t xml:space="preserve"> (1963) 193-207. Reproduced in 9 </w:t>
      </w:r>
      <w:r w:rsidRPr="00135614">
        <w:rPr>
          <w:rFonts w:ascii="Times New Roman" w:eastAsiaTheme="minorEastAsia" w:hAnsi="Times New Roman" w:cs="Times New Roman"/>
          <w:b w:val="0"/>
          <w:bCs w:val="0"/>
          <w:i/>
          <w:color w:val="auto"/>
          <w:sz w:val="20"/>
          <w:szCs w:val="20"/>
          <w:lang w:val="en-US"/>
        </w:rPr>
        <w:t>Journal of International Criminal Justice</w:t>
      </w:r>
      <w:r w:rsidRPr="00135614">
        <w:rPr>
          <w:rFonts w:ascii="Times New Roman" w:eastAsiaTheme="minorEastAsia" w:hAnsi="Times New Roman" w:cs="Times New Roman"/>
          <w:b w:val="0"/>
          <w:bCs w:val="0"/>
          <w:color w:val="auto"/>
          <w:sz w:val="20"/>
          <w:szCs w:val="20"/>
          <w:lang w:val="en-US"/>
        </w:rPr>
        <w:t xml:space="preserve"> (2011) 191-205. </w:t>
      </w:r>
    </w:p>
  </w:footnote>
  <w:footnote w:id="7">
    <w:p w14:paraId="1D68D842" w14:textId="55DA1D90" w:rsidR="0079099C" w:rsidRPr="00135614" w:rsidRDefault="0079099C" w:rsidP="00A818E2">
      <w:pPr>
        <w:spacing w:after="0" w:line="240" w:lineRule="auto"/>
        <w:jc w:val="both"/>
        <w:rPr>
          <w:rFonts w:ascii="Times New Roman" w:hAnsi="Times New Roman" w:cs="Times New Roman"/>
          <w:sz w:val="20"/>
          <w:szCs w:val="20"/>
        </w:rPr>
      </w:pPr>
      <w:r w:rsidRPr="00135614">
        <w:rPr>
          <w:rStyle w:val="FootnoteReference"/>
          <w:rFonts w:ascii="Times New Roman" w:eastAsiaTheme="majorEastAsia" w:hAnsi="Times New Roman" w:cs="Times New Roman"/>
          <w:sz w:val="20"/>
          <w:szCs w:val="20"/>
        </w:rPr>
        <w:footnoteRef/>
      </w:r>
      <w:r w:rsidRPr="00135614">
        <w:rPr>
          <w:rFonts w:ascii="Times New Roman" w:hAnsi="Times New Roman" w:cs="Times New Roman"/>
          <w:sz w:val="20"/>
          <w:szCs w:val="20"/>
        </w:rPr>
        <w:t xml:space="preserve"> </w:t>
      </w:r>
      <w:r w:rsidRPr="00135614">
        <w:rPr>
          <w:rFonts w:ascii="Times New Roman" w:hAnsi="Times New Roman" w:cs="Times New Roman"/>
          <w:bCs/>
          <w:sz w:val="20"/>
          <w:szCs w:val="20"/>
        </w:rPr>
        <w:t xml:space="preserve">C. Roxin, </w:t>
      </w:r>
      <w:r w:rsidRPr="00135614">
        <w:rPr>
          <w:rFonts w:ascii="Times New Roman" w:hAnsi="Times New Roman" w:cs="Times New Roman"/>
          <w:bCs/>
          <w:i/>
          <w:sz w:val="20"/>
          <w:szCs w:val="20"/>
        </w:rPr>
        <w:t>Täterschaft und Tatherrschaft</w:t>
      </w:r>
      <w:r w:rsidRPr="00135614">
        <w:rPr>
          <w:rFonts w:ascii="Times New Roman" w:hAnsi="Times New Roman" w:cs="Times New Roman"/>
          <w:bCs/>
          <w:sz w:val="20"/>
          <w:szCs w:val="20"/>
        </w:rPr>
        <w:t xml:space="preserve"> (</w:t>
      </w:r>
      <w:r>
        <w:rPr>
          <w:rFonts w:ascii="Times New Roman" w:hAnsi="Times New Roman" w:cs="Times New Roman"/>
          <w:bCs/>
          <w:sz w:val="20"/>
          <w:szCs w:val="20"/>
        </w:rPr>
        <w:t xml:space="preserve">De Gruyter, Berlin, </w:t>
      </w:r>
      <w:r w:rsidRPr="00135614">
        <w:rPr>
          <w:rFonts w:ascii="Times New Roman" w:hAnsi="Times New Roman" w:cs="Times New Roman"/>
          <w:bCs/>
          <w:sz w:val="20"/>
          <w:szCs w:val="20"/>
        </w:rPr>
        <w:t>6th ed, 1994);</w:t>
      </w:r>
      <w:r w:rsidRPr="00135614">
        <w:rPr>
          <w:rFonts w:ascii="Times New Roman" w:hAnsi="Times New Roman" w:cs="Times New Roman"/>
          <w:b/>
          <w:bCs/>
          <w:sz w:val="20"/>
          <w:szCs w:val="20"/>
        </w:rPr>
        <w:t xml:space="preserve"> </w:t>
      </w:r>
      <w:r w:rsidRPr="00135614">
        <w:rPr>
          <w:rFonts w:ascii="Times New Roman" w:hAnsi="Times New Roman" w:cs="Times New Roman"/>
          <w:sz w:val="20"/>
          <w:szCs w:val="20"/>
        </w:rPr>
        <w:t xml:space="preserve">G. Fletcher, </w:t>
      </w:r>
      <w:r w:rsidRPr="00135614">
        <w:rPr>
          <w:rFonts w:ascii="Times New Roman" w:hAnsi="Times New Roman" w:cs="Times New Roman"/>
          <w:i/>
          <w:sz w:val="20"/>
          <w:szCs w:val="20"/>
        </w:rPr>
        <w:t>Rethinking Criminal Law</w:t>
      </w:r>
      <w:r w:rsidRPr="00135614">
        <w:rPr>
          <w:rFonts w:ascii="Times New Roman" w:hAnsi="Times New Roman" w:cs="Times New Roman"/>
          <w:sz w:val="20"/>
          <w:szCs w:val="20"/>
        </w:rPr>
        <w:t xml:space="preserve"> (Little, Brown, </w:t>
      </w:r>
      <w:r>
        <w:rPr>
          <w:rFonts w:ascii="Times New Roman" w:hAnsi="Times New Roman" w:cs="Times New Roman"/>
          <w:sz w:val="20"/>
          <w:szCs w:val="20"/>
        </w:rPr>
        <w:t xml:space="preserve">Boston, </w:t>
      </w:r>
      <w:r w:rsidRPr="00135614">
        <w:rPr>
          <w:rFonts w:ascii="Times New Roman" w:hAnsi="Times New Roman" w:cs="Times New Roman"/>
          <w:sz w:val="20"/>
          <w:szCs w:val="20"/>
        </w:rPr>
        <w:t xml:space="preserve">1978), p. 655. </w:t>
      </w:r>
    </w:p>
  </w:footnote>
  <w:footnote w:id="8">
    <w:p w14:paraId="5A3D2DF2" w14:textId="65893886" w:rsidR="0079099C" w:rsidRPr="00135614" w:rsidRDefault="0079099C" w:rsidP="00A818E2">
      <w:pPr>
        <w:pStyle w:val="FootnoteText"/>
        <w:spacing w:after="0" w:line="240" w:lineRule="auto"/>
        <w:jc w:val="both"/>
        <w:rPr>
          <w:rFonts w:ascii="Times New Roman" w:hAnsi="Times New Roman" w:cs="Times New Roman"/>
          <w:sz w:val="20"/>
          <w:szCs w:val="20"/>
        </w:rPr>
      </w:pPr>
      <w:r w:rsidRPr="00135614">
        <w:rPr>
          <w:rStyle w:val="FootnoteReference"/>
          <w:rFonts w:ascii="Times New Roman" w:eastAsiaTheme="majorEastAsia" w:hAnsi="Times New Roman" w:cs="Times New Roman"/>
          <w:sz w:val="20"/>
          <w:szCs w:val="20"/>
        </w:rPr>
        <w:footnoteRef/>
      </w:r>
      <w:r w:rsidRPr="00135614">
        <w:rPr>
          <w:rFonts w:ascii="Times New Roman" w:hAnsi="Times New Roman" w:cs="Times New Roman"/>
          <w:sz w:val="20"/>
          <w:szCs w:val="20"/>
        </w:rPr>
        <w:t xml:space="preserve"> G. Werle and B. </w:t>
      </w:r>
      <w:r w:rsidRPr="00135614">
        <w:rPr>
          <w:rFonts w:ascii="Times New Roman" w:hAnsi="Times New Roman" w:cs="Times New Roman"/>
          <w:bCs/>
          <w:sz w:val="20"/>
          <w:szCs w:val="20"/>
        </w:rPr>
        <w:t>Burghardt</w:t>
      </w:r>
      <w:r w:rsidRPr="00135614">
        <w:rPr>
          <w:rFonts w:ascii="Times New Roman" w:hAnsi="Times New Roman" w:cs="Times New Roman"/>
          <w:sz w:val="20"/>
          <w:szCs w:val="20"/>
        </w:rPr>
        <w:t xml:space="preserve">, ‘Indirect Perpetration: </w:t>
      </w:r>
      <w:proofErr w:type="gramStart"/>
      <w:r w:rsidRPr="00135614">
        <w:rPr>
          <w:rFonts w:ascii="Times New Roman" w:hAnsi="Times New Roman" w:cs="Times New Roman"/>
          <w:sz w:val="20"/>
          <w:szCs w:val="20"/>
        </w:rPr>
        <w:t>a</w:t>
      </w:r>
      <w:proofErr w:type="gramEnd"/>
      <w:r w:rsidRPr="00135614">
        <w:rPr>
          <w:rFonts w:ascii="Times New Roman" w:hAnsi="Times New Roman" w:cs="Times New Roman"/>
          <w:sz w:val="20"/>
          <w:szCs w:val="20"/>
        </w:rPr>
        <w:t xml:space="preserve"> Perfect Fit for International Prosecution of Armchair Killers?</w:t>
      </w:r>
      <w:r w:rsidRPr="00135614">
        <w:rPr>
          <w:rFonts w:ascii="Times New Roman" w:hAnsi="Times New Roman" w:cs="Times New Roman"/>
          <w:bCs/>
          <w:sz w:val="20"/>
          <w:szCs w:val="20"/>
        </w:rPr>
        <w:t>’, 9</w:t>
      </w:r>
      <w:r w:rsidRPr="00135614">
        <w:rPr>
          <w:rFonts w:ascii="Times New Roman" w:eastAsiaTheme="minorEastAsia" w:hAnsi="Times New Roman" w:cs="Times New Roman"/>
          <w:bCs/>
          <w:i/>
          <w:sz w:val="20"/>
          <w:szCs w:val="20"/>
          <w:lang w:val="en-US"/>
        </w:rPr>
        <w:t xml:space="preserve"> Journal of International Criminal Justice</w:t>
      </w:r>
      <w:r w:rsidRPr="00135614">
        <w:rPr>
          <w:rFonts w:ascii="Times New Roman" w:hAnsi="Times New Roman" w:cs="Times New Roman"/>
          <w:sz w:val="20"/>
          <w:szCs w:val="20"/>
        </w:rPr>
        <w:t xml:space="preserve"> (2011) 85-89.</w:t>
      </w:r>
    </w:p>
  </w:footnote>
  <w:footnote w:id="9">
    <w:p w14:paraId="7818922C" w14:textId="4AF1AEAE" w:rsidR="0079099C" w:rsidRPr="00135614" w:rsidRDefault="0079099C" w:rsidP="00A818E2">
      <w:pPr>
        <w:pStyle w:val="FootnoteText"/>
        <w:spacing w:after="0" w:line="240" w:lineRule="auto"/>
        <w:jc w:val="both"/>
        <w:rPr>
          <w:rFonts w:ascii="Times New Roman" w:hAnsi="Times New Roman" w:cs="Times New Roman"/>
          <w:sz w:val="20"/>
          <w:szCs w:val="20"/>
        </w:rPr>
      </w:pPr>
      <w:r w:rsidRPr="00135614">
        <w:rPr>
          <w:rStyle w:val="FootnoteReference"/>
          <w:rFonts w:ascii="Times New Roman" w:eastAsiaTheme="majorEastAsia" w:hAnsi="Times New Roman" w:cs="Times New Roman"/>
          <w:sz w:val="20"/>
          <w:szCs w:val="20"/>
        </w:rPr>
        <w:footnoteRef/>
      </w:r>
      <w:r w:rsidRPr="00135614">
        <w:rPr>
          <w:rFonts w:ascii="Times New Roman" w:hAnsi="Times New Roman" w:cs="Times New Roman"/>
          <w:sz w:val="20"/>
          <w:szCs w:val="20"/>
        </w:rPr>
        <w:t xml:space="preserve"> For references to this hierarchy see Prosecutor v. </w:t>
      </w:r>
      <w:r w:rsidRPr="00135614">
        <w:rPr>
          <w:rFonts w:ascii="Times New Roman" w:hAnsi="Times New Roman" w:cs="Times New Roman"/>
          <w:i/>
          <w:sz w:val="20"/>
          <w:szCs w:val="20"/>
        </w:rPr>
        <w:t>Thomas Lubanga Dyilo</w:t>
      </w:r>
      <w:r w:rsidRPr="00135614">
        <w:rPr>
          <w:rFonts w:ascii="Times New Roman" w:hAnsi="Times New Roman" w:cs="Times New Roman"/>
          <w:sz w:val="20"/>
          <w:szCs w:val="20"/>
        </w:rPr>
        <w:t>, ICC-01/04-01/06, Trial Chamber I, Judgement pursuant Article 74 of the Statute, 14 March 2012 (</w:t>
      </w:r>
      <w:r w:rsidRPr="00135614">
        <w:rPr>
          <w:rFonts w:ascii="Times New Roman" w:hAnsi="Times New Roman" w:cs="Times New Roman"/>
          <w:i/>
          <w:sz w:val="20"/>
          <w:szCs w:val="20"/>
        </w:rPr>
        <w:t xml:space="preserve">Lubanga </w:t>
      </w:r>
      <w:r w:rsidRPr="00135614">
        <w:rPr>
          <w:rFonts w:ascii="Times New Roman" w:hAnsi="Times New Roman" w:cs="Times New Roman"/>
          <w:sz w:val="20"/>
          <w:szCs w:val="20"/>
        </w:rPr>
        <w:t xml:space="preserve">Judgement), paras. 996-999; </w:t>
      </w:r>
      <w:r w:rsidRPr="00135614">
        <w:rPr>
          <w:rFonts w:ascii="Times New Roman" w:hAnsi="Times New Roman" w:cs="Times New Roman"/>
          <w:i/>
          <w:sz w:val="20"/>
          <w:szCs w:val="20"/>
        </w:rPr>
        <w:t xml:space="preserve">Katanga </w:t>
      </w:r>
      <w:r w:rsidRPr="00135614">
        <w:rPr>
          <w:rFonts w:ascii="Times New Roman" w:hAnsi="Times New Roman" w:cs="Times New Roman"/>
          <w:sz w:val="20"/>
          <w:szCs w:val="20"/>
        </w:rPr>
        <w:t>Confirmation of Charges paras. 469-471; Prosecutor v.</w:t>
      </w:r>
      <w:r w:rsidRPr="00135614">
        <w:rPr>
          <w:rFonts w:ascii="Times New Roman" w:hAnsi="Times New Roman" w:cs="Times New Roman"/>
          <w:i/>
          <w:sz w:val="20"/>
          <w:szCs w:val="20"/>
        </w:rPr>
        <w:t xml:space="preserve"> Mbarushimana</w:t>
      </w:r>
      <w:r w:rsidRPr="00135614">
        <w:rPr>
          <w:rFonts w:ascii="Times New Roman" w:hAnsi="Times New Roman" w:cs="Times New Roman"/>
          <w:sz w:val="20"/>
          <w:szCs w:val="20"/>
        </w:rPr>
        <w:t>, Pre-Trial Chamber I, ICC-01/04-01/10,</w:t>
      </w:r>
      <w:r w:rsidRPr="00135614">
        <w:rPr>
          <w:rFonts w:ascii="Times New Roman" w:eastAsiaTheme="minorEastAsia" w:hAnsi="Times New Roman" w:cs="Times New Roman"/>
          <w:sz w:val="20"/>
          <w:szCs w:val="20"/>
          <w:lang w:val="en-US"/>
        </w:rPr>
        <w:t xml:space="preserve"> </w:t>
      </w:r>
      <w:r w:rsidRPr="00135614">
        <w:rPr>
          <w:rFonts w:ascii="Times New Roman" w:hAnsi="Times New Roman" w:cs="Times New Roman"/>
          <w:sz w:val="20"/>
          <w:szCs w:val="20"/>
        </w:rPr>
        <w:t>Decision on the Confirmation of Charges, 16 December 2011 (‘</w:t>
      </w:r>
      <w:r w:rsidRPr="00135614">
        <w:rPr>
          <w:rFonts w:ascii="Times New Roman" w:hAnsi="Times New Roman" w:cs="Times New Roman"/>
          <w:i/>
          <w:sz w:val="20"/>
          <w:szCs w:val="20"/>
        </w:rPr>
        <w:t>Mbarushimana</w:t>
      </w:r>
      <w:r w:rsidRPr="00135614">
        <w:rPr>
          <w:rFonts w:ascii="Times New Roman" w:hAnsi="Times New Roman" w:cs="Times New Roman"/>
          <w:sz w:val="20"/>
          <w:szCs w:val="20"/>
        </w:rPr>
        <w:t xml:space="preserve"> Decision’), para. 279. </w:t>
      </w:r>
      <w:r w:rsidRPr="00135614">
        <w:rPr>
          <w:rFonts w:ascii="Times New Roman" w:hAnsi="Times New Roman" w:cs="Times New Roman"/>
          <w:i/>
          <w:sz w:val="20"/>
          <w:szCs w:val="20"/>
        </w:rPr>
        <w:t>Cf</w:t>
      </w:r>
      <w:r w:rsidRPr="00135614">
        <w:rPr>
          <w:rFonts w:ascii="Times New Roman" w:hAnsi="Times New Roman" w:cs="Times New Roman"/>
          <w:sz w:val="20"/>
          <w:szCs w:val="20"/>
        </w:rPr>
        <w:t xml:space="preserve">. Prosecutor v. </w:t>
      </w:r>
      <w:r w:rsidRPr="00135614">
        <w:rPr>
          <w:rFonts w:ascii="Times New Roman" w:hAnsi="Times New Roman" w:cs="Times New Roman"/>
          <w:i/>
          <w:sz w:val="20"/>
          <w:szCs w:val="20"/>
        </w:rPr>
        <w:t>Germain Katanga</w:t>
      </w:r>
      <w:r w:rsidRPr="00135614">
        <w:rPr>
          <w:rFonts w:ascii="Times New Roman" w:hAnsi="Times New Roman" w:cs="Times New Roman"/>
          <w:sz w:val="20"/>
          <w:szCs w:val="20"/>
        </w:rPr>
        <w:t>, ICC-01/04-01/07, Trial Chamber II, Judgement pursuant Article 74 of the Statute, 7 March 2014 (</w:t>
      </w:r>
      <w:r w:rsidRPr="00135614">
        <w:rPr>
          <w:rFonts w:ascii="Times New Roman" w:hAnsi="Times New Roman" w:cs="Times New Roman"/>
          <w:i/>
          <w:sz w:val="20"/>
          <w:szCs w:val="20"/>
        </w:rPr>
        <w:t xml:space="preserve">Katanga </w:t>
      </w:r>
      <w:r w:rsidRPr="00135614">
        <w:rPr>
          <w:rFonts w:ascii="Times New Roman" w:hAnsi="Times New Roman" w:cs="Times New Roman"/>
          <w:sz w:val="20"/>
          <w:szCs w:val="20"/>
        </w:rPr>
        <w:t xml:space="preserve">Judgement), para. 1386; Prosecutor v. </w:t>
      </w:r>
      <w:r w:rsidRPr="00135614">
        <w:rPr>
          <w:rFonts w:ascii="Times New Roman" w:hAnsi="Times New Roman" w:cs="Times New Roman"/>
          <w:i/>
          <w:sz w:val="20"/>
          <w:szCs w:val="20"/>
        </w:rPr>
        <w:t>Germain Katanga</w:t>
      </w:r>
      <w:r w:rsidRPr="00135614">
        <w:rPr>
          <w:rFonts w:ascii="Times New Roman" w:hAnsi="Times New Roman" w:cs="Times New Roman"/>
          <w:sz w:val="20"/>
          <w:szCs w:val="20"/>
        </w:rPr>
        <w:t>, ICC-01/04-01/07, Trial Chamber II, Minority opinion of Judge van den Wyngaert to Judgement Pursuant to Article 74 of the Statute, 7 March 2014 (Minority Opinion of Judge van den Wyngaert), para. 279.</w:t>
      </w:r>
    </w:p>
  </w:footnote>
  <w:footnote w:id="10">
    <w:p w14:paraId="61ACAC73" w14:textId="2F317599" w:rsidR="0079099C" w:rsidRPr="00135614" w:rsidRDefault="0079099C" w:rsidP="00A818E2">
      <w:pPr>
        <w:spacing w:after="0" w:line="240" w:lineRule="auto"/>
        <w:jc w:val="both"/>
        <w:rPr>
          <w:rFonts w:ascii="Times New Roman" w:hAnsi="Times New Roman" w:cs="Times New Roman"/>
          <w:sz w:val="20"/>
          <w:szCs w:val="20"/>
        </w:rPr>
      </w:pPr>
      <w:r w:rsidRPr="00135614">
        <w:rPr>
          <w:rStyle w:val="FootnoteReference"/>
          <w:rFonts w:ascii="Times New Roman" w:eastAsiaTheme="majorEastAsia" w:hAnsi="Times New Roman" w:cs="Times New Roman"/>
          <w:sz w:val="20"/>
          <w:szCs w:val="20"/>
        </w:rPr>
        <w:footnoteRef/>
      </w:r>
      <w:r w:rsidRPr="00135614">
        <w:rPr>
          <w:rFonts w:ascii="Times New Roman" w:hAnsi="Times New Roman" w:cs="Times New Roman"/>
          <w:sz w:val="20"/>
          <w:szCs w:val="20"/>
        </w:rPr>
        <w:t xml:space="preserve"> </w:t>
      </w:r>
      <w:r w:rsidRPr="00135614">
        <w:rPr>
          <w:rFonts w:ascii="Times New Roman" w:hAnsi="Times New Roman" w:cs="Times New Roman"/>
          <w:sz w:val="20"/>
          <w:szCs w:val="20"/>
          <w:lang w:val="en-US"/>
        </w:rPr>
        <w:t>E. Van Sliedregt</w:t>
      </w:r>
      <w:r w:rsidRPr="00135614">
        <w:rPr>
          <w:rFonts w:ascii="Times New Roman" w:hAnsi="Times New Roman" w:cs="Times New Roman"/>
          <w:i/>
          <w:sz w:val="20"/>
          <w:szCs w:val="20"/>
          <w:lang w:val="en-US"/>
        </w:rPr>
        <w:t>, Individual Criminal Responsibility in International Law</w:t>
      </w:r>
      <w:r w:rsidRPr="00135614">
        <w:rPr>
          <w:rFonts w:ascii="Times New Roman" w:hAnsi="Times New Roman" w:cs="Times New Roman"/>
          <w:sz w:val="20"/>
          <w:szCs w:val="20"/>
          <w:lang w:val="en-US"/>
        </w:rPr>
        <w:t xml:space="preserve"> (Oxford University Press, </w:t>
      </w:r>
      <w:r>
        <w:rPr>
          <w:rFonts w:ascii="Times New Roman" w:hAnsi="Times New Roman" w:cs="Times New Roman"/>
          <w:sz w:val="20"/>
          <w:szCs w:val="20"/>
          <w:lang w:val="en-US"/>
        </w:rPr>
        <w:t xml:space="preserve">Oxford, </w:t>
      </w:r>
      <w:r w:rsidRPr="00135614">
        <w:rPr>
          <w:rFonts w:ascii="Times New Roman" w:hAnsi="Times New Roman" w:cs="Times New Roman"/>
          <w:sz w:val="20"/>
          <w:szCs w:val="20"/>
          <w:lang w:val="en-US"/>
        </w:rPr>
        <w:t xml:space="preserve">2012), p. </w:t>
      </w:r>
      <w:r w:rsidRPr="00135614">
        <w:rPr>
          <w:rFonts w:ascii="Times New Roman" w:hAnsi="Times New Roman" w:cs="Times New Roman"/>
          <w:sz w:val="20"/>
          <w:szCs w:val="20"/>
        </w:rPr>
        <w:t>85.</w:t>
      </w:r>
    </w:p>
  </w:footnote>
  <w:footnote w:id="11">
    <w:p w14:paraId="3860AB64" w14:textId="127C004C" w:rsidR="0079099C" w:rsidRPr="00135614" w:rsidRDefault="0079099C" w:rsidP="00D8671A">
      <w:pPr>
        <w:pStyle w:val="FootnoteText"/>
        <w:spacing w:after="0" w:line="240" w:lineRule="auto"/>
        <w:jc w:val="both"/>
        <w:rPr>
          <w:rFonts w:ascii="Times New Roman" w:hAnsi="Times New Roman" w:cs="Times New Roman"/>
          <w:sz w:val="20"/>
          <w:szCs w:val="20"/>
        </w:rPr>
      </w:pPr>
      <w:r w:rsidRPr="00135614">
        <w:rPr>
          <w:rStyle w:val="FootnoteReference"/>
          <w:rFonts w:ascii="Times New Roman" w:eastAsiaTheme="majorEastAsia" w:hAnsi="Times New Roman" w:cs="Times New Roman"/>
          <w:sz w:val="20"/>
          <w:szCs w:val="20"/>
        </w:rPr>
        <w:footnoteRef/>
      </w:r>
      <w:r w:rsidRPr="00135614">
        <w:rPr>
          <w:rFonts w:ascii="Times New Roman" w:hAnsi="Times New Roman" w:cs="Times New Roman"/>
          <w:sz w:val="20"/>
          <w:szCs w:val="20"/>
        </w:rPr>
        <w:t xml:space="preserve"> </w:t>
      </w:r>
      <w:r w:rsidRPr="00135614">
        <w:rPr>
          <w:rFonts w:ascii="Times New Roman" w:hAnsi="Times New Roman" w:cs="Times New Roman"/>
          <w:i/>
          <w:sz w:val="20"/>
          <w:szCs w:val="20"/>
        </w:rPr>
        <w:t>Lubanga</w:t>
      </w:r>
      <w:r w:rsidRPr="00135614">
        <w:rPr>
          <w:rFonts w:ascii="Times New Roman" w:hAnsi="Times New Roman" w:cs="Times New Roman"/>
          <w:sz w:val="20"/>
          <w:szCs w:val="20"/>
        </w:rPr>
        <w:t xml:space="preserve"> Judgement, </w:t>
      </w:r>
      <w:r w:rsidRPr="00135614">
        <w:rPr>
          <w:rFonts w:ascii="Times New Roman" w:hAnsi="Times New Roman" w:cs="Times New Roman"/>
          <w:i/>
          <w:iCs/>
          <w:sz w:val="20"/>
          <w:szCs w:val="20"/>
        </w:rPr>
        <w:t>supra</w:t>
      </w:r>
      <w:r w:rsidRPr="00135614">
        <w:rPr>
          <w:rFonts w:ascii="Times New Roman" w:hAnsi="Times New Roman" w:cs="Times New Roman"/>
          <w:sz w:val="20"/>
          <w:szCs w:val="20"/>
        </w:rPr>
        <w:t xml:space="preserve"> note 8, para. 976. </w:t>
      </w:r>
    </w:p>
  </w:footnote>
  <w:footnote w:id="12">
    <w:p w14:paraId="3472D13E" w14:textId="39913EB2" w:rsidR="0079099C" w:rsidRPr="00135614" w:rsidRDefault="0079099C" w:rsidP="00A818E2">
      <w:pPr>
        <w:pStyle w:val="Default"/>
        <w:jc w:val="both"/>
        <w:rPr>
          <w:sz w:val="20"/>
          <w:szCs w:val="20"/>
        </w:rPr>
      </w:pPr>
      <w:r w:rsidRPr="00135614">
        <w:rPr>
          <w:rStyle w:val="FootnoteReference"/>
          <w:rFonts w:eastAsiaTheme="majorEastAsia"/>
          <w:color w:val="auto"/>
          <w:sz w:val="20"/>
          <w:szCs w:val="20"/>
          <w:lang w:val="en-GB"/>
        </w:rPr>
        <w:footnoteRef/>
      </w:r>
      <w:r w:rsidRPr="00135614">
        <w:rPr>
          <w:sz w:val="20"/>
          <w:szCs w:val="20"/>
        </w:rPr>
        <w:t xml:space="preserve"> </w:t>
      </w:r>
      <w:r w:rsidRPr="00135614">
        <w:rPr>
          <w:i/>
          <w:iCs/>
          <w:sz w:val="20"/>
          <w:szCs w:val="20"/>
        </w:rPr>
        <w:t>Prosecutor</w:t>
      </w:r>
      <w:r w:rsidRPr="00135614">
        <w:rPr>
          <w:sz w:val="20"/>
          <w:szCs w:val="20"/>
        </w:rPr>
        <w:t xml:space="preserve"> v. </w:t>
      </w:r>
      <w:r w:rsidRPr="00135614">
        <w:rPr>
          <w:i/>
          <w:sz w:val="20"/>
          <w:szCs w:val="20"/>
        </w:rPr>
        <w:t xml:space="preserve">Thomas </w:t>
      </w:r>
      <w:r w:rsidRPr="00135614">
        <w:rPr>
          <w:rFonts w:eastAsiaTheme="minorHAnsi"/>
          <w:i/>
          <w:color w:val="auto"/>
          <w:sz w:val="20"/>
          <w:szCs w:val="20"/>
          <w:lang w:val="en-GB"/>
        </w:rPr>
        <w:t>Lubanga Dyilo</w:t>
      </w:r>
      <w:r w:rsidRPr="00135614">
        <w:rPr>
          <w:rFonts w:eastAsiaTheme="minorHAnsi"/>
          <w:color w:val="auto"/>
          <w:sz w:val="20"/>
          <w:szCs w:val="20"/>
          <w:lang w:val="en-GB"/>
        </w:rPr>
        <w:t>, ICC-01/04-01/06 A 5, Appeals Chamber</w:t>
      </w:r>
      <w:r w:rsidRPr="00135614">
        <w:rPr>
          <w:sz w:val="20"/>
          <w:szCs w:val="20"/>
        </w:rPr>
        <w:t xml:space="preserve"> Judgment on the appeal of Mr Thomas Lubanga Dyilo against his conviction, 1 December 2014 (</w:t>
      </w:r>
      <w:r w:rsidRPr="00135614">
        <w:rPr>
          <w:i/>
          <w:sz w:val="20"/>
          <w:szCs w:val="20"/>
        </w:rPr>
        <w:t xml:space="preserve">Lubanga </w:t>
      </w:r>
      <w:r w:rsidRPr="00135614">
        <w:rPr>
          <w:sz w:val="20"/>
          <w:szCs w:val="20"/>
        </w:rPr>
        <w:t xml:space="preserve">Appeal Judgment), para. 462. </w:t>
      </w:r>
    </w:p>
  </w:footnote>
  <w:footnote w:id="13">
    <w:p w14:paraId="04B06585" w14:textId="3B32E3C1" w:rsidR="0079099C" w:rsidRPr="00135614" w:rsidRDefault="0079099C" w:rsidP="00A818E2">
      <w:pPr>
        <w:pStyle w:val="FootnoteText"/>
        <w:spacing w:after="0" w:line="240" w:lineRule="auto"/>
        <w:jc w:val="both"/>
        <w:rPr>
          <w:rFonts w:ascii="Times New Roman" w:hAnsi="Times New Roman" w:cs="Times New Roman"/>
          <w:sz w:val="20"/>
          <w:szCs w:val="20"/>
          <w:lang w:val="en-US"/>
        </w:rPr>
      </w:pPr>
      <w:r w:rsidRPr="00135614">
        <w:rPr>
          <w:rStyle w:val="FootnoteReference"/>
          <w:rFonts w:ascii="Times New Roman" w:hAnsi="Times New Roman" w:cs="Times New Roman"/>
          <w:sz w:val="20"/>
          <w:szCs w:val="20"/>
        </w:rPr>
        <w:footnoteRef/>
      </w:r>
      <w:r w:rsidRPr="00135614">
        <w:rPr>
          <w:rFonts w:ascii="Times New Roman" w:hAnsi="Times New Roman" w:cs="Times New Roman"/>
          <w:sz w:val="20"/>
          <w:szCs w:val="20"/>
        </w:rPr>
        <w:t xml:space="preserve"> </w:t>
      </w:r>
      <w:r w:rsidRPr="00135614">
        <w:rPr>
          <w:rFonts w:ascii="Times New Roman" w:hAnsi="Times New Roman" w:cs="Times New Roman"/>
          <w:i/>
          <w:sz w:val="20"/>
          <w:szCs w:val="20"/>
        </w:rPr>
        <w:t xml:space="preserve">Lubanga </w:t>
      </w:r>
      <w:r>
        <w:rPr>
          <w:rFonts w:ascii="Times New Roman" w:hAnsi="Times New Roman" w:cs="Times New Roman"/>
          <w:sz w:val="20"/>
          <w:szCs w:val="20"/>
        </w:rPr>
        <w:t xml:space="preserve">Appeal Judgement, </w:t>
      </w:r>
      <w:r w:rsidRPr="001A359E">
        <w:rPr>
          <w:rFonts w:ascii="Times New Roman" w:hAnsi="Times New Roman" w:cs="Times New Roman"/>
          <w:i/>
          <w:sz w:val="20"/>
          <w:szCs w:val="20"/>
        </w:rPr>
        <w:t>supra</w:t>
      </w:r>
      <w:r>
        <w:rPr>
          <w:rFonts w:ascii="Times New Roman" w:hAnsi="Times New Roman" w:cs="Times New Roman"/>
          <w:sz w:val="20"/>
          <w:szCs w:val="20"/>
        </w:rPr>
        <w:t xml:space="preserve"> note 11, </w:t>
      </w:r>
      <w:r w:rsidRPr="00135614">
        <w:rPr>
          <w:rFonts w:ascii="Times New Roman" w:hAnsi="Times New Roman" w:cs="Times New Roman"/>
          <w:sz w:val="20"/>
          <w:szCs w:val="20"/>
        </w:rPr>
        <w:t>para. 469.</w:t>
      </w:r>
    </w:p>
  </w:footnote>
  <w:footnote w:id="14">
    <w:p w14:paraId="6F9BFF94" w14:textId="5A5C6818" w:rsidR="0079099C" w:rsidRPr="00135614" w:rsidRDefault="0079099C" w:rsidP="00A818E2">
      <w:pPr>
        <w:pStyle w:val="FootnoteText"/>
        <w:spacing w:after="0" w:line="240" w:lineRule="auto"/>
        <w:jc w:val="both"/>
        <w:rPr>
          <w:rFonts w:ascii="Times New Roman" w:hAnsi="Times New Roman" w:cs="Times New Roman"/>
          <w:sz w:val="20"/>
          <w:szCs w:val="20"/>
        </w:rPr>
      </w:pPr>
      <w:r w:rsidRPr="00135614">
        <w:rPr>
          <w:rStyle w:val="FootnoteReference"/>
          <w:rFonts w:ascii="Times New Roman" w:eastAsiaTheme="majorEastAsia" w:hAnsi="Times New Roman" w:cs="Times New Roman"/>
          <w:sz w:val="20"/>
          <w:szCs w:val="20"/>
        </w:rPr>
        <w:footnoteRef/>
      </w:r>
      <w:r w:rsidRPr="00135614">
        <w:rPr>
          <w:rFonts w:ascii="Times New Roman" w:hAnsi="Times New Roman" w:cs="Times New Roman"/>
          <w:sz w:val="20"/>
          <w:szCs w:val="20"/>
        </w:rPr>
        <w:t xml:space="preserve"> Prosecutor v. </w:t>
      </w:r>
      <w:r w:rsidRPr="00135614">
        <w:rPr>
          <w:rFonts w:ascii="Times New Roman" w:hAnsi="Times New Roman" w:cs="Times New Roman"/>
          <w:i/>
          <w:sz w:val="20"/>
          <w:szCs w:val="20"/>
        </w:rPr>
        <w:t>Thomas Lubanga Dyilo</w:t>
      </w:r>
      <w:r w:rsidRPr="00135614">
        <w:rPr>
          <w:rFonts w:ascii="Times New Roman" w:hAnsi="Times New Roman" w:cs="Times New Roman"/>
          <w:sz w:val="20"/>
          <w:szCs w:val="20"/>
        </w:rPr>
        <w:t>, ICC-01/04-01/06, Separate Opinion of Judge Adrian Fulford to the Trial Chamber I, Judgement pursuant Article 74 of the Statute, 14 March 2012 (‘Separate Opinion of Judge Fulford’).</w:t>
      </w:r>
    </w:p>
  </w:footnote>
  <w:footnote w:id="15">
    <w:p w14:paraId="4EA8D251" w14:textId="4E3B6DDC" w:rsidR="0079099C" w:rsidRPr="00135614" w:rsidRDefault="0079099C" w:rsidP="00A818E2">
      <w:pPr>
        <w:pStyle w:val="FootnoteText"/>
        <w:spacing w:after="0" w:line="240" w:lineRule="auto"/>
        <w:jc w:val="both"/>
        <w:rPr>
          <w:rFonts w:ascii="Times New Roman" w:hAnsi="Times New Roman" w:cs="Times New Roman"/>
          <w:sz w:val="20"/>
          <w:szCs w:val="20"/>
        </w:rPr>
      </w:pPr>
      <w:r w:rsidRPr="00135614">
        <w:rPr>
          <w:rStyle w:val="FootnoteReference"/>
          <w:rFonts w:ascii="Times New Roman" w:eastAsiaTheme="majorEastAsia" w:hAnsi="Times New Roman" w:cs="Times New Roman"/>
          <w:sz w:val="20"/>
          <w:szCs w:val="20"/>
        </w:rPr>
        <w:footnoteRef/>
      </w:r>
      <w:r w:rsidRPr="00135614">
        <w:rPr>
          <w:rFonts w:ascii="Times New Roman" w:hAnsi="Times New Roman" w:cs="Times New Roman"/>
          <w:sz w:val="20"/>
          <w:szCs w:val="20"/>
        </w:rPr>
        <w:t xml:space="preserve"> Prosecutor v. </w:t>
      </w:r>
      <w:r w:rsidRPr="00135614">
        <w:rPr>
          <w:rFonts w:ascii="Times New Roman" w:hAnsi="Times New Roman" w:cs="Times New Roman"/>
          <w:i/>
          <w:sz w:val="20"/>
          <w:szCs w:val="20"/>
        </w:rPr>
        <w:t xml:space="preserve">Germain Katanga and Mathieu Ngudjolo Chui, </w:t>
      </w:r>
      <w:r w:rsidRPr="00135614">
        <w:rPr>
          <w:rFonts w:ascii="Times New Roman" w:eastAsiaTheme="minorEastAsia" w:hAnsi="Times New Roman" w:cs="Times New Roman"/>
          <w:sz w:val="20"/>
          <w:szCs w:val="20"/>
          <w:lang w:val="en-US"/>
        </w:rPr>
        <w:t>ICC-01/04-01/07</w:t>
      </w:r>
      <w:r w:rsidRPr="00135614">
        <w:rPr>
          <w:rFonts w:ascii="Times New Roman" w:hAnsi="Times New Roman" w:cs="Times New Roman"/>
          <w:sz w:val="20"/>
          <w:szCs w:val="20"/>
        </w:rPr>
        <w:t xml:space="preserve">, Trial Chamber II, </w:t>
      </w:r>
      <w:r w:rsidRPr="00135614">
        <w:rPr>
          <w:rFonts w:ascii="Times New Roman" w:eastAsiaTheme="minorEastAsia" w:hAnsi="Times New Roman" w:cs="Times New Roman"/>
          <w:sz w:val="20"/>
          <w:szCs w:val="20"/>
          <w:lang w:val="en-US"/>
        </w:rPr>
        <w:t>Decision on the implementation of regulation 55 of the Regulations of the Court and severing the charges against the accused persons</w:t>
      </w:r>
      <w:r w:rsidRPr="00135614">
        <w:rPr>
          <w:rFonts w:ascii="Times New Roman" w:hAnsi="Times New Roman" w:cs="Times New Roman"/>
          <w:sz w:val="20"/>
          <w:szCs w:val="20"/>
        </w:rPr>
        <w:t>, 21 November 2012 (‘</w:t>
      </w:r>
      <w:r w:rsidRPr="00135614">
        <w:rPr>
          <w:rFonts w:ascii="Times New Roman" w:hAnsi="Times New Roman" w:cs="Times New Roman"/>
          <w:i/>
          <w:sz w:val="20"/>
          <w:szCs w:val="20"/>
        </w:rPr>
        <w:t xml:space="preserve">Katanga </w:t>
      </w:r>
      <w:r w:rsidRPr="00135614">
        <w:rPr>
          <w:rFonts w:ascii="Times New Roman" w:hAnsi="Times New Roman" w:cs="Times New Roman"/>
          <w:sz w:val="20"/>
          <w:szCs w:val="20"/>
        </w:rPr>
        <w:t>Severing Decision’), para. 7.</w:t>
      </w:r>
    </w:p>
  </w:footnote>
  <w:footnote w:id="16">
    <w:p w14:paraId="3D994983" w14:textId="693C966B" w:rsidR="0079099C" w:rsidRPr="00135614" w:rsidRDefault="0079099C" w:rsidP="00A818E2">
      <w:pPr>
        <w:pStyle w:val="FootnoteText"/>
        <w:spacing w:after="0" w:line="240" w:lineRule="auto"/>
        <w:jc w:val="both"/>
        <w:rPr>
          <w:rFonts w:ascii="Times New Roman" w:hAnsi="Times New Roman" w:cs="Times New Roman"/>
          <w:sz w:val="20"/>
          <w:szCs w:val="20"/>
          <w:lang w:val="en-US"/>
        </w:rPr>
      </w:pPr>
      <w:r w:rsidRPr="00135614">
        <w:rPr>
          <w:rStyle w:val="FootnoteReference"/>
          <w:rFonts w:ascii="Times New Roman" w:hAnsi="Times New Roman" w:cs="Times New Roman"/>
          <w:sz w:val="20"/>
          <w:szCs w:val="20"/>
        </w:rPr>
        <w:footnoteRef/>
      </w:r>
      <w:r w:rsidRPr="00135614">
        <w:rPr>
          <w:rFonts w:ascii="Times New Roman" w:hAnsi="Times New Roman" w:cs="Times New Roman"/>
          <w:sz w:val="20"/>
          <w:szCs w:val="20"/>
        </w:rPr>
        <w:t xml:space="preserve"> </w:t>
      </w:r>
      <w:r w:rsidRPr="00135614">
        <w:rPr>
          <w:rFonts w:ascii="Times New Roman" w:hAnsi="Times New Roman" w:cs="Times New Roman"/>
          <w:i/>
          <w:sz w:val="20"/>
          <w:szCs w:val="20"/>
        </w:rPr>
        <w:t xml:space="preserve">Katanga </w:t>
      </w:r>
      <w:r w:rsidRPr="00135614">
        <w:rPr>
          <w:rFonts w:ascii="Times New Roman" w:hAnsi="Times New Roman" w:cs="Times New Roman"/>
          <w:sz w:val="20"/>
          <w:szCs w:val="20"/>
        </w:rPr>
        <w:t xml:space="preserve">Judgement, </w:t>
      </w:r>
      <w:r w:rsidRPr="002C4E23">
        <w:rPr>
          <w:rFonts w:ascii="Times New Roman" w:hAnsi="Times New Roman" w:cs="Times New Roman"/>
          <w:i/>
          <w:sz w:val="20"/>
          <w:szCs w:val="20"/>
        </w:rPr>
        <w:t>supra</w:t>
      </w:r>
      <w:r>
        <w:rPr>
          <w:rFonts w:ascii="Times New Roman" w:hAnsi="Times New Roman" w:cs="Times New Roman"/>
          <w:sz w:val="20"/>
          <w:szCs w:val="20"/>
        </w:rPr>
        <w:t xml:space="preserve"> note 8, </w:t>
      </w:r>
      <w:r w:rsidRPr="00135614">
        <w:rPr>
          <w:rFonts w:ascii="Times New Roman" w:hAnsi="Times New Roman" w:cs="Times New Roman"/>
          <w:sz w:val="20"/>
          <w:szCs w:val="20"/>
        </w:rPr>
        <w:t>para. 1691.</w:t>
      </w:r>
    </w:p>
  </w:footnote>
  <w:footnote w:id="17">
    <w:p w14:paraId="3CA6097F" w14:textId="4A3DB5E2" w:rsidR="0079099C" w:rsidRPr="00135614" w:rsidRDefault="0079099C" w:rsidP="00A818E2">
      <w:pPr>
        <w:pStyle w:val="FootnoteText"/>
        <w:spacing w:after="0" w:line="240" w:lineRule="auto"/>
        <w:jc w:val="both"/>
        <w:rPr>
          <w:rFonts w:ascii="Times New Roman" w:hAnsi="Times New Roman" w:cs="Times New Roman"/>
          <w:sz w:val="20"/>
          <w:szCs w:val="20"/>
        </w:rPr>
      </w:pPr>
      <w:r w:rsidRPr="00135614">
        <w:rPr>
          <w:rStyle w:val="FootnoteReference"/>
          <w:rFonts w:ascii="Times New Roman" w:eastAsiaTheme="majorEastAsia" w:hAnsi="Times New Roman" w:cs="Times New Roman"/>
          <w:sz w:val="20"/>
          <w:szCs w:val="20"/>
        </w:rPr>
        <w:footnoteRef/>
      </w:r>
      <w:r w:rsidRPr="00135614">
        <w:rPr>
          <w:rFonts w:ascii="Times New Roman" w:hAnsi="Times New Roman" w:cs="Times New Roman"/>
          <w:sz w:val="20"/>
          <w:szCs w:val="20"/>
        </w:rPr>
        <w:t xml:space="preserve"> </w:t>
      </w:r>
      <w:r w:rsidRPr="00135614">
        <w:rPr>
          <w:rFonts w:ascii="Times New Roman" w:hAnsi="Times New Roman" w:cs="Times New Roman"/>
          <w:i/>
          <w:sz w:val="20"/>
          <w:szCs w:val="20"/>
        </w:rPr>
        <w:t>Katanga</w:t>
      </w:r>
      <w:r w:rsidRPr="00135614">
        <w:rPr>
          <w:rFonts w:ascii="Times New Roman" w:hAnsi="Times New Roman" w:cs="Times New Roman"/>
          <w:sz w:val="20"/>
          <w:szCs w:val="20"/>
        </w:rPr>
        <w:t xml:space="preserve"> Severing Decision, </w:t>
      </w:r>
      <w:r w:rsidRPr="00743E61">
        <w:rPr>
          <w:rFonts w:ascii="Times New Roman" w:hAnsi="Times New Roman" w:cs="Times New Roman"/>
          <w:i/>
          <w:sz w:val="20"/>
          <w:szCs w:val="20"/>
        </w:rPr>
        <w:t>supra</w:t>
      </w:r>
      <w:r>
        <w:rPr>
          <w:rFonts w:ascii="Times New Roman" w:hAnsi="Times New Roman" w:cs="Times New Roman"/>
          <w:sz w:val="20"/>
          <w:szCs w:val="20"/>
        </w:rPr>
        <w:t xml:space="preserve"> note 14, </w:t>
      </w:r>
      <w:r w:rsidRPr="00135614">
        <w:rPr>
          <w:rFonts w:ascii="Times New Roman" w:hAnsi="Times New Roman" w:cs="Times New Roman"/>
          <w:sz w:val="20"/>
          <w:szCs w:val="20"/>
        </w:rPr>
        <w:t>para. 59.</w:t>
      </w:r>
    </w:p>
  </w:footnote>
  <w:footnote w:id="18">
    <w:p w14:paraId="48C71DFC" w14:textId="2F77B85A" w:rsidR="0079099C" w:rsidRPr="00135614" w:rsidRDefault="0079099C" w:rsidP="00A818E2">
      <w:pPr>
        <w:pStyle w:val="FootnoteText"/>
        <w:spacing w:after="0" w:line="240" w:lineRule="auto"/>
        <w:jc w:val="both"/>
        <w:rPr>
          <w:rFonts w:ascii="Times New Roman" w:hAnsi="Times New Roman" w:cs="Times New Roman"/>
          <w:sz w:val="20"/>
          <w:szCs w:val="20"/>
        </w:rPr>
      </w:pPr>
      <w:r w:rsidRPr="00135614">
        <w:rPr>
          <w:rStyle w:val="FootnoteReference"/>
          <w:rFonts w:ascii="Times New Roman" w:eastAsiaTheme="majorEastAsia" w:hAnsi="Times New Roman" w:cs="Times New Roman"/>
          <w:sz w:val="20"/>
          <w:szCs w:val="20"/>
        </w:rPr>
        <w:footnoteRef/>
      </w:r>
      <w:r w:rsidRPr="00135614">
        <w:rPr>
          <w:rFonts w:ascii="Times New Roman" w:hAnsi="Times New Roman" w:cs="Times New Roman"/>
          <w:sz w:val="20"/>
          <w:szCs w:val="20"/>
        </w:rPr>
        <w:t xml:space="preserve"> The Prosecutor v.</w:t>
      </w:r>
      <w:r w:rsidRPr="00135614">
        <w:rPr>
          <w:rFonts w:ascii="Times New Roman" w:hAnsi="Times New Roman" w:cs="Times New Roman"/>
          <w:i/>
          <w:sz w:val="20"/>
          <w:szCs w:val="20"/>
        </w:rPr>
        <w:t xml:space="preserve"> Mathieu Ngudjolo</w:t>
      </w:r>
      <w:r w:rsidRPr="00135614">
        <w:rPr>
          <w:rFonts w:ascii="Times New Roman" w:hAnsi="Times New Roman" w:cs="Times New Roman"/>
          <w:sz w:val="20"/>
          <w:szCs w:val="20"/>
        </w:rPr>
        <w:t xml:space="preserve"> </w:t>
      </w:r>
      <w:r w:rsidRPr="00135614">
        <w:rPr>
          <w:rFonts w:ascii="Times New Roman" w:hAnsi="Times New Roman" w:cs="Times New Roman"/>
          <w:i/>
          <w:sz w:val="20"/>
          <w:szCs w:val="20"/>
        </w:rPr>
        <w:t>Chui</w:t>
      </w:r>
      <w:r w:rsidRPr="00135614">
        <w:rPr>
          <w:rFonts w:ascii="Times New Roman" w:hAnsi="Times New Roman" w:cs="Times New Roman"/>
          <w:sz w:val="20"/>
          <w:szCs w:val="20"/>
        </w:rPr>
        <w:t>, ICC-01/04-02/12-4, Trial Chamber II, Judgement Pursuant to Article 74 of the Statute (‘</w:t>
      </w:r>
      <w:r w:rsidRPr="00135614">
        <w:rPr>
          <w:rFonts w:ascii="Times New Roman" w:hAnsi="Times New Roman" w:cs="Times New Roman"/>
          <w:i/>
          <w:sz w:val="20"/>
          <w:szCs w:val="20"/>
        </w:rPr>
        <w:t>Ngudjol</w:t>
      </w:r>
      <w:r>
        <w:rPr>
          <w:rFonts w:ascii="Times New Roman" w:hAnsi="Times New Roman" w:cs="Times New Roman"/>
          <w:i/>
          <w:sz w:val="20"/>
          <w:szCs w:val="20"/>
        </w:rPr>
        <w:t xml:space="preserve">o </w:t>
      </w:r>
      <w:r w:rsidRPr="00135614">
        <w:rPr>
          <w:rFonts w:ascii="Times New Roman" w:hAnsi="Times New Roman" w:cs="Times New Roman"/>
          <w:i/>
          <w:sz w:val="20"/>
          <w:szCs w:val="20"/>
        </w:rPr>
        <w:t>Chui</w:t>
      </w:r>
      <w:r w:rsidRPr="00135614">
        <w:rPr>
          <w:rFonts w:ascii="Times New Roman" w:hAnsi="Times New Roman" w:cs="Times New Roman"/>
          <w:sz w:val="20"/>
          <w:szCs w:val="20"/>
        </w:rPr>
        <w:t xml:space="preserve"> Judgement of Acquittal’), 18 December 2012, para. 503.</w:t>
      </w:r>
    </w:p>
  </w:footnote>
  <w:footnote w:id="19">
    <w:p w14:paraId="19D62604" w14:textId="7C9E5DB6" w:rsidR="0079099C" w:rsidRPr="00135614" w:rsidRDefault="0079099C" w:rsidP="00A818E2">
      <w:pPr>
        <w:pStyle w:val="FootnoteText"/>
        <w:spacing w:after="0" w:line="240" w:lineRule="auto"/>
        <w:jc w:val="both"/>
        <w:rPr>
          <w:rFonts w:ascii="Times New Roman" w:hAnsi="Times New Roman" w:cs="Times New Roman"/>
          <w:sz w:val="20"/>
          <w:szCs w:val="20"/>
        </w:rPr>
      </w:pPr>
      <w:r w:rsidRPr="00135614">
        <w:rPr>
          <w:rStyle w:val="FootnoteReference"/>
          <w:rFonts w:ascii="Times New Roman" w:eastAsiaTheme="majorEastAsia" w:hAnsi="Times New Roman" w:cs="Times New Roman"/>
          <w:sz w:val="20"/>
          <w:szCs w:val="20"/>
        </w:rPr>
        <w:footnoteRef/>
      </w:r>
      <w:r w:rsidRPr="00135614">
        <w:rPr>
          <w:rFonts w:ascii="Times New Roman" w:hAnsi="Times New Roman" w:cs="Times New Roman"/>
          <w:sz w:val="20"/>
          <w:szCs w:val="20"/>
        </w:rPr>
        <w:t xml:space="preserve"> The Prosecutor v.</w:t>
      </w:r>
      <w:r w:rsidRPr="00135614">
        <w:rPr>
          <w:rFonts w:ascii="Times New Roman" w:hAnsi="Times New Roman" w:cs="Times New Roman"/>
          <w:i/>
          <w:sz w:val="20"/>
          <w:szCs w:val="20"/>
        </w:rPr>
        <w:t xml:space="preserve"> Mathieu Ngudjolo</w:t>
      </w:r>
      <w:r w:rsidRPr="00135614">
        <w:rPr>
          <w:rFonts w:ascii="Times New Roman" w:hAnsi="Times New Roman" w:cs="Times New Roman"/>
          <w:sz w:val="20"/>
          <w:szCs w:val="20"/>
        </w:rPr>
        <w:t xml:space="preserve"> Chui, ICC-01/04-02/12-4, Trial Chamber II, Concurring opinion of Judge van den Wyngaert to Judgement Pursuant to Article 74 of the Statute, 18 December 2012 (‘Concurring Opinion of Judge van den Wyngaert’), para. 6.</w:t>
      </w:r>
    </w:p>
  </w:footnote>
  <w:footnote w:id="20">
    <w:p w14:paraId="477D1648" w14:textId="2C3BDB2A" w:rsidR="0079099C" w:rsidRPr="00135614" w:rsidRDefault="0079099C" w:rsidP="00A818E2">
      <w:pPr>
        <w:pStyle w:val="FootnoteText"/>
        <w:spacing w:after="0" w:line="240" w:lineRule="auto"/>
        <w:jc w:val="both"/>
        <w:rPr>
          <w:rFonts w:ascii="Times New Roman" w:hAnsi="Times New Roman" w:cs="Times New Roman"/>
          <w:sz w:val="20"/>
          <w:szCs w:val="20"/>
        </w:rPr>
      </w:pPr>
      <w:r w:rsidRPr="00135614">
        <w:rPr>
          <w:rStyle w:val="FootnoteReference"/>
          <w:rFonts w:ascii="Times New Roman" w:eastAsiaTheme="majorEastAsia" w:hAnsi="Times New Roman" w:cs="Times New Roman"/>
          <w:sz w:val="20"/>
          <w:szCs w:val="20"/>
        </w:rPr>
        <w:footnoteRef/>
      </w:r>
      <w:r w:rsidRPr="00135614">
        <w:rPr>
          <w:rFonts w:ascii="Times New Roman" w:hAnsi="Times New Roman" w:cs="Times New Roman"/>
          <w:sz w:val="20"/>
          <w:szCs w:val="20"/>
        </w:rPr>
        <w:t xml:space="preserve"> </w:t>
      </w:r>
      <w:r w:rsidRPr="00135614">
        <w:rPr>
          <w:rFonts w:ascii="Times New Roman" w:eastAsia="Times New Roman" w:hAnsi="Times New Roman" w:cs="Times New Roman"/>
          <w:sz w:val="20"/>
          <w:szCs w:val="20"/>
          <w:lang w:eastAsia="en-GB"/>
        </w:rPr>
        <w:t xml:space="preserve">Prosecutor v. </w:t>
      </w:r>
      <w:r w:rsidRPr="00135614">
        <w:rPr>
          <w:rFonts w:ascii="Times New Roman" w:hAnsi="Times New Roman" w:cs="Times New Roman"/>
          <w:i/>
          <w:sz w:val="20"/>
          <w:szCs w:val="20"/>
          <w:lang w:val="en-US"/>
        </w:rPr>
        <w:t>Laurent Koudou Gbagbo</w:t>
      </w:r>
      <w:r w:rsidRPr="00135614">
        <w:rPr>
          <w:rFonts w:ascii="Times New Roman" w:hAnsi="Times New Roman" w:cs="Times New Roman"/>
          <w:sz w:val="20"/>
          <w:szCs w:val="20"/>
          <w:lang w:val="en-US"/>
        </w:rPr>
        <w:t xml:space="preserve">, </w:t>
      </w:r>
      <w:r w:rsidRPr="00135614">
        <w:rPr>
          <w:rFonts w:ascii="Times New Roman" w:hAnsi="Times New Roman" w:cs="Times New Roman"/>
          <w:sz w:val="20"/>
          <w:szCs w:val="20"/>
        </w:rPr>
        <w:t xml:space="preserve">Pre-Trial Chamber III, ICC-02/11, </w:t>
      </w:r>
      <w:r w:rsidRPr="00135614">
        <w:rPr>
          <w:rFonts w:ascii="Times New Roman" w:hAnsi="Times New Roman" w:cs="Times New Roman"/>
          <w:sz w:val="20"/>
          <w:szCs w:val="20"/>
          <w:lang w:val="en-US"/>
        </w:rPr>
        <w:t>Warrant of Arrest for Laurent Koudou Gbagbo</w:t>
      </w:r>
      <w:r w:rsidRPr="00135614">
        <w:rPr>
          <w:rFonts w:ascii="Times New Roman" w:hAnsi="Times New Roman" w:cs="Times New Roman"/>
          <w:sz w:val="20"/>
          <w:szCs w:val="20"/>
        </w:rPr>
        <w:t xml:space="preserve">, 23 November 2011, para. 11; </w:t>
      </w:r>
      <w:r w:rsidRPr="00135614">
        <w:rPr>
          <w:rFonts w:ascii="Times New Roman" w:eastAsia="Times New Roman" w:hAnsi="Times New Roman" w:cs="Times New Roman"/>
          <w:sz w:val="20"/>
          <w:szCs w:val="20"/>
          <w:lang w:eastAsia="en-GB"/>
        </w:rPr>
        <w:t xml:space="preserve">Prosecutor v. </w:t>
      </w:r>
      <w:r w:rsidRPr="00135614">
        <w:rPr>
          <w:rFonts w:ascii="Times New Roman" w:hAnsi="Times New Roman" w:cs="Times New Roman"/>
          <w:i/>
          <w:sz w:val="20"/>
          <w:szCs w:val="20"/>
          <w:lang w:val="en-US"/>
        </w:rPr>
        <w:t>Simone Gbagbo</w:t>
      </w:r>
      <w:r w:rsidRPr="00135614">
        <w:rPr>
          <w:rFonts w:ascii="Times New Roman" w:hAnsi="Times New Roman" w:cs="Times New Roman"/>
          <w:sz w:val="20"/>
          <w:szCs w:val="20"/>
          <w:lang w:val="en-US"/>
        </w:rPr>
        <w:t xml:space="preserve">, </w:t>
      </w:r>
      <w:r w:rsidRPr="00135614">
        <w:rPr>
          <w:rFonts w:ascii="Times New Roman" w:hAnsi="Times New Roman" w:cs="Times New Roman"/>
          <w:sz w:val="20"/>
          <w:szCs w:val="20"/>
        </w:rPr>
        <w:t xml:space="preserve">Pre-Trial Chamber </w:t>
      </w:r>
      <w:proofErr w:type="gramStart"/>
      <w:r w:rsidRPr="00135614">
        <w:rPr>
          <w:rFonts w:ascii="Times New Roman" w:hAnsi="Times New Roman" w:cs="Times New Roman"/>
          <w:sz w:val="20"/>
          <w:szCs w:val="20"/>
        </w:rPr>
        <w:t>III</w:t>
      </w:r>
      <w:r w:rsidRPr="00135614" w:rsidDel="00C55818">
        <w:rPr>
          <w:rFonts w:ascii="Times New Roman" w:hAnsi="Times New Roman" w:cs="Times New Roman"/>
          <w:sz w:val="20"/>
          <w:szCs w:val="20"/>
        </w:rPr>
        <w:t xml:space="preserve"> </w:t>
      </w:r>
      <w:r w:rsidRPr="00135614">
        <w:rPr>
          <w:rFonts w:ascii="Times New Roman" w:hAnsi="Times New Roman" w:cs="Times New Roman"/>
          <w:sz w:val="20"/>
          <w:szCs w:val="20"/>
        </w:rPr>
        <w:t xml:space="preserve"> ICC</w:t>
      </w:r>
      <w:proofErr w:type="gramEnd"/>
      <w:r w:rsidRPr="00135614">
        <w:rPr>
          <w:rFonts w:ascii="Times New Roman" w:hAnsi="Times New Roman" w:cs="Times New Roman"/>
          <w:sz w:val="20"/>
          <w:szCs w:val="20"/>
        </w:rPr>
        <w:t xml:space="preserve">-02/11-01/12, </w:t>
      </w:r>
      <w:r w:rsidRPr="00135614">
        <w:rPr>
          <w:rFonts w:ascii="Times New Roman" w:hAnsi="Times New Roman" w:cs="Times New Roman"/>
          <w:sz w:val="20"/>
          <w:szCs w:val="20"/>
          <w:lang w:val="en-US"/>
        </w:rPr>
        <w:t xml:space="preserve">Warrant of Arrest for </w:t>
      </w:r>
      <w:r w:rsidRPr="00135614">
        <w:rPr>
          <w:rFonts w:ascii="Times New Roman" w:hAnsi="Times New Roman" w:cs="Times New Roman"/>
          <w:sz w:val="20"/>
          <w:szCs w:val="20"/>
        </w:rPr>
        <w:t xml:space="preserve">Simone </w:t>
      </w:r>
      <w:r w:rsidRPr="00135614">
        <w:rPr>
          <w:rFonts w:ascii="Times New Roman" w:hAnsi="Times New Roman" w:cs="Times New Roman"/>
          <w:i/>
          <w:sz w:val="20"/>
          <w:szCs w:val="20"/>
        </w:rPr>
        <w:t>Gbagbo</w:t>
      </w:r>
      <w:r w:rsidRPr="00135614">
        <w:rPr>
          <w:rFonts w:ascii="Times New Roman" w:hAnsi="Times New Roman" w:cs="Times New Roman"/>
          <w:sz w:val="20"/>
          <w:szCs w:val="20"/>
        </w:rPr>
        <w:t>, 29 February 2012, para. 16.</w:t>
      </w:r>
    </w:p>
  </w:footnote>
  <w:footnote w:id="21">
    <w:p w14:paraId="29A719C1" w14:textId="0AD5FC87" w:rsidR="0079099C" w:rsidRPr="00135614" w:rsidRDefault="0079099C" w:rsidP="00A818E2">
      <w:pPr>
        <w:pStyle w:val="FootnoteText"/>
        <w:spacing w:after="0" w:line="240" w:lineRule="auto"/>
        <w:jc w:val="both"/>
        <w:rPr>
          <w:rFonts w:ascii="Times New Roman" w:hAnsi="Times New Roman" w:cs="Times New Roman"/>
          <w:sz w:val="20"/>
          <w:szCs w:val="20"/>
          <w:lang w:val="en-US"/>
        </w:rPr>
      </w:pPr>
      <w:r w:rsidRPr="00135614">
        <w:rPr>
          <w:rStyle w:val="FootnoteReference"/>
          <w:rFonts w:ascii="Times New Roman" w:hAnsi="Times New Roman" w:cs="Times New Roman"/>
          <w:sz w:val="20"/>
          <w:szCs w:val="20"/>
        </w:rPr>
        <w:footnoteRef/>
      </w:r>
      <w:r w:rsidRPr="00135614">
        <w:rPr>
          <w:rFonts w:ascii="Times New Roman" w:hAnsi="Times New Roman" w:cs="Times New Roman"/>
          <w:sz w:val="20"/>
          <w:szCs w:val="20"/>
        </w:rPr>
        <w:t xml:space="preserve"> </w:t>
      </w:r>
      <w:r w:rsidRPr="00135614">
        <w:rPr>
          <w:rFonts w:ascii="Times New Roman" w:eastAsia="Times New Roman" w:hAnsi="Times New Roman" w:cs="Times New Roman"/>
          <w:sz w:val="20"/>
          <w:szCs w:val="20"/>
          <w:lang w:eastAsia="en-GB"/>
        </w:rPr>
        <w:t xml:space="preserve">Prosecutor v. </w:t>
      </w:r>
      <w:r w:rsidRPr="00135614">
        <w:rPr>
          <w:rFonts w:ascii="Times New Roman" w:hAnsi="Times New Roman" w:cs="Times New Roman"/>
          <w:i/>
          <w:sz w:val="20"/>
          <w:szCs w:val="20"/>
        </w:rPr>
        <w:t>Laurent Gbagbo,</w:t>
      </w:r>
      <w:r w:rsidRPr="00135614">
        <w:rPr>
          <w:rFonts w:ascii="Times New Roman" w:hAnsi="Times New Roman" w:cs="Times New Roman"/>
          <w:sz w:val="20"/>
          <w:szCs w:val="20"/>
        </w:rPr>
        <w:t xml:space="preserve"> ICC-02/1-01/1</w:t>
      </w:r>
      <w:r w:rsidRPr="00135614">
        <w:rPr>
          <w:rFonts w:ascii="Times New Roman" w:eastAsia="Times New Roman" w:hAnsi="Times New Roman" w:cs="Times New Roman"/>
          <w:sz w:val="20"/>
          <w:szCs w:val="20"/>
          <w:lang w:eastAsia="en-GB"/>
        </w:rPr>
        <w:t>, Pre-Trial III, Decision on the Confirmation of Charges against Laurent Gbagbo, 12 June 2014</w:t>
      </w:r>
      <w:r w:rsidRPr="00135614">
        <w:rPr>
          <w:rFonts w:ascii="Times New Roman" w:hAnsi="Times New Roman" w:cs="Times New Roman"/>
          <w:sz w:val="20"/>
          <w:szCs w:val="20"/>
        </w:rPr>
        <w:t>, paras. 226-228.</w:t>
      </w:r>
    </w:p>
  </w:footnote>
  <w:footnote w:id="22">
    <w:p w14:paraId="7278242C" w14:textId="1A706796" w:rsidR="0079099C" w:rsidRPr="00135614" w:rsidRDefault="0079099C" w:rsidP="00A818E2">
      <w:pPr>
        <w:pStyle w:val="FootnoteText"/>
        <w:spacing w:after="0" w:line="240" w:lineRule="auto"/>
        <w:jc w:val="both"/>
        <w:rPr>
          <w:rFonts w:ascii="Times New Roman" w:hAnsi="Times New Roman" w:cs="Times New Roman"/>
          <w:sz w:val="20"/>
          <w:szCs w:val="20"/>
          <w:lang w:val="en-US"/>
        </w:rPr>
      </w:pPr>
      <w:r w:rsidRPr="00135614">
        <w:rPr>
          <w:rStyle w:val="FootnoteReference"/>
          <w:rFonts w:ascii="Times New Roman" w:hAnsi="Times New Roman" w:cs="Times New Roman"/>
          <w:sz w:val="20"/>
          <w:szCs w:val="20"/>
        </w:rPr>
        <w:footnoteRef/>
      </w:r>
      <w:r w:rsidRPr="00135614">
        <w:rPr>
          <w:rFonts w:ascii="Times New Roman" w:hAnsi="Times New Roman" w:cs="Times New Roman"/>
          <w:sz w:val="20"/>
          <w:szCs w:val="20"/>
        </w:rPr>
        <w:t xml:space="preserve"> Eg. Sadat and Jolly,</w:t>
      </w:r>
      <w:r w:rsidRPr="00135614">
        <w:rPr>
          <w:rFonts w:ascii="Times New Roman" w:hAnsi="Times New Roman" w:cs="Times New Roman"/>
          <w:i/>
          <w:sz w:val="20"/>
          <w:szCs w:val="20"/>
        </w:rPr>
        <w:t xml:space="preserve"> supra </w:t>
      </w:r>
      <w:r w:rsidRPr="00135614">
        <w:rPr>
          <w:rFonts w:ascii="Times New Roman" w:hAnsi="Times New Roman" w:cs="Times New Roman"/>
          <w:sz w:val="20"/>
          <w:szCs w:val="20"/>
        </w:rPr>
        <w:t xml:space="preserve">note 4. </w:t>
      </w:r>
      <w:r w:rsidRPr="00135614">
        <w:rPr>
          <w:rFonts w:ascii="Times New Roman" w:hAnsi="Times New Roman" w:cs="Times New Roman"/>
          <w:vanish/>
          <w:sz w:val="20"/>
          <w:szCs w:val="20"/>
        </w:rPr>
        <w:t xml:space="preserve"> and Jolly a note 5.  of interpretation of Article 25</w:t>
      </w:r>
      <w:r w:rsidRPr="00135614">
        <w:rPr>
          <w:rFonts w:ascii="Times New Roman" w:hAnsi="Times New Roman" w:cs="Times New Roman"/>
          <w:vanish/>
          <w:sz w:val="20"/>
          <w:szCs w:val="20"/>
        </w:rPr>
        <w:cr/>
        <w:t xml:space="preserve">ppeal judgement, the signs of disallusenment with this apporach </w:t>
      </w:r>
      <w:r w:rsidRPr="00135614">
        <w:rPr>
          <w:rFonts w:ascii="Times New Roman" w:hAnsi="Times New Roman" w:cs="Times New Roman"/>
          <w:vanish/>
          <w:sz w:val="20"/>
          <w:szCs w:val="20"/>
        </w:rPr>
        <w:pgNum/>
      </w:r>
      <w:r w:rsidRPr="00135614">
        <w:rPr>
          <w:rFonts w:ascii="Times New Roman" w:hAnsi="Times New Roman" w:cs="Times New Roman"/>
          <w:vanish/>
          <w:sz w:val="20"/>
          <w:szCs w:val="20"/>
        </w:rPr>
        <w:pgNum/>
      </w:r>
      <w:r w:rsidRPr="00135614">
        <w:rPr>
          <w:rFonts w:ascii="Times New Roman" w:hAnsi="Times New Roman" w:cs="Times New Roman"/>
          <w:vanish/>
          <w:sz w:val="20"/>
          <w:szCs w:val="20"/>
        </w:rPr>
        <w:pgNum/>
      </w:r>
      <w:r w:rsidRPr="00135614">
        <w:rPr>
          <w:rFonts w:ascii="Times New Roman" w:hAnsi="Times New Roman" w:cs="Times New Roman"/>
          <w:vanish/>
          <w:sz w:val="20"/>
          <w:szCs w:val="20"/>
        </w:rPr>
        <w:pgNum/>
      </w:r>
      <w:r w:rsidRPr="00135614">
        <w:rPr>
          <w:rFonts w:ascii="Times New Roman" w:hAnsi="Times New Roman" w:cs="Times New Roman"/>
          <w:vanish/>
          <w:sz w:val="20"/>
          <w:szCs w:val="20"/>
        </w:rPr>
        <w:pgNum/>
      </w:r>
      <w:r w:rsidRPr="00135614">
        <w:rPr>
          <w:rFonts w:ascii="Times New Roman" w:hAnsi="Times New Roman" w:cs="Times New Roman"/>
          <w:vanish/>
          <w:sz w:val="20"/>
          <w:szCs w:val="20"/>
        </w:rPr>
        <w:pgNum/>
      </w:r>
      <w:r w:rsidRPr="00135614">
        <w:rPr>
          <w:rFonts w:ascii="Times New Roman" w:hAnsi="Times New Roman" w:cs="Times New Roman"/>
          <w:vanish/>
          <w:sz w:val="20"/>
          <w:szCs w:val="20"/>
        </w:rPr>
        <w:pgNum/>
      </w:r>
      <w:r w:rsidRPr="00135614">
        <w:rPr>
          <w:rFonts w:ascii="Times New Roman" w:hAnsi="Times New Roman" w:cs="Times New Roman"/>
          <w:vanish/>
          <w:sz w:val="20"/>
          <w:szCs w:val="20"/>
        </w:rPr>
        <w:pgNum/>
      </w:r>
      <w:r w:rsidRPr="00135614">
        <w:rPr>
          <w:rFonts w:ascii="Times New Roman" w:hAnsi="Times New Roman" w:cs="Times New Roman"/>
          <w:vanish/>
          <w:sz w:val="20"/>
          <w:szCs w:val="20"/>
        </w:rPr>
        <w:pgNum/>
      </w:r>
      <w:r w:rsidRPr="00135614">
        <w:rPr>
          <w:rFonts w:ascii="Times New Roman" w:hAnsi="Times New Roman" w:cs="Times New Roman"/>
          <w:vanish/>
          <w:sz w:val="20"/>
          <w:szCs w:val="20"/>
        </w:rPr>
        <w:pgNum/>
      </w:r>
    </w:p>
  </w:footnote>
  <w:footnote w:id="23">
    <w:p w14:paraId="242642CF" w14:textId="1ED32BD9" w:rsidR="0079099C" w:rsidRPr="00135614" w:rsidRDefault="0079099C" w:rsidP="00A818E2">
      <w:pPr>
        <w:spacing w:after="0" w:line="240" w:lineRule="auto"/>
        <w:jc w:val="both"/>
        <w:rPr>
          <w:rFonts w:ascii="Times New Roman" w:hAnsi="Times New Roman" w:cs="Times New Roman"/>
          <w:sz w:val="20"/>
          <w:szCs w:val="20"/>
        </w:rPr>
      </w:pPr>
      <w:r w:rsidRPr="00135614">
        <w:rPr>
          <w:rStyle w:val="FootnoteReference"/>
          <w:rFonts w:ascii="Times New Roman" w:eastAsiaTheme="majorEastAsia" w:hAnsi="Times New Roman" w:cs="Times New Roman"/>
          <w:sz w:val="20"/>
          <w:szCs w:val="20"/>
        </w:rPr>
        <w:footnoteRef/>
      </w:r>
      <w:r w:rsidRPr="00135614">
        <w:rPr>
          <w:rFonts w:ascii="Times New Roman" w:hAnsi="Times New Roman" w:cs="Times New Roman"/>
          <w:sz w:val="20"/>
          <w:szCs w:val="20"/>
        </w:rPr>
        <w:t xml:space="preserve"> K. Ambos, ‘Article 25: Individual Criminal Responsibility’, in O. Triffterer (eds) </w:t>
      </w:r>
      <w:r w:rsidRPr="00135614">
        <w:rPr>
          <w:rFonts w:ascii="Times New Roman" w:hAnsi="Times New Roman" w:cs="Times New Roman"/>
          <w:i/>
          <w:sz w:val="20"/>
          <w:szCs w:val="20"/>
        </w:rPr>
        <w:t xml:space="preserve">Commentary on the Rome Statute of the International Criminal Court: Observers' Notes, Article by Article </w:t>
      </w:r>
      <w:r w:rsidRPr="00135614">
        <w:rPr>
          <w:rFonts w:ascii="Times New Roman" w:hAnsi="Times New Roman" w:cs="Times New Roman"/>
          <w:sz w:val="20"/>
          <w:szCs w:val="20"/>
        </w:rPr>
        <w:t>(</w:t>
      </w:r>
      <w:r>
        <w:rPr>
          <w:rFonts w:ascii="Times New Roman" w:hAnsi="Times New Roman" w:cs="Times New Roman"/>
          <w:sz w:val="20"/>
          <w:szCs w:val="20"/>
        </w:rPr>
        <w:t xml:space="preserve">Beck/Hart, </w:t>
      </w:r>
      <w:r w:rsidRPr="00135614">
        <w:rPr>
          <w:rFonts w:ascii="Times New Roman" w:hAnsi="Times New Roman" w:cs="Times New Roman"/>
          <w:sz w:val="20"/>
          <w:szCs w:val="20"/>
        </w:rPr>
        <w:t>2003), p. 479.</w:t>
      </w:r>
    </w:p>
  </w:footnote>
  <w:footnote w:id="24">
    <w:p w14:paraId="6ADDBEE3" w14:textId="77777777" w:rsidR="0079099C" w:rsidRPr="00135614" w:rsidRDefault="0079099C" w:rsidP="00A818E2">
      <w:pPr>
        <w:pStyle w:val="FootnoteText"/>
        <w:spacing w:after="0" w:line="240" w:lineRule="auto"/>
        <w:jc w:val="both"/>
        <w:rPr>
          <w:rFonts w:ascii="Times New Roman" w:hAnsi="Times New Roman" w:cs="Times New Roman"/>
          <w:sz w:val="20"/>
          <w:szCs w:val="20"/>
        </w:rPr>
      </w:pPr>
      <w:r w:rsidRPr="00135614">
        <w:rPr>
          <w:rStyle w:val="FootnoteReference"/>
          <w:rFonts w:ascii="Times New Roman" w:eastAsiaTheme="majorEastAsia" w:hAnsi="Times New Roman" w:cs="Times New Roman"/>
          <w:sz w:val="20"/>
          <w:szCs w:val="20"/>
        </w:rPr>
        <w:footnoteRef/>
      </w:r>
      <w:r w:rsidRPr="00135614">
        <w:rPr>
          <w:rFonts w:ascii="Times New Roman" w:hAnsi="Times New Roman" w:cs="Times New Roman"/>
          <w:sz w:val="20"/>
          <w:szCs w:val="20"/>
        </w:rPr>
        <w:t xml:space="preserve"> </w:t>
      </w:r>
      <w:r w:rsidRPr="00135614">
        <w:rPr>
          <w:rFonts w:ascii="Times New Roman" w:hAnsi="Times New Roman" w:cs="Times New Roman"/>
          <w:i/>
          <w:sz w:val="20"/>
          <w:szCs w:val="20"/>
        </w:rPr>
        <w:t>Ibid.</w:t>
      </w:r>
    </w:p>
  </w:footnote>
  <w:footnote w:id="25">
    <w:p w14:paraId="57F0F370" w14:textId="77777777" w:rsidR="0079099C" w:rsidRPr="00135614" w:rsidRDefault="0079099C" w:rsidP="00A818E2">
      <w:pPr>
        <w:pStyle w:val="FootnoteText"/>
        <w:spacing w:after="0" w:line="240" w:lineRule="auto"/>
        <w:jc w:val="both"/>
        <w:rPr>
          <w:rFonts w:ascii="Times New Roman" w:hAnsi="Times New Roman" w:cs="Times New Roman"/>
          <w:sz w:val="20"/>
          <w:szCs w:val="20"/>
        </w:rPr>
      </w:pPr>
      <w:r w:rsidRPr="00135614">
        <w:rPr>
          <w:rStyle w:val="FootnoteReference"/>
          <w:rFonts w:ascii="Times New Roman" w:eastAsiaTheme="majorEastAsia" w:hAnsi="Times New Roman" w:cs="Times New Roman"/>
          <w:sz w:val="20"/>
          <w:szCs w:val="20"/>
        </w:rPr>
        <w:footnoteRef/>
      </w:r>
      <w:r w:rsidRPr="00135614">
        <w:rPr>
          <w:rStyle w:val="FootnoteReference"/>
          <w:rFonts w:ascii="Times New Roman" w:eastAsiaTheme="majorEastAsia" w:hAnsi="Times New Roman" w:cs="Times New Roman"/>
          <w:sz w:val="20"/>
          <w:szCs w:val="20"/>
        </w:rPr>
        <w:t xml:space="preserve"> </w:t>
      </w:r>
      <w:r w:rsidRPr="00135614">
        <w:rPr>
          <w:rFonts w:ascii="Times New Roman" w:hAnsi="Times New Roman" w:cs="Times New Roman"/>
          <w:sz w:val="20"/>
          <w:szCs w:val="20"/>
        </w:rPr>
        <w:t xml:space="preserve">The initial Working paper submitted by Canada, Germany, Netherlands and the United Kingdom to the Preparatory Committee as part of work on the modes of responsibility provided for the commission “through a person who is not criminally responsible”. Working paper submitted by Canada, Germany, Netherlands and the United Kingdom to the Preparatory Committee (‘Working Paper’), A/AC.249/1997/WG.2/DAT1, 14 February 1997. This formulation changed to “through another person regardless of whether that person is criminally responsible” in the </w:t>
      </w:r>
      <w:r w:rsidRPr="00135614">
        <w:rPr>
          <w:rFonts w:ascii="Times New Roman" w:hAnsi="Times New Roman" w:cs="Times New Roman"/>
          <w:bCs/>
          <w:sz w:val="20"/>
          <w:szCs w:val="20"/>
          <w:lang w:val="en-US"/>
        </w:rPr>
        <w:t xml:space="preserve">Report of the ICC Preparatory Committee, </w:t>
      </w:r>
      <w:r w:rsidRPr="00135614">
        <w:rPr>
          <w:rFonts w:ascii="Times New Roman" w:hAnsi="Times New Roman" w:cs="Times New Roman"/>
          <w:sz w:val="20"/>
          <w:szCs w:val="20"/>
        </w:rPr>
        <w:t>DOCUMENT A/CONF.183/2, 14 April 1998, at 31.</w:t>
      </w:r>
    </w:p>
  </w:footnote>
  <w:footnote w:id="26">
    <w:p w14:paraId="51B7FBF5" w14:textId="6C2E8719" w:rsidR="0079099C" w:rsidRPr="00135614" w:rsidRDefault="0079099C" w:rsidP="00A818E2">
      <w:pPr>
        <w:pStyle w:val="FootnoteText"/>
        <w:spacing w:after="0" w:line="240" w:lineRule="auto"/>
        <w:jc w:val="both"/>
        <w:rPr>
          <w:rFonts w:ascii="Times New Roman" w:hAnsi="Times New Roman" w:cs="Times New Roman"/>
          <w:sz w:val="20"/>
          <w:szCs w:val="20"/>
          <w:lang w:val="en-US"/>
        </w:rPr>
      </w:pPr>
      <w:r w:rsidRPr="00135614">
        <w:rPr>
          <w:rStyle w:val="FootnoteReference"/>
          <w:rFonts w:ascii="Times New Roman" w:hAnsi="Times New Roman" w:cs="Times New Roman"/>
          <w:sz w:val="20"/>
          <w:szCs w:val="20"/>
        </w:rPr>
        <w:footnoteRef/>
      </w:r>
      <w:r w:rsidRPr="00135614">
        <w:rPr>
          <w:rFonts w:ascii="Times New Roman" w:hAnsi="Times New Roman" w:cs="Times New Roman"/>
          <w:sz w:val="20"/>
          <w:szCs w:val="20"/>
        </w:rPr>
        <w:t xml:space="preserve"> </w:t>
      </w:r>
      <w:r w:rsidRPr="00135614">
        <w:rPr>
          <w:rFonts w:ascii="Times New Roman" w:hAnsi="Times New Roman" w:cs="Times New Roman"/>
          <w:i/>
          <w:sz w:val="20"/>
          <w:szCs w:val="20"/>
          <w:lang w:val="en-US"/>
        </w:rPr>
        <w:t>Katanga</w:t>
      </w:r>
      <w:r w:rsidRPr="00135614">
        <w:rPr>
          <w:rFonts w:ascii="Times New Roman" w:hAnsi="Times New Roman" w:cs="Times New Roman"/>
          <w:sz w:val="20"/>
          <w:szCs w:val="20"/>
          <w:lang w:val="en-US"/>
        </w:rPr>
        <w:t xml:space="preserve"> Judgment,</w:t>
      </w:r>
      <w:r w:rsidR="006C0FD4">
        <w:rPr>
          <w:rFonts w:ascii="Times New Roman" w:hAnsi="Times New Roman" w:cs="Times New Roman"/>
          <w:sz w:val="20"/>
          <w:szCs w:val="20"/>
          <w:lang w:val="en-US"/>
        </w:rPr>
        <w:t xml:space="preserve"> </w:t>
      </w:r>
      <w:r w:rsidR="006C0FD4" w:rsidRPr="006C0FD4">
        <w:rPr>
          <w:rFonts w:ascii="Times New Roman" w:hAnsi="Times New Roman" w:cs="Times New Roman"/>
          <w:i/>
          <w:sz w:val="20"/>
          <w:szCs w:val="20"/>
          <w:lang w:val="en-US"/>
        </w:rPr>
        <w:t>supra</w:t>
      </w:r>
      <w:r w:rsidR="006C0FD4">
        <w:rPr>
          <w:rFonts w:ascii="Times New Roman" w:hAnsi="Times New Roman" w:cs="Times New Roman"/>
          <w:sz w:val="20"/>
          <w:szCs w:val="20"/>
          <w:lang w:val="en-US"/>
        </w:rPr>
        <w:t xml:space="preserve"> note 8,</w:t>
      </w:r>
      <w:r w:rsidRPr="00135614">
        <w:rPr>
          <w:rFonts w:ascii="Times New Roman" w:hAnsi="Times New Roman" w:cs="Times New Roman"/>
          <w:sz w:val="20"/>
          <w:szCs w:val="20"/>
          <w:lang w:val="en-US"/>
        </w:rPr>
        <w:t xml:space="preserve"> </w:t>
      </w:r>
      <w:r w:rsidRPr="00135614">
        <w:rPr>
          <w:rFonts w:ascii="Times New Roman" w:eastAsia="Times New Roman" w:hAnsi="Times New Roman" w:cs="Times New Roman"/>
          <w:sz w:val="20"/>
          <w:szCs w:val="20"/>
          <w:lang w:eastAsia="en-GB"/>
        </w:rPr>
        <w:t xml:space="preserve">para. 1398. See also Sliedregt, </w:t>
      </w:r>
      <w:r w:rsidRPr="00135614">
        <w:rPr>
          <w:rFonts w:ascii="Times New Roman" w:eastAsia="Times New Roman" w:hAnsi="Times New Roman" w:cs="Times New Roman"/>
          <w:i/>
          <w:sz w:val="20"/>
          <w:szCs w:val="20"/>
          <w:lang w:eastAsia="en-GB"/>
        </w:rPr>
        <w:t>supra</w:t>
      </w:r>
      <w:r w:rsidRPr="00135614">
        <w:rPr>
          <w:rFonts w:ascii="Times New Roman" w:eastAsia="Times New Roman" w:hAnsi="Times New Roman" w:cs="Times New Roman"/>
          <w:sz w:val="20"/>
          <w:szCs w:val="20"/>
          <w:lang w:eastAsia="en-GB"/>
        </w:rPr>
        <w:t xml:space="preserve"> note 9, p. 88.</w:t>
      </w:r>
    </w:p>
  </w:footnote>
  <w:footnote w:id="27">
    <w:p w14:paraId="1A49D1E7" w14:textId="7BF5E6C0" w:rsidR="0079099C" w:rsidRPr="00135614" w:rsidRDefault="0079099C" w:rsidP="00A818E2">
      <w:pPr>
        <w:autoSpaceDE w:val="0"/>
        <w:autoSpaceDN w:val="0"/>
        <w:adjustRightInd w:val="0"/>
        <w:spacing w:after="0" w:line="240" w:lineRule="auto"/>
        <w:jc w:val="both"/>
        <w:rPr>
          <w:rFonts w:ascii="Times New Roman" w:hAnsi="Times New Roman" w:cs="Times New Roman"/>
          <w:sz w:val="20"/>
          <w:szCs w:val="20"/>
        </w:rPr>
      </w:pPr>
      <w:r w:rsidRPr="00135614">
        <w:rPr>
          <w:rStyle w:val="FootnoteReference"/>
          <w:rFonts w:ascii="Times New Roman" w:hAnsi="Times New Roman" w:cs="Times New Roman"/>
          <w:sz w:val="20"/>
          <w:szCs w:val="20"/>
        </w:rPr>
        <w:footnoteRef/>
      </w:r>
      <w:r w:rsidRPr="00135614">
        <w:rPr>
          <w:rFonts w:ascii="Times New Roman" w:hAnsi="Times New Roman" w:cs="Times New Roman"/>
          <w:sz w:val="20"/>
          <w:szCs w:val="20"/>
        </w:rPr>
        <w:t xml:space="preserve"> </w:t>
      </w:r>
      <w:r w:rsidRPr="00135614">
        <w:rPr>
          <w:rFonts w:ascii="Times New Roman" w:eastAsia="Times New Roman" w:hAnsi="Times New Roman" w:cs="Times New Roman"/>
          <w:i/>
          <w:sz w:val="20"/>
          <w:szCs w:val="20"/>
          <w:lang w:eastAsia="en-GB"/>
        </w:rPr>
        <w:t>Katanga</w:t>
      </w:r>
      <w:r w:rsidRPr="00135614">
        <w:rPr>
          <w:rFonts w:ascii="Times New Roman" w:eastAsia="Times New Roman" w:hAnsi="Times New Roman" w:cs="Times New Roman"/>
          <w:sz w:val="20"/>
          <w:szCs w:val="20"/>
          <w:lang w:eastAsia="en-GB"/>
        </w:rPr>
        <w:t xml:space="preserve"> Decision, </w:t>
      </w:r>
      <w:r w:rsidRPr="004138CF">
        <w:rPr>
          <w:rFonts w:ascii="Times New Roman" w:eastAsia="Times New Roman" w:hAnsi="Times New Roman" w:cs="Times New Roman"/>
          <w:i/>
          <w:sz w:val="20"/>
          <w:szCs w:val="20"/>
          <w:lang w:eastAsia="en-GB"/>
        </w:rPr>
        <w:t>supra</w:t>
      </w:r>
      <w:r>
        <w:rPr>
          <w:rFonts w:ascii="Times New Roman" w:eastAsia="Times New Roman" w:hAnsi="Times New Roman" w:cs="Times New Roman"/>
          <w:sz w:val="20"/>
          <w:szCs w:val="20"/>
          <w:lang w:eastAsia="en-GB"/>
        </w:rPr>
        <w:t xml:space="preserve"> note 3, </w:t>
      </w:r>
      <w:r w:rsidRPr="00135614">
        <w:rPr>
          <w:rFonts w:ascii="Times New Roman" w:eastAsia="Times New Roman" w:hAnsi="Times New Roman" w:cs="Times New Roman"/>
          <w:sz w:val="20"/>
          <w:szCs w:val="20"/>
          <w:lang w:eastAsia="en-GB"/>
        </w:rPr>
        <w:t xml:space="preserve">paras. 480-486, 490, 500-514, 527-539; </w:t>
      </w:r>
      <w:r w:rsidRPr="00135614">
        <w:rPr>
          <w:rFonts w:ascii="Times New Roman" w:eastAsia="Times New Roman" w:hAnsi="Times New Roman" w:cs="Times New Roman"/>
          <w:i/>
          <w:sz w:val="20"/>
          <w:szCs w:val="20"/>
          <w:lang w:eastAsia="en-GB"/>
        </w:rPr>
        <w:t>Lubanga</w:t>
      </w:r>
      <w:r w:rsidRPr="00135614">
        <w:rPr>
          <w:rFonts w:ascii="Times New Roman" w:eastAsia="Times New Roman" w:hAnsi="Times New Roman" w:cs="Times New Roman"/>
          <w:sz w:val="20"/>
          <w:szCs w:val="20"/>
          <w:lang w:eastAsia="en-GB"/>
        </w:rPr>
        <w:t xml:space="preserve"> Decision, </w:t>
      </w:r>
      <w:r w:rsidRPr="004138CF">
        <w:rPr>
          <w:rFonts w:ascii="Times New Roman" w:eastAsia="Times New Roman" w:hAnsi="Times New Roman" w:cs="Times New Roman"/>
          <w:i/>
          <w:sz w:val="20"/>
          <w:szCs w:val="20"/>
          <w:lang w:eastAsia="en-GB"/>
        </w:rPr>
        <w:t>supra</w:t>
      </w:r>
      <w:r>
        <w:rPr>
          <w:rFonts w:ascii="Times New Roman" w:eastAsia="Times New Roman" w:hAnsi="Times New Roman" w:cs="Times New Roman"/>
          <w:sz w:val="20"/>
          <w:szCs w:val="20"/>
          <w:lang w:eastAsia="en-GB"/>
        </w:rPr>
        <w:t xml:space="preserve"> note 3, </w:t>
      </w:r>
      <w:r w:rsidRPr="00135614">
        <w:rPr>
          <w:rFonts w:ascii="Times New Roman" w:eastAsia="Times New Roman" w:hAnsi="Times New Roman" w:cs="Times New Roman"/>
          <w:sz w:val="20"/>
          <w:szCs w:val="20"/>
          <w:lang w:eastAsia="en-GB"/>
        </w:rPr>
        <w:t xml:space="preserve">paras. 328-333; Prosecutor v. </w:t>
      </w:r>
      <w:r w:rsidRPr="00135614">
        <w:rPr>
          <w:rFonts w:ascii="Times New Roman" w:eastAsia="Times New Roman" w:hAnsi="Times New Roman" w:cs="Times New Roman"/>
          <w:i/>
          <w:sz w:val="20"/>
          <w:szCs w:val="20"/>
          <w:lang w:eastAsia="en-GB"/>
        </w:rPr>
        <w:t>William Samoei Ruto, Henry Kiprono Kosgey and Joshua Arap Sang</w:t>
      </w:r>
      <w:r w:rsidRPr="00135614">
        <w:rPr>
          <w:rFonts w:ascii="Times New Roman" w:eastAsia="Times New Roman" w:hAnsi="Times New Roman" w:cs="Times New Roman"/>
          <w:sz w:val="20"/>
          <w:szCs w:val="20"/>
          <w:lang w:eastAsia="en-GB"/>
        </w:rPr>
        <w:t>, ICC-01/09-01/11-373, Pre-Trial Chamber II, Decision on the Confirmation of Charges Pursuant to Article 61(7)(a) and (b) of the Rome Statute, 23 January 2012 (‘</w:t>
      </w:r>
      <w:r w:rsidRPr="00135614">
        <w:rPr>
          <w:rFonts w:ascii="Times New Roman" w:eastAsia="Times New Roman" w:hAnsi="Times New Roman" w:cs="Times New Roman"/>
          <w:i/>
          <w:sz w:val="20"/>
          <w:szCs w:val="20"/>
          <w:lang w:eastAsia="en-GB"/>
        </w:rPr>
        <w:t>Ruto</w:t>
      </w:r>
      <w:r w:rsidRPr="00135614">
        <w:rPr>
          <w:rFonts w:ascii="Times New Roman" w:eastAsia="Times New Roman" w:hAnsi="Times New Roman" w:cs="Times New Roman"/>
          <w:sz w:val="20"/>
          <w:szCs w:val="20"/>
          <w:lang w:eastAsia="en-GB"/>
        </w:rPr>
        <w:t xml:space="preserve"> Decision’), paras. 291-292.</w:t>
      </w:r>
    </w:p>
  </w:footnote>
  <w:footnote w:id="28">
    <w:p w14:paraId="57188ACA" w14:textId="248CF40C" w:rsidR="0079099C" w:rsidRPr="00135614" w:rsidRDefault="0079099C" w:rsidP="00A818E2">
      <w:pPr>
        <w:pStyle w:val="FootnoteText"/>
        <w:spacing w:after="0" w:line="240" w:lineRule="auto"/>
        <w:jc w:val="both"/>
        <w:rPr>
          <w:rFonts w:ascii="Times New Roman" w:hAnsi="Times New Roman" w:cs="Times New Roman"/>
          <w:sz w:val="20"/>
          <w:szCs w:val="20"/>
        </w:rPr>
      </w:pPr>
      <w:r w:rsidRPr="00135614">
        <w:rPr>
          <w:rStyle w:val="FootnoteReference"/>
          <w:rFonts w:ascii="Times New Roman" w:eastAsiaTheme="majorEastAsia" w:hAnsi="Times New Roman" w:cs="Times New Roman"/>
          <w:sz w:val="20"/>
          <w:szCs w:val="20"/>
        </w:rPr>
        <w:footnoteRef/>
      </w:r>
      <w:r w:rsidRPr="00135614">
        <w:rPr>
          <w:rFonts w:ascii="Times New Roman" w:hAnsi="Times New Roman" w:cs="Times New Roman"/>
          <w:sz w:val="20"/>
          <w:szCs w:val="20"/>
        </w:rPr>
        <w:t xml:space="preserve"> </w:t>
      </w:r>
      <w:r w:rsidRPr="00135614">
        <w:rPr>
          <w:rFonts w:ascii="Times New Roman" w:hAnsi="Times New Roman" w:cs="Times New Roman"/>
          <w:i/>
          <w:sz w:val="20"/>
          <w:szCs w:val="20"/>
        </w:rPr>
        <w:t>Lubanga</w:t>
      </w:r>
      <w:r w:rsidRPr="00135614">
        <w:rPr>
          <w:rFonts w:ascii="Times New Roman" w:hAnsi="Times New Roman" w:cs="Times New Roman"/>
          <w:sz w:val="20"/>
          <w:szCs w:val="20"/>
        </w:rPr>
        <w:t xml:space="preserve"> Decision, </w:t>
      </w:r>
      <w:r w:rsidRPr="004138CF">
        <w:rPr>
          <w:rFonts w:ascii="Times New Roman" w:eastAsia="Times New Roman" w:hAnsi="Times New Roman" w:cs="Times New Roman"/>
          <w:i/>
          <w:sz w:val="20"/>
          <w:szCs w:val="20"/>
          <w:lang w:eastAsia="en-GB"/>
        </w:rPr>
        <w:t>supra</w:t>
      </w:r>
      <w:r>
        <w:rPr>
          <w:rFonts w:ascii="Times New Roman" w:eastAsia="Times New Roman" w:hAnsi="Times New Roman" w:cs="Times New Roman"/>
          <w:sz w:val="20"/>
          <w:szCs w:val="20"/>
          <w:lang w:eastAsia="en-GB"/>
        </w:rPr>
        <w:t xml:space="preserve"> note 3, </w:t>
      </w:r>
      <w:r w:rsidRPr="00135614">
        <w:rPr>
          <w:rFonts w:ascii="Times New Roman" w:hAnsi="Times New Roman" w:cs="Times New Roman"/>
          <w:sz w:val="20"/>
          <w:szCs w:val="20"/>
        </w:rPr>
        <w:t>para. 328.</w:t>
      </w:r>
    </w:p>
  </w:footnote>
  <w:footnote w:id="29">
    <w:p w14:paraId="639145CA" w14:textId="6FC8764B" w:rsidR="0079099C" w:rsidRPr="00135614" w:rsidRDefault="0079099C" w:rsidP="00A818E2">
      <w:pPr>
        <w:pStyle w:val="FootnoteText"/>
        <w:spacing w:after="0" w:line="240" w:lineRule="auto"/>
        <w:jc w:val="both"/>
        <w:rPr>
          <w:rFonts w:ascii="Times New Roman" w:hAnsi="Times New Roman" w:cs="Times New Roman"/>
          <w:sz w:val="20"/>
          <w:szCs w:val="20"/>
        </w:rPr>
      </w:pPr>
      <w:r w:rsidRPr="00135614">
        <w:rPr>
          <w:rStyle w:val="FootnoteReference"/>
          <w:rFonts w:ascii="Times New Roman" w:eastAsiaTheme="majorEastAsia" w:hAnsi="Times New Roman" w:cs="Times New Roman"/>
          <w:sz w:val="20"/>
          <w:szCs w:val="20"/>
        </w:rPr>
        <w:footnoteRef/>
      </w:r>
      <w:r w:rsidRPr="00135614">
        <w:rPr>
          <w:rFonts w:ascii="Times New Roman" w:hAnsi="Times New Roman" w:cs="Times New Roman"/>
          <w:sz w:val="20"/>
          <w:szCs w:val="20"/>
        </w:rPr>
        <w:t xml:space="preserve"> </w:t>
      </w:r>
      <w:r w:rsidRPr="00135614">
        <w:rPr>
          <w:rFonts w:ascii="Times New Roman" w:hAnsi="Times New Roman" w:cs="Times New Roman"/>
          <w:i/>
          <w:sz w:val="20"/>
          <w:szCs w:val="20"/>
        </w:rPr>
        <w:t>Ibid</w:t>
      </w:r>
      <w:r w:rsidRPr="00135614">
        <w:rPr>
          <w:rFonts w:ascii="Times New Roman" w:hAnsi="Times New Roman" w:cs="Times New Roman"/>
          <w:sz w:val="20"/>
          <w:szCs w:val="20"/>
        </w:rPr>
        <w:t>, para. 329.</w:t>
      </w:r>
    </w:p>
  </w:footnote>
  <w:footnote w:id="30">
    <w:p w14:paraId="572F517D" w14:textId="6993EC14" w:rsidR="0079099C" w:rsidRPr="00135614" w:rsidRDefault="0079099C" w:rsidP="00A818E2">
      <w:pPr>
        <w:pStyle w:val="FootnoteText"/>
        <w:spacing w:after="0" w:line="240" w:lineRule="auto"/>
        <w:jc w:val="both"/>
        <w:rPr>
          <w:rFonts w:ascii="Times New Roman" w:hAnsi="Times New Roman" w:cs="Times New Roman"/>
          <w:sz w:val="20"/>
          <w:szCs w:val="20"/>
        </w:rPr>
      </w:pPr>
      <w:r w:rsidRPr="00135614">
        <w:rPr>
          <w:rStyle w:val="FootnoteReference"/>
          <w:rFonts w:ascii="Times New Roman" w:eastAsiaTheme="majorEastAsia" w:hAnsi="Times New Roman" w:cs="Times New Roman"/>
          <w:sz w:val="20"/>
          <w:szCs w:val="20"/>
        </w:rPr>
        <w:footnoteRef/>
      </w:r>
      <w:r w:rsidRPr="00135614">
        <w:rPr>
          <w:rFonts w:ascii="Times New Roman" w:hAnsi="Times New Roman" w:cs="Times New Roman"/>
          <w:sz w:val="20"/>
          <w:szCs w:val="20"/>
        </w:rPr>
        <w:t xml:space="preserve"> </w:t>
      </w:r>
      <w:r w:rsidRPr="00135614">
        <w:rPr>
          <w:rFonts w:ascii="Times New Roman" w:hAnsi="Times New Roman" w:cs="Times New Roman"/>
          <w:i/>
          <w:sz w:val="20"/>
          <w:szCs w:val="20"/>
        </w:rPr>
        <w:t>Ibid</w:t>
      </w:r>
      <w:r w:rsidRPr="00135614">
        <w:rPr>
          <w:rFonts w:ascii="Times New Roman" w:hAnsi="Times New Roman" w:cs="Times New Roman"/>
          <w:sz w:val="20"/>
          <w:szCs w:val="20"/>
        </w:rPr>
        <w:t>, paras. 333-335.</w:t>
      </w:r>
    </w:p>
  </w:footnote>
  <w:footnote w:id="31">
    <w:p w14:paraId="4D5612F5" w14:textId="6A4D7E89" w:rsidR="0079099C" w:rsidRPr="00135614" w:rsidRDefault="0079099C" w:rsidP="00A818E2">
      <w:pPr>
        <w:autoSpaceDE w:val="0"/>
        <w:autoSpaceDN w:val="0"/>
        <w:adjustRightInd w:val="0"/>
        <w:spacing w:after="0" w:line="240" w:lineRule="auto"/>
        <w:jc w:val="both"/>
        <w:rPr>
          <w:rFonts w:ascii="Times New Roman" w:hAnsi="Times New Roman" w:cs="Times New Roman"/>
          <w:sz w:val="20"/>
          <w:szCs w:val="20"/>
        </w:rPr>
      </w:pPr>
      <w:r w:rsidRPr="00135614">
        <w:rPr>
          <w:rStyle w:val="FootnoteReference"/>
          <w:rFonts w:ascii="Times New Roman" w:hAnsi="Times New Roman" w:cs="Times New Roman"/>
          <w:sz w:val="20"/>
          <w:szCs w:val="20"/>
        </w:rPr>
        <w:footnoteRef/>
      </w:r>
      <w:r w:rsidRPr="00135614">
        <w:rPr>
          <w:rFonts w:ascii="Times New Roman" w:hAnsi="Times New Roman" w:cs="Times New Roman"/>
          <w:sz w:val="20"/>
          <w:szCs w:val="20"/>
        </w:rPr>
        <w:t xml:space="preserve"> </w:t>
      </w:r>
      <w:r w:rsidRPr="00135614">
        <w:rPr>
          <w:rFonts w:ascii="Times New Roman" w:eastAsia="Times New Roman" w:hAnsi="Times New Roman" w:cs="Times New Roman"/>
          <w:i/>
          <w:sz w:val="20"/>
          <w:szCs w:val="20"/>
          <w:lang w:eastAsia="en-GB"/>
        </w:rPr>
        <w:t>Katanga</w:t>
      </w:r>
      <w:r w:rsidRPr="00135614">
        <w:rPr>
          <w:rFonts w:ascii="Times New Roman" w:eastAsia="Times New Roman" w:hAnsi="Times New Roman" w:cs="Times New Roman"/>
          <w:sz w:val="20"/>
          <w:szCs w:val="20"/>
          <w:lang w:eastAsia="en-GB"/>
        </w:rPr>
        <w:t xml:space="preserve"> Decision</w:t>
      </w:r>
      <w:r w:rsidRPr="00135614">
        <w:rPr>
          <w:rFonts w:ascii="Times New Roman" w:hAnsi="Times New Roman" w:cs="Times New Roman"/>
          <w:sz w:val="20"/>
          <w:szCs w:val="20"/>
        </w:rPr>
        <w:t xml:space="preserve">, </w:t>
      </w:r>
      <w:r w:rsidRPr="004138CF">
        <w:rPr>
          <w:rFonts w:ascii="Times New Roman" w:eastAsia="Times New Roman" w:hAnsi="Times New Roman" w:cs="Times New Roman"/>
          <w:i/>
          <w:sz w:val="20"/>
          <w:szCs w:val="20"/>
          <w:lang w:eastAsia="en-GB"/>
        </w:rPr>
        <w:t>supra</w:t>
      </w:r>
      <w:r>
        <w:rPr>
          <w:rFonts w:ascii="Times New Roman" w:eastAsia="Times New Roman" w:hAnsi="Times New Roman" w:cs="Times New Roman"/>
          <w:sz w:val="20"/>
          <w:szCs w:val="20"/>
          <w:lang w:eastAsia="en-GB"/>
        </w:rPr>
        <w:t xml:space="preserve"> note 3, </w:t>
      </w:r>
      <w:r w:rsidRPr="00135614">
        <w:rPr>
          <w:rFonts w:ascii="Times New Roman" w:hAnsi="Times New Roman" w:cs="Times New Roman"/>
          <w:sz w:val="20"/>
          <w:szCs w:val="20"/>
        </w:rPr>
        <w:t xml:space="preserve">paras. 502, 504; Weigend noted that the list of ‘numerous’ national jurisdictions that are claimed to be in favour of the concept of perpetration through an organization is limited to five (Argentina, Chile, Germany, Peru, Spain), in one of which (Argentina) the Supreme Court had overturned a lower court Judgement proposing this theory. See T. Weigend, ‘Perpetration through an Organization: The Unexpected Career of a German Legal Concept,’ 9 </w:t>
      </w:r>
      <w:r w:rsidRPr="00135614">
        <w:rPr>
          <w:rFonts w:ascii="Times New Roman" w:hAnsi="Times New Roman" w:cs="Times New Roman"/>
          <w:i/>
          <w:sz w:val="20"/>
          <w:szCs w:val="20"/>
        </w:rPr>
        <w:t>Journal of International Criminal Justice</w:t>
      </w:r>
      <w:r w:rsidRPr="00135614">
        <w:rPr>
          <w:rFonts w:ascii="Times New Roman" w:hAnsi="Times New Roman" w:cs="Times New Roman"/>
          <w:sz w:val="20"/>
          <w:szCs w:val="20"/>
        </w:rPr>
        <w:t xml:space="preserve"> (2011), 91-111.</w:t>
      </w:r>
    </w:p>
  </w:footnote>
  <w:footnote w:id="32">
    <w:p w14:paraId="5D58C5D9" w14:textId="014820F0" w:rsidR="0079099C" w:rsidRPr="00135614" w:rsidRDefault="0079099C" w:rsidP="00A818E2">
      <w:pPr>
        <w:pStyle w:val="FootnoteText"/>
        <w:spacing w:after="0" w:line="240" w:lineRule="auto"/>
        <w:jc w:val="both"/>
        <w:rPr>
          <w:rFonts w:ascii="Times New Roman" w:hAnsi="Times New Roman" w:cs="Times New Roman"/>
          <w:sz w:val="20"/>
          <w:szCs w:val="20"/>
          <w:lang w:val="en-US"/>
        </w:rPr>
      </w:pPr>
      <w:r w:rsidRPr="00135614">
        <w:rPr>
          <w:rStyle w:val="FootnoteReference"/>
          <w:rFonts w:ascii="Times New Roman" w:hAnsi="Times New Roman" w:cs="Times New Roman"/>
          <w:sz w:val="20"/>
          <w:szCs w:val="20"/>
        </w:rPr>
        <w:footnoteRef/>
      </w:r>
      <w:r w:rsidRPr="00135614">
        <w:rPr>
          <w:rFonts w:ascii="Times New Roman" w:hAnsi="Times New Roman" w:cs="Times New Roman"/>
          <w:sz w:val="20"/>
          <w:szCs w:val="20"/>
        </w:rPr>
        <w:t xml:space="preserve"> </w:t>
      </w:r>
      <w:r w:rsidRPr="00135614">
        <w:rPr>
          <w:rFonts w:ascii="Times New Roman" w:hAnsi="Times New Roman" w:cs="Times New Roman"/>
          <w:bCs/>
          <w:sz w:val="20"/>
          <w:szCs w:val="20"/>
        </w:rPr>
        <w:t xml:space="preserve">Roxin, </w:t>
      </w:r>
      <w:r w:rsidRPr="00135614">
        <w:rPr>
          <w:rFonts w:ascii="Times New Roman" w:hAnsi="Times New Roman" w:cs="Times New Roman"/>
          <w:bCs/>
          <w:i/>
          <w:sz w:val="20"/>
          <w:szCs w:val="20"/>
        </w:rPr>
        <w:t xml:space="preserve">supra notes </w:t>
      </w:r>
      <w:r w:rsidRPr="00135614">
        <w:rPr>
          <w:rFonts w:ascii="Times New Roman" w:hAnsi="Times New Roman" w:cs="Times New Roman"/>
          <w:bCs/>
          <w:sz w:val="20"/>
          <w:szCs w:val="20"/>
        </w:rPr>
        <w:t>5-6.</w:t>
      </w:r>
    </w:p>
  </w:footnote>
  <w:footnote w:id="33">
    <w:p w14:paraId="3B6984CF" w14:textId="1C42305C" w:rsidR="0079099C" w:rsidRPr="00135614" w:rsidRDefault="0079099C" w:rsidP="00A818E2">
      <w:pPr>
        <w:pStyle w:val="FootnoteText"/>
        <w:spacing w:after="0" w:line="240" w:lineRule="auto"/>
        <w:jc w:val="both"/>
        <w:rPr>
          <w:rFonts w:ascii="Times New Roman" w:hAnsi="Times New Roman" w:cs="Times New Roman"/>
          <w:sz w:val="20"/>
          <w:szCs w:val="20"/>
        </w:rPr>
      </w:pPr>
      <w:r w:rsidRPr="00135614">
        <w:rPr>
          <w:rStyle w:val="FootnoteReference"/>
          <w:rFonts w:ascii="Times New Roman" w:eastAsiaTheme="majorEastAsia" w:hAnsi="Times New Roman" w:cs="Times New Roman"/>
          <w:sz w:val="20"/>
          <w:szCs w:val="20"/>
        </w:rPr>
        <w:footnoteRef/>
      </w:r>
      <w:r w:rsidRPr="00135614">
        <w:rPr>
          <w:rFonts w:ascii="Times New Roman" w:hAnsi="Times New Roman" w:cs="Times New Roman"/>
          <w:sz w:val="20"/>
          <w:szCs w:val="20"/>
        </w:rPr>
        <w:t xml:space="preserve"> M. Dubber, ‘C</w:t>
      </w:r>
      <w:r w:rsidRPr="00135614">
        <w:rPr>
          <w:rStyle w:val="Strong"/>
          <w:rFonts w:ascii="Times New Roman" w:hAnsi="Times New Roman"/>
          <w:b w:val="0"/>
          <w:sz w:val="20"/>
          <w:szCs w:val="20"/>
        </w:rPr>
        <w:t>riminalizing Complicity. A Comparative Analysis’</w:t>
      </w:r>
      <w:r w:rsidRPr="00135614">
        <w:rPr>
          <w:rFonts w:ascii="Times New Roman" w:hAnsi="Times New Roman" w:cs="Times New Roman"/>
          <w:b/>
          <w:sz w:val="20"/>
          <w:szCs w:val="20"/>
        </w:rPr>
        <w:t>,</w:t>
      </w:r>
      <w:r w:rsidRPr="00135614">
        <w:rPr>
          <w:rFonts w:ascii="Times New Roman" w:hAnsi="Times New Roman" w:cs="Times New Roman"/>
          <w:sz w:val="20"/>
          <w:szCs w:val="20"/>
        </w:rPr>
        <w:t xml:space="preserve"> 5 </w:t>
      </w:r>
      <w:r w:rsidRPr="00135614">
        <w:rPr>
          <w:rFonts w:ascii="Times New Roman" w:hAnsi="Times New Roman" w:cs="Times New Roman"/>
          <w:i/>
          <w:sz w:val="20"/>
          <w:szCs w:val="20"/>
        </w:rPr>
        <w:t>Journal of International Criminal Justice</w:t>
      </w:r>
      <w:r w:rsidRPr="00135614">
        <w:rPr>
          <w:rFonts w:ascii="Times New Roman" w:hAnsi="Times New Roman" w:cs="Times New Roman"/>
          <w:sz w:val="20"/>
          <w:szCs w:val="20"/>
        </w:rPr>
        <w:t xml:space="preserve"> (2007) 977-1001.</w:t>
      </w:r>
    </w:p>
  </w:footnote>
  <w:footnote w:id="34">
    <w:p w14:paraId="5A18C972" w14:textId="55BE9407" w:rsidR="0079099C" w:rsidRPr="00135614" w:rsidRDefault="0079099C" w:rsidP="00A818E2">
      <w:pPr>
        <w:autoSpaceDE w:val="0"/>
        <w:autoSpaceDN w:val="0"/>
        <w:adjustRightInd w:val="0"/>
        <w:spacing w:after="0" w:line="240" w:lineRule="auto"/>
        <w:jc w:val="both"/>
        <w:rPr>
          <w:rFonts w:ascii="Times New Roman" w:hAnsi="Times New Roman" w:cs="Times New Roman"/>
          <w:sz w:val="20"/>
          <w:szCs w:val="20"/>
        </w:rPr>
      </w:pPr>
      <w:r w:rsidRPr="00135614">
        <w:rPr>
          <w:rStyle w:val="FootnoteReference"/>
          <w:rFonts w:ascii="Times New Roman" w:hAnsi="Times New Roman" w:cs="Times New Roman"/>
          <w:sz w:val="20"/>
          <w:szCs w:val="20"/>
        </w:rPr>
        <w:footnoteRef/>
      </w:r>
      <w:r w:rsidRPr="00135614">
        <w:rPr>
          <w:rFonts w:ascii="Times New Roman" w:hAnsi="Times New Roman" w:cs="Times New Roman"/>
          <w:sz w:val="20"/>
          <w:szCs w:val="20"/>
        </w:rPr>
        <w:t xml:space="preserve"> </w:t>
      </w:r>
      <w:r w:rsidRPr="00135614">
        <w:rPr>
          <w:rFonts w:ascii="Times New Roman" w:hAnsi="Times New Roman" w:cs="Times New Roman"/>
          <w:bCs/>
          <w:sz w:val="20"/>
          <w:szCs w:val="20"/>
        </w:rPr>
        <w:t xml:space="preserve">Roxin, </w:t>
      </w:r>
      <w:r w:rsidRPr="00135614">
        <w:rPr>
          <w:rFonts w:ascii="Times New Roman" w:hAnsi="Times New Roman" w:cs="Times New Roman"/>
          <w:bCs/>
          <w:i/>
          <w:sz w:val="20"/>
          <w:szCs w:val="20"/>
        </w:rPr>
        <w:t xml:space="preserve">supra </w:t>
      </w:r>
      <w:r w:rsidRPr="00135614">
        <w:rPr>
          <w:rFonts w:ascii="Times New Roman" w:hAnsi="Times New Roman" w:cs="Times New Roman"/>
          <w:bCs/>
          <w:sz w:val="20"/>
          <w:szCs w:val="20"/>
        </w:rPr>
        <w:t>note 6, p.</w:t>
      </w:r>
      <w:r w:rsidRPr="00135614">
        <w:rPr>
          <w:rFonts w:ascii="Times New Roman" w:hAnsi="Times New Roman" w:cs="Times New Roman"/>
          <w:sz w:val="20"/>
          <w:szCs w:val="20"/>
        </w:rPr>
        <w:t xml:space="preserve"> 34. </w:t>
      </w:r>
    </w:p>
  </w:footnote>
  <w:footnote w:id="35">
    <w:p w14:paraId="03F508DD" w14:textId="77777777" w:rsidR="0079099C" w:rsidRPr="00135614" w:rsidRDefault="0079099C" w:rsidP="00A818E2">
      <w:pPr>
        <w:pStyle w:val="FootnoteText"/>
        <w:spacing w:after="0" w:line="240" w:lineRule="auto"/>
        <w:jc w:val="both"/>
        <w:rPr>
          <w:rFonts w:ascii="Times New Roman" w:hAnsi="Times New Roman" w:cs="Times New Roman"/>
          <w:sz w:val="20"/>
          <w:szCs w:val="20"/>
        </w:rPr>
      </w:pPr>
      <w:r w:rsidRPr="00135614">
        <w:rPr>
          <w:rStyle w:val="FootnoteReference"/>
          <w:rFonts w:ascii="Times New Roman" w:eastAsiaTheme="majorEastAsia" w:hAnsi="Times New Roman" w:cs="Times New Roman"/>
          <w:sz w:val="20"/>
          <w:szCs w:val="20"/>
        </w:rPr>
        <w:footnoteRef/>
      </w:r>
      <w:r w:rsidRPr="00135614">
        <w:rPr>
          <w:rFonts w:ascii="Times New Roman" w:hAnsi="Times New Roman" w:cs="Times New Roman"/>
          <w:sz w:val="20"/>
          <w:szCs w:val="20"/>
        </w:rPr>
        <w:t xml:space="preserve"> </w:t>
      </w:r>
      <w:r w:rsidRPr="00135614">
        <w:rPr>
          <w:rFonts w:ascii="Times New Roman" w:hAnsi="Times New Roman" w:cs="Times New Roman"/>
          <w:i/>
          <w:sz w:val="20"/>
          <w:szCs w:val="20"/>
        </w:rPr>
        <w:t>Ibid</w:t>
      </w:r>
      <w:r w:rsidRPr="00135614">
        <w:rPr>
          <w:rFonts w:ascii="Times New Roman" w:hAnsi="Times New Roman" w:cs="Times New Roman"/>
          <w:sz w:val="20"/>
          <w:szCs w:val="20"/>
        </w:rPr>
        <w:t>, at 51.</w:t>
      </w:r>
    </w:p>
  </w:footnote>
  <w:footnote w:id="36">
    <w:p w14:paraId="6A61AFB8" w14:textId="495076D6" w:rsidR="0079099C" w:rsidRPr="00135614" w:rsidRDefault="0079099C" w:rsidP="00A818E2">
      <w:pPr>
        <w:spacing w:after="0" w:line="240" w:lineRule="auto"/>
        <w:jc w:val="both"/>
        <w:rPr>
          <w:rFonts w:ascii="Times New Roman" w:hAnsi="Times New Roman" w:cs="Times New Roman"/>
          <w:sz w:val="20"/>
          <w:szCs w:val="20"/>
        </w:rPr>
      </w:pPr>
      <w:r w:rsidRPr="00135614">
        <w:rPr>
          <w:rStyle w:val="FootnoteReference"/>
          <w:rFonts w:ascii="Times New Roman" w:hAnsi="Times New Roman" w:cs="Times New Roman"/>
          <w:sz w:val="20"/>
          <w:szCs w:val="20"/>
        </w:rPr>
        <w:footnoteRef/>
      </w:r>
      <w:r w:rsidRPr="00135614">
        <w:rPr>
          <w:rFonts w:ascii="Times New Roman" w:hAnsi="Times New Roman" w:cs="Times New Roman"/>
          <w:sz w:val="20"/>
          <w:szCs w:val="20"/>
        </w:rPr>
        <w:t xml:space="preserve"> Weigend, </w:t>
      </w:r>
      <w:r w:rsidRPr="00135614">
        <w:rPr>
          <w:rFonts w:ascii="Times New Roman" w:hAnsi="Times New Roman" w:cs="Times New Roman"/>
          <w:i/>
          <w:sz w:val="20"/>
          <w:szCs w:val="20"/>
        </w:rPr>
        <w:t xml:space="preserve">supra </w:t>
      </w:r>
      <w:r w:rsidRPr="00135614">
        <w:rPr>
          <w:rFonts w:ascii="Times New Roman" w:hAnsi="Times New Roman" w:cs="Times New Roman"/>
          <w:sz w:val="20"/>
          <w:szCs w:val="20"/>
        </w:rPr>
        <w:t xml:space="preserve">note 30, 94-95; M. Bohlander, </w:t>
      </w:r>
      <w:hyperlink r:id="rId1" w:history="1">
        <w:r w:rsidRPr="00135614">
          <w:rPr>
            <w:rFonts w:ascii="Times New Roman" w:hAnsi="Times New Roman" w:cs="Times New Roman"/>
            <w:bCs/>
            <w:i/>
            <w:sz w:val="20"/>
            <w:szCs w:val="20"/>
          </w:rPr>
          <w:t>Principles of German criminal law</w:t>
        </w:r>
      </w:hyperlink>
      <w:r w:rsidRPr="00135614">
        <w:rPr>
          <w:rFonts w:ascii="Times New Roman" w:hAnsi="Times New Roman" w:cs="Times New Roman"/>
          <w:bCs/>
          <w:sz w:val="20"/>
          <w:szCs w:val="20"/>
        </w:rPr>
        <w:t xml:space="preserve"> (</w:t>
      </w:r>
      <w:r>
        <w:rPr>
          <w:rFonts w:ascii="Times New Roman" w:hAnsi="Times New Roman" w:cs="Times New Roman"/>
          <w:bCs/>
          <w:sz w:val="20"/>
          <w:szCs w:val="20"/>
        </w:rPr>
        <w:t xml:space="preserve">Oxfrod, </w:t>
      </w:r>
      <w:r w:rsidRPr="00135614">
        <w:rPr>
          <w:rFonts w:ascii="Times New Roman" w:hAnsi="Times New Roman" w:cs="Times New Roman"/>
          <w:bCs/>
          <w:sz w:val="20"/>
          <w:szCs w:val="20"/>
        </w:rPr>
        <w:t>Hart Publishing, 2009</w:t>
      </w:r>
      <w:r w:rsidRPr="00135614">
        <w:rPr>
          <w:rFonts w:ascii="Times New Roman" w:hAnsi="Times New Roman" w:cs="Times New Roman"/>
          <w:sz w:val="20"/>
          <w:szCs w:val="20"/>
        </w:rPr>
        <w:t>), p. 162.</w:t>
      </w:r>
    </w:p>
  </w:footnote>
  <w:footnote w:id="37">
    <w:p w14:paraId="409F10D7" w14:textId="7A7F228F" w:rsidR="0079099C" w:rsidRPr="00135614" w:rsidRDefault="0079099C" w:rsidP="00A818E2">
      <w:pPr>
        <w:pStyle w:val="FootnoteText"/>
        <w:spacing w:after="0" w:line="240" w:lineRule="auto"/>
        <w:jc w:val="both"/>
        <w:rPr>
          <w:rFonts w:ascii="Times New Roman" w:hAnsi="Times New Roman" w:cs="Times New Roman"/>
          <w:sz w:val="20"/>
          <w:szCs w:val="20"/>
        </w:rPr>
      </w:pPr>
      <w:r w:rsidRPr="00135614">
        <w:rPr>
          <w:rStyle w:val="FootnoteReference"/>
          <w:rFonts w:ascii="Times New Roman" w:eastAsiaTheme="majorEastAsia" w:hAnsi="Times New Roman" w:cs="Times New Roman"/>
          <w:sz w:val="20"/>
          <w:szCs w:val="20"/>
        </w:rPr>
        <w:footnoteRef/>
      </w:r>
      <w:r w:rsidRPr="00135614">
        <w:rPr>
          <w:rFonts w:ascii="Times New Roman" w:hAnsi="Times New Roman" w:cs="Times New Roman"/>
          <w:sz w:val="20"/>
          <w:szCs w:val="20"/>
        </w:rPr>
        <w:t xml:space="preserve"> BGHSt 18, 87 as cited by Bohlander, </w:t>
      </w:r>
      <w:r w:rsidRPr="00135614">
        <w:rPr>
          <w:rFonts w:ascii="Times New Roman" w:hAnsi="Times New Roman" w:cs="Times New Roman"/>
          <w:i/>
          <w:sz w:val="20"/>
          <w:szCs w:val="20"/>
        </w:rPr>
        <w:t xml:space="preserve">supra </w:t>
      </w:r>
      <w:r w:rsidRPr="00135614">
        <w:rPr>
          <w:rFonts w:ascii="Times New Roman" w:hAnsi="Times New Roman" w:cs="Times New Roman"/>
          <w:sz w:val="20"/>
          <w:szCs w:val="20"/>
        </w:rPr>
        <w:t>note 35, p. 162.</w:t>
      </w:r>
    </w:p>
  </w:footnote>
  <w:footnote w:id="38">
    <w:p w14:paraId="3155F0A2" w14:textId="11665C6E" w:rsidR="0079099C" w:rsidRPr="00135614" w:rsidRDefault="0079099C" w:rsidP="00A818E2">
      <w:pPr>
        <w:pStyle w:val="FootnoteText"/>
        <w:spacing w:after="0" w:line="240" w:lineRule="auto"/>
        <w:jc w:val="both"/>
        <w:rPr>
          <w:rFonts w:ascii="Times New Roman" w:hAnsi="Times New Roman" w:cs="Times New Roman"/>
          <w:sz w:val="20"/>
          <w:szCs w:val="20"/>
        </w:rPr>
      </w:pPr>
      <w:r w:rsidRPr="00135614">
        <w:rPr>
          <w:rStyle w:val="FootnoteReference"/>
          <w:rFonts w:ascii="Times New Roman" w:eastAsiaTheme="majorEastAsia" w:hAnsi="Times New Roman" w:cs="Times New Roman"/>
          <w:sz w:val="20"/>
          <w:szCs w:val="20"/>
        </w:rPr>
        <w:footnoteRef/>
      </w:r>
      <w:r w:rsidRPr="00135614">
        <w:rPr>
          <w:rFonts w:ascii="Times New Roman" w:hAnsi="Times New Roman" w:cs="Times New Roman"/>
          <w:sz w:val="20"/>
          <w:szCs w:val="20"/>
        </w:rPr>
        <w:t xml:space="preserve"> </w:t>
      </w:r>
      <w:r w:rsidRPr="00135614">
        <w:rPr>
          <w:rFonts w:ascii="Times New Roman" w:hAnsi="Times New Roman" w:cs="Times New Roman"/>
          <w:i/>
          <w:sz w:val="20"/>
          <w:szCs w:val="20"/>
        </w:rPr>
        <w:t>Ibid</w:t>
      </w:r>
      <w:r w:rsidRPr="00135614">
        <w:rPr>
          <w:rFonts w:ascii="Times New Roman" w:hAnsi="Times New Roman" w:cs="Times New Roman"/>
          <w:sz w:val="20"/>
          <w:szCs w:val="20"/>
        </w:rPr>
        <w:t>, p. 162.</w:t>
      </w:r>
    </w:p>
  </w:footnote>
  <w:footnote w:id="39">
    <w:p w14:paraId="2F93D5DE" w14:textId="57BC1FEA" w:rsidR="0079099C" w:rsidRPr="00135614" w:rsidRDefault="0079099C" w:rsidP="00A818E2">
      <w:pPr>
        <w:pStyle w:val="FootnoteText"/>
        <w:spacing w:after="0" w:line="240" w:lineRule="auto"/>
        <w:jc w:val="both"/>
        <w:rPr>
          <w:rFonts w:ascii="Times New Roman" w:hAnsi="Times New Roman" w:cs="Times New Roman"/>
          <w:sz w:val="20"/>
          <w:szCs w:val="20"/>
        </w:rPr>
      </w:pPr>
      <w:r w:rsidRPr="00135614">
        <w:rPr>
          <w:rStyle w:val="FootnoteReference"/>
          <w:rFonts w:ascii="Times New Roman" w:eastAsiaTheme="majorEastAsia" w:hAnsi="Times New Roman" w:cs="Times New Roman"/>
          <w:sz w:val="20"/>
          <w:szCs w:val="20"/>
        </w:rPr>
        <w:footnoteRef/>
      </w:r>
      <w:r w:rsidRPr="00135614">
        <w:rPr>
          <w:rFonts w:ascii="Times New Roman" w:hAnsi="Times New Roman" w:cs="Times New Roman"/>
          <w:sz w:val="20"/>
          <w:szCs w:val="20"/>
        </w:rPr>
        <w:t xml:space="preserve"> Weigend, </w:t>
      </w:r>
      <w:r w:rsidRPr="00135614">
        <w:rPr>
          <w:rFonts w:ascii="Times New Roman" w:hAnsi="Times New Roman" w:cs="Times New Roman"/>
          <w:i/>
          <w:sz w:val="20"/>
          <w:szCs w:val="20"/>
        </w:rPr>
        <w:t xml:space="preserve">supra </w:t>
      </w:r>
      <w:r w:rsidRPr="00135614">
        <w:rPr>
          <w:rFonts w:ascii="Times New Roman" w:hAnsi="Times New Roman" w:cs="Times New Roman"/>
          <w:sz w:val="20"/>
          <w:szCs w:val="20"/>
        </w:rPr>
        <w:t>note 30, 95.</w:t>
      </w:r>
    </w:p>
  </w:footnote>
  <w:footnote w:id="40">
    <w:p w14:paraId="1B914DCA" w14:textId="31976872" w:rsidR="0079099C" w:rsidRPr="00135614" w:rsidRDefault="0079099C" w:rsidP="00A818E2">
      <w:pPr>
        <w:pStyle w:val="FootnoteText"/>
        <w:spacing w:after="0"/>
        <w:jc w:val="both"/>
        <w:rPr>
          <w:rFonts w:ascii="Times New Roman" w:hAnsi="Times New Roman" w:cs="Times New Roman"/>
          <w:sz w:val="20"/>
          <w:szCs w:val="20"/>
          <w:lang w:val="en-US"/>
        </w:rPr>
      </w:pPr>
      <w:r w:rsidRPr="00135614">
        <w:rPr>
          <w:rStyle w:val="FootnoteReference"/>
          <w:rFonts w:ascii="Times New Roman" w:hAnsi="Times New Roman" w:cs="Times New Roman"/>
          <w:sz w:val="20"/>
          <w:szCs w:val="20"/>
        </w:rPr>
        <w:footnoteRef/>
      </w:r>
      <w:r w:rsidRPr="00135614">
        <w:rPr>
          <w:rFonts w:ascii="Times New Roman" w:hAnsi="Times New Roman" w:cs="Times New Roman"/>
          <w:sz w:val="20"/>
          <w:szCs w:val="20"/>
        </w:rPr>
        <w:t xml:space="preserve"> </w:t>
      </w:r>
      <w:r w:rsidRPr="00135614">
        <w:rPr>
          <w:rFonts w:ascii="Times New Roman" w:hAnsi="Times New Roman" w:cs="Times New Roman"/>
          <w:sz w:val="20"/>
          <w:szCs w:val="20"/>
          <w:lang w:val="en-US"/>
        </w:rPr>
        <w:t>K. Ambos and S. Bock, ‘Germany. General Principles: Types of Participation and General Basis of Attributing Responsibility for the Acts of Others’, in A. Reed and M. Bohlander (eds</w:t>
      </w:r>
      <w:r w:rsidRPr="00135614">
        <w:rPr>
          <w:rFonts w:ascii="Times New Roman" w:hAnsi="Times New Roman" w:cs="Times New Roman"/>
          <w:i/>
          <w:sz w:val="20"/>
          <w:szCs w:val="20"/>
          <w:lang w:val="en-US"/>
        </w:rPr>
        <w:t>), Participation in Crime: Domestic and Comparative Perspectives</w:t>
      </w:r>
      <w:r w:rsidRPr="00135614">
        <w:rPr>
          <w:rFonts w:ascii="Times New Roman" w:hAnsi="Times New Roman" w:cs="Times New Roman"/>
          <w:sz w:val="20"/>
          <w:szCs w:val="20"/>
          <w:lang w:val="en-US"/>
        </w:rPr>
        <w:t xml:space="preserve"> (</w:t>
      </w:r>
      <w:r>
        <w:rPr>
          <w:rFonts w:ascii="Times New Roman" w:hAnsi="Times New Roman" w:cs="Times New Roman"/>
          <w:sz w:val="20"/>
          <w:szCs w:val="20"/>
          <w:lang w:val="en-US"/>
        </w:rPr>
        <w:t xml:space="preserve">Farnham, </w:t>
      </w:r>
      <w:r w:rsidRPr="00135614">
        <w:rPr>
          <w:rFonts w:ascii="Times New Roman" w:hAnsi="Times New Roman" w:cs="Times New Roman"/>
          <w:sz w:val="20"/>
          <w:szCs w:val="20"/>
          <w:lang w:val="en-US"/>
        </w:rPr>
        <w:t>Ashgate, 2013), p. 324.</w:t>
      </w:r>
    </w:p>
  </w:footnote>
  <w:footnote w:id="41">
    <w:p w14:paraId="0493FF38" w14:textId="04D8EF7B" w:rsidR="0079099C" w:rsidRPr="00135614" w:rsidRDefault="0079099C" w:rsidP="00A818E2">
      <w:pPr>
        <w:pStyle w:val="FootnoteText"/>
        <w:spacing w:after="0" w:line="240" w:lineRule="auto"/>
        <w:jc w:val="both"/>
        <w:rPr>
          <w:rFonts w:ascii="Times New Roman" w:hAnsi="Times New Roman" w:cs="Times New Roman"/>
          <w:sz w:val="20"/>
          <w:szCs w:val="20"/>
        </w:rPr>
      </w:pPr>
      <w:r w:rsidRPr="00135614">
        <w:rPr>
          <w:rStyle w:val="FootnoteReference"/>
          <w:rFonts w:ascii="Times New Roman" w:eastAsiaTheme="majorEastAsia" w:hAnsi="Times New Roman" w:cs="Times New Roman"/>
          <w:sz w:val="20"/>
          <w:szCs w:val="20"/>
        </w:rPr>
        <w:footnoteRef/>
      </w:r>
      <w:r w:rsidRPr="00135614">
        <w:rPr>
          <w:rFonts w:ascii="Times New Roman" w:hAnsi="Times New Roman" w:cs="Times New Roman"/>
          <w:sz w:val="20"/>
          <w:szCs w:val="20"/>
        </w:rPr>
        <w:t xml:space="preserve"> Fletcher, 1978, </w:t>
      </w:r>
      <w:r w:rsidRPr="00135614">
        <w:rPr>
          <w:rFonts w:ascii="Times New Roman" w:hAnsi="Times New Roman" w:cs="Times New Roman"/>
          <w:i/>
          <w:sz w:val="20"/>
          <w:szCs w:val="20"/>
        </w:rPr>
        <w:t>supra</w:t>
      </w:r>
      <w:r w:rsidRPr="00135614">
        <w:rPr>
          <w:rFonts w:ascii="Times New Roman" w:hAnsi="Times New Roman" w:cs="Times New Roman"/>
          <w:sz w:val="20"/>
          <w:szCs w:val="20"/>
        </w:rPr>
        <w:t xml:space="preserve"> note 6, pp. 656-656.</w:t>
      </w:r>
    </w:p>
  </w:footnote>
  <w:footnote w:id="42">
    <w:p w14:paraId="3CB2B37A" w14:textId="48D5524F" w:rsidR="0079099C" w:rsidRPr="00135614" w:rsidRDefault="0079099C" w:rsidP="00A818E2">
      <w:pPr>
        <w:pStyle w:val="FootnoteText"/>
        <w:spacing w:after="0" w:line="240" w:lineRule="auto"/>
        <w:jc w:val="both"/>
        <w:rPr>
          <w:rFonts w:ascii="Times New Roman" w:hAnsi="Times New Roman" w:cs="Times New Roman"/>
          <w:sz w:val="20"/>
          <w:szCs w:val="20"/>
        </w:rPr>
      </w:pPr>
      <w:r w:rsidRPr="00135614">
        <w:rPr>
          <w:rStyle w:val="FootnoteReference"/>
          <w:rFonts w:ascii="Times New Roman" w:eastAsiaTheme="majorEastAsia" w:hAnsi="Times New Roman" w:cs="Times New Roman"/>
          <w:sz w:val="20"/>
          <w:szCs w:val="20"/>
        </w:rPr>
        <w:footnoteRef/>
      </w:r>
      <w:r w:rsidRPr="00135614">
        <w:rPr>
          <w:rFonts w:ascii="Times New Roman" w:hAnsi="Times New Roman" w:cs="Times New Roman"/>
          <w:sz w:val="20"/>
          <w:szCs w:val="20"/>
        </w:rPr>
        <w:t xml:space="preserve"> Bohlander, </w:t>
      </w:r>
      <w:r w:rsidRPr="00135614">
        <w:rPr>
          <w:rFonts w:ascii="Times New Roman" w:hAnsi="Times New Roman" w:cs="Times New Roman"/>
          <w:i/>
          <w:sz w:val="20"/>
          <w:szCs w:val="20"/>
        </w:rPr>
        <w:t xml:space="preserve">supra </w:t>
      </w:r>
      <w:r w:rsidRPr="00135614">
        <w:rPr>
          <w:rFonts w:ascii="Times New Roman" w:hAnsi="Times New Roman" w:cs="Times New Roman"/>
          <w:sz w:val="20"/>
          <w:szCs w:val="20"/>
        </w:rPr>
        <w:t>note 35, p. 162.</w:t>
      </w:r>
    </w:p>
  </w:footnote>
  <w:footnote w:id="43">
    <w:p w14:paraId="3900516E" w14:textId="77777777" w:rsidR="0079099C" w:rsidRPr="00135614" w:rsidRDefault="0079099C" w:rsidP="00A818E2">
      <w:pPr>
        <w:pStyle w:val="FootnoteText"/>
        <w:spacing w:after="0" w:line="240" w:lineRule="auto"/>
        <w:jc w:val="both"/>
        <w:rPr>
          <w:rFonts w:ascii="Times New Roman" w:hAnsi="Times New Roman" w:cs="Times New Roman"/>
          <w:sz w:val="20"/>
          <w:szCs w:val="20"/>
        </w:rPr>
      </w:pPr>
      <w:r w:rsidRPr="00135614">
        <w:rPr>
          <w:rStyle w:val="FootnoteReference"/>
          <w:rFonts w:ascii="Times New Roman" w:eastAsiaTheme="majorEastAsia" w:hAnsi="Times New Roman" w:cs="Times New Roman"/>
          <w:sz w:val="20"/>
          <w:szCs w:val="20"/>
        </w:rPr>
        <w:footnoteRef/>
      </w:r>
      <w:r w:rsidRPr="00135614">
        <w:rPr>
          <w:rFonts w:ascii="Times New Roman" w:hAnsi="Times New Roman" w:cs="Times New Roman"/>
          <w:sz w:val="20"/>
          <w:szCs w:val="20"/>
        </w:rPr>
        <w:t xml:space="preserve"> </w:t>
      </w:r>
      <w:r w:rsidRPr="00135614">
        <w:rPr>
          <w:rFonts w:ascii="Times New Roman" w:hAnsi="Times New Roman" w:cs="Times New Roman"/>
          <w:i/>
          <w:sz w:val="20"/>
          <w:szCs w:val="20"/>
        </w:rPr>
        <w:t>Ibid.</w:t>
      </w:r>
    </w:p>
  </w:footnote>
  <w:footnote w:id="44">
    <w:p w14:paraId="50961D56" w14:textId="55F21CCB" w:rsidR="0079099C" w:rsidRPr="00135614" w:rsidRDefault="0079099C" w:rsidP="00A818E2">
      <w:pPr>
        <w:pStyle w:val="FootnoteText"/>
        <w:spacing w:after="0" w:line="240" w:lineRule="auto"/>
        <w:jc w:val="both"/>
        <w:rPr>
          <w:rFonts w:ascii="Times New Roman" w:hAnsi="Times New Roman" w:cs="Times New Roman"/>
          <w:sz w:val="20"/>
          <w:szCs w:val="20"/>
        </w:rPr>
      </w:pPr>
      <w:r w:rsidRPr="00135614">
        <w:rPr>
          <w:rStyle w:val="FootnoteReference"/>
          <w:rFonts w:ascii="Times New Roman" w:eastAsiaTheme="majorEastAsia" w:hAnsi="Times New Roman" w:cs="Times New Roman"/>
          <w:sz w:val="20"/>
          <w:szCs w:val="20"/>
        </w:rPr>
        <w:footnoteRef/>
      </w:r>
      <w:r w:rsidRPr="00135614">
        <w:rPr>
          <w:rFonts w:ascii="Times New Roman" w:hAnsi="Times New Roman" w:cs="Times New Roman"/>
          <w:sz w:val="20"/>
          <w:szCs w:val="20"/>
        </w:rPr>
        <w:t xml:space="preserve"> BGH NStZ 1988, 406 as cited by Bohlander, </w:t>
      </w:r>
      <w:r w:rsidRPr="00135614">
        <w:rPr>
          <w:rFonts w:ascii="Times New Roman" w:hAnsi="Times New Roman" w:cs="Times New Roman"/>
          <w:i/>
          <w:sz w:val="20"/>
          <w:szCs w:val="20"/>
        </w:rPr>
        <w:t xml:space="preserve">supra </w:t>
      </w:r>
      <w:r w:rsidRPr="00135614">
        <w:rPr>
          <w:rFonts w:ascii="Times New Roman" w:hAnsi="Times New Roman" w:cs="Times New Roman"/>
          <w:sz w:val="20"/>
          <w:szCs w:val="20"/>
        </w:rPr>
        <w:t>note 35, p.163.</w:t>
      </w:r>
    </w:p>
  </w:footnote>
  <w:footnote w:id="45">
    <w:p w14:paraId="29F03F0A" w14:textId="18D8640B" w:rsidR="0079099C" w:rsidRPr="00135614" w:rsidRDefault="0079099C" w:rsidP="00A818E2">
      <w:pPr>
        <w:pStyle w:val="FootnoteText"/>
        <w:spacing w:after="0" w:line="240" w:lineRule="auto"/>
        <w:jc w:val="both"/>
        <w:rPr>
          <w:rFonts w:ascii="Times New Roman" w:hAnsi="Times New Roman" w:cs="Times New Roman"/>
          <w:sz w:val="20"/>
          <w:szCs w:val="20"/>
        </w:rPr>
      </w:pPr>
      <w:r w:rsidRPr="00135614">
        <w:rPr>
          <w:rStyle w:val="FootnoteReference"/>
          <w:rFonts w:ascii="Times New Roman" w:eastAsiaTheme="majorEastAsia" w:hAnsi="Times New Roman" w:cs="Times New Roman"/>
          <w:sz w:val="20"/>
          <w:szCs w:val="20"/>
        </w:rPr>
        <w:footnoteRef/>
      </w:r>
      <w:r w:rsidRPr="00135614">
        <w:rPr>
          <w:rFonts w:ascii="Times New Roman" w:hAnsi="Times New Roman" w:cs="Times New Roman"/>
          <w:sz w:val="20"/>
          <w:szCs w:val="20"/>
        </w:rPr>
        <w:t xml:space="preserve"> Bohlander, </w:t>
      </w:r>
      <w:r w:rsidRPr="00135614">
        <w:rPr>
          <w:rFonts w:ascii="Times New Roman" w:hAnsi="Times New Roman" w:cs="Times New Roman"/>
          <w:i/>
          <w:sz w:val="20"/>
          <w:szCs w:val="20"/>
        </w:rPr>
        <w:t xml:space="preserve">supra </w:t>
      </w:r>
      <w:r w:rsidRPr="00135614">
        <w:rPr>
          <w:rFonts w:ascii="Times New Roman" w:hAnsi="Times New Roman" w:cs="Times New Roman"/>
          <w:sz w:val="20"/>
          <w:szCs w:val="20"/>
        </w:rPr>
        <w:t>note 35, p.163.</w:t>
      </w:r>
    </w:p>
  </w:footnote>
  <w:footnote w:id="46">
    <w:p w14:paraId="00AF3176" w14:textId="4050976D" w:rsidR="0079099C" w:rsidRPr="00135614" w:rsidRDefault="0079099C" w:rsidP="00A818E2">
      <w:pPr>
        <w:pStyle w:val="FootnoteText"/>
        <w:spacing w:after="0" w:line="240" w:lineRule="auto"/>
        <w:jc w:val="both"/>
        <w:rPr>
          <w:rFonts w:ascii="Times New Roman" w:hAnsi="Times New Roman" w:cs="Times New Roman"/>
          <w:sz w:val="20"/>
          <w:szCs w:val="20"/>
        </w:rPr>
      </w:pPr>
      <w:r w:rsidRPr="00135614">
        <w:rPr>
          <w:rStyle w:val="FootnoteReference"/>
          <w:rFonts w:ascii="Times New Roman" w:eastAsiaTheme="majorEastAsia" w:hAnsi="Times New Roman" w:cs="Times New Roman"/>
          <w:sz w:val="20"/>
          <w:szCs w:val="20"/>
        </w:rPr>
        <w:footnoteRef/>
      </w:r>
      <w:r w:rsidRPr="00135614">
        <w:rPr>
          <w:rFonts w:ascii="Times New Roman" w:hAnsi="Times New Roman" w:cs="Times New Roman"/>
          <w:sz w:val="20"/>
          <w:szCs w:val="20"/>
        </w:rPr>
        <w:t xml:space="preserve"> </w:t>
      </w:r>
      <w:r w:rsidRPr="00135614">
        <w:rPr>
          <w:rFonts w:ascii="Times New Roman" w:hAnsi="Times New Roman" w:cs="Times New Roman"/>
          <w:i/>
          <w:sz w:val="20"/>
          <w:szCs w:val="20"/>
        </w:rPr>
        <w:t>Ibid</w:t>
      </w:r>
      <w:r w:rsidRPr="00135614">
        <w:rPr>
          <w:rFonts w:ascii="Times New Roman" w:hAnsi="Times New Roman" w:cs="Times New Roman"/>
          <w:sz w:val="20"/>
          <w:szCs w:val="20"/>
        </w:rPr>
        <w:t>, p. 165.</w:t>
      </w:r>
    </w:p>
  </w:footnote>
  <w:footnote w:id="47">
    <w:p w14:paraId="5C0932A3" w14:textId="57815907" w:rsidR="0079099C" w:rsidRPr="00135614" w:rsidRDefault="0079099C" w:rsidP="00A818E2">
      <w:pPr>
        <w:pStyle w:val="FootnoteText"/>
        <w:spacing w:after="0" w:line="240" w:lineRule="auto"/>
        <w:jc w:val="both"/>
        <w:rPr>
          <w:rFonts w:ascii="Times New Roman" w:hAnsi="Times New Roman" w:cs="Times New Roman"/>
          <w:sz w:val="20"/>
          <w:szCs w:val="20"/>
        </w:rPr>
      </w:pPr>
      <w:r w:rsidRPr="00135614">
        <w:rPr>
          <w:rStyle w:val="FootnoteReference"/>
          <w:rFonts w:ascii="Times New Roman" w:eastAsiaTheme="majorEastAsia" w:hAnsi="Times New Roman" w:cs="Times New Roman"/>
          <w:sz w:val="20"/>
          <w:szCs w:val="20"/>
        </w:rPr>
        <w:footnoteRef/>
      </w:r>
      <w:r w:rsidRPr="00135614">
        <w:rPr>
          <w:rFonts w:ascii="Times New Roman" w:hAnsi="Times New Roman" w:cs="Times New Roman"/>
          <w:sz w:val="20"/>
          <w:szCs w:val="20"/>
        </w:rPr>
        <w:t xml:space="preserve"> BGH NStZ 1997, 82 as cited by Bohlander, </w:t>
      </w:r>
      <w:r w:rsidRPr="00135614">
        <w:rPr>
          <w:rFonts w:ascii="Times New Roman" w:hAnsi="Times New Roman" w:cs="Times New Roman"/>
          <w:i/>
          <w:sz w:val="20"/>
          <w:szCs w:val="20"/>
        </w:rPr>
        <w:t xml:space="preserve">supra </w:t>
      </w:r>
      <w:r w:rsidRPr="00135614">
        <w:rPr>
          <w:rFonts w:ascii="Times New Roman" w:hAnsi="Times New Roman" w:cs="Times New Roman"/>
          <w:sz w:val="20"/>
          <w:szCs w:val="20"/>
        </w:rPr>
        <w:t>note 35, p. 165.</w:t>
      </w:r>
    </w:p>
  </w:footnote>
  <w:footnote w:id="48">
    <w:p w14:paraId="67E88EF3" w14:textId="55583E7E" w:rsidR="0079099C" w:rsidRPr="00135614" w:rsidRDefault="0079099C" w:rsidP="00A818E2">
      <w:pPr>
        <w:autoSpaceDE w:val="0"/>
        <w:autoSpaceDN w:val="0"/>
        <w:adjustRightInd w:val="0"/>
        <w:spacing w:after="0" w:line="240" w:lineRule="auto"/>
        <w:jc w:val="both"/>
        <w:rPr>
          <w:rFonts w:ascii="Times New Roman" w:hAnsi="Times New Roman" w:cs="Times New Roman"/>
          <w:sz w:val="20"/>
          <w:szCs w:val="20"/>
        </w:rPr>
      </w:pPr>
      <w:r w:rsidRPr="00135614">
        <w:rPr>
          <w:rStyle w:val="FootnoteReference"/>
          <w:rFonts w:ascii="Times New Roman" w:hAnsi="Times New Roman" w:cs="Times New Roman"/>
          <w:sz w:val="20"/>
          <w:szCs w:val="20"/>
        </w:rPr>
        <w:footnoteRef/>
      </w:r>
      <w:r w:rsidRPr="00135614">
        <w:rPr>
          <w:rFonts w:ascii="Times New Roman" w:hAnsi="Times New Roman" w:cs="Times New Roman"/>
          <w:sz w:val="20"/>
          <w:szCs w:val="20"/>
        </w:rPr>
        <w:t xml:space="preserve"> See </w:t>
      </w:r>
      <w:r w:rsidRPr="00135614">
        <w:rPr>
          <w:rFonts w:ascii="Times New Roman" w:hAnsi="Times New Roman" w:cs="Times New Roman"/>
          <w:i/>
          <w:sz w:val="20"/>
          <w:szCs w:val="20"/>
        </w:rPr>
        <w:t>Reichsgericht</w:t>
      </w:r>
      <w:r w:rsidRPr="00135614">
        <w:rPr>
          <w:rFonts w:ascii="Times New Roman" w:hAnsi="Times New Roman" w:cs="Times New Roman"/>
          <w:sz w:val="20"/>
          <w:szCs w:val="20"/>
        </w:rPr>
        <w:t xml:space="preserve"> RGSt 44, 321 as cited by K. Hamsdorf, ‘The Concept of a JCE and Domestic Modes of Liability for Parties to a Crime,’ 5(4)</w:t>
      </w:r>
      <w:r w:rsidRPr="00135614">
        <w:rPr>
          <w:rFonts w:ascii="Times New Roman" w:hAnsi="Times New Roman" w:cs="Times New Roman"/>
          <w:i/>
          <w:sz w:val="20"/>
          <w:szCs w:val="20"/>
        </w:rPr>
        <w:t xml:space="preserve"> Journal of International Criminal Justice </w:t>
      </w:r>
      <w:r w:rsidRPr="00135614">
        <w:rPr>
          <w:rFonts w:ascii="Times New Roman" w:hAnsi="Times New Roman" w:cs="Times New Roman"/>
          <w:sz w:val="20"/>
          <w:szCs w:val="20"/>
        </w:rPr>
        <w:t>(2007) 208-226.</w:t>
      </w:r>
    </w:p>
  </w:footnote>
  <w:footnote w:id="49">
    <w:p w14:paraId="0B1BCEBF" w14:textId="1AFB2CAA" w:rsidR="0079099C" w:rsidRPr="00135614" w:rsidRDefault="0079099C" w:rsidP="00A818E2">
      <w:pPr>
        <w:pStyle w:val="FootnoteText"/>
        <w:spacing w:after="0" w:line="240" w:lineRule="auto"/>
        <w:jc w:val="both"/>
        <w:rPr>
          <w:rFonts w:ascii="Times New Roman" w:hAnsi="Times New Roman" w:cs="Times New Roman"/>
          <w:sz w:val="20"/>
          <w:szCs w:val="20"/>
        </w:rPr>
      </w:pPr>
      <w:r w:rsidRPr="00135614">
        <w:rPr>
          <w:rStyle w:val="FootnoteReference"/>
          <w:rFonts w:ascii="Times New Roman" w:eastAsiaTheme="majorEastAsia" w:hAnsi="Times New Roman" w:cs="Times New Roman"/>
          <w:sz w:val="20"/>
          <w:szCs w:val="20"/>
        </w:rPr>
        <w:footnoteRef/>
      </w:r>
      <w:r w:rsidRPr="00135614">
        <w:rPr>
          <w:rFonts w:ascii="Times New Roman" w:hAnsi="Times New Roman" w:cs="Times New Roman"/>
          <w:sz w:val="20"/>
          <w:szCs w:val="20"/>
        </w:rPr>
        <w:t xml:space="preserve"> </w:t>
      </w:r>
      <w:r w:rsidRPr="00135614">
        <w:rPr>
          <w:rFonts w:ascii="Times New Roman" w:hAnsi="Times New Roman" w:cs="Times New Roman"/>
          <w:i/>
          <w:sz w:val="20"/>
          <w:szCs w:val="20"/>
        </w:rPr>
        <w:t>Lubanga</w:t>
      </w:r>
      <w:r w:rsidRPr="00135614">
        <w:rPr>
          <w:rFonts w:ascii="Times New Roman" w:hAnsi="Times New Roman" w:cs="Times New Roman"/>
          <w:sz w:val="20"/>
          <w:szCs w:val="20"/>
        </w:rPr>
        <w:t xml:space="preserve"> Decision, </w:t>
      </w:r>
      <w:r w:rsidRPr="004138CF">
        <w:rPr>
          <w:rFonts w:ascii="Times New Roman" w:eastAsia="Times New Roman" w:hAnsi="Times New Roman" w:cs="Times New Roman"/>
          <w:i/>
          <w:sz w:val="20"/>
          <w:szCs w:val="20"/>
          <w:lang w:eastAsia="en-GB"/>
        </w:rPr>
        <w:t>supra</w:t>
      </w:r>
      <w:r>
        <w:rPr>
          <w:rFonts w:ascii="Times New Roman" w:eastAsia="Times New Roman" w:hAnsi="Times New Roman" w:cs="Times New Roman"/>
          <w:sz w:val="20"/>
          <w:szCs w:val="20"/>
          <w:lang w:eastAsia="en-GB"/>
        </w:rPr>
        <w:t xml:space="preserve"> note 3, </w:t>
      </w:r>
      <w:r w:rsidRPr="00135614">
        <w:rPr>
          <w:rFonts w:ascii="Times New Roman" w:hAnsi="Times New Roman" w:cs="Times New Roman"/>
          <w:sz w:val="20"/>
          <w:szCs w:val="20"/>
        </w:rPr>
        <w:t>para. 330.</w:t>
      </w:r>
    </w:p>
  </w:footnote>
  <w:footnote w:id="50">
    <w:p w14:paraId="44D72411" w14:textId="73B04F7E" w:rsidR="0079099C" w:rsidRPr="00135614" w:rsidRDefault="0079099C" w:rsidP="00A818E2">
      <w:pPr>
        <w:pStyle w:val="FootnoteText"/>
        <w:spacing w:after="0" w:line="240" w:lineRule="auto"/>
        <w:jc w:val="both"/>
        <w:rPr>
          <w:rFonts w:ascii="Times New Roman" w:hAnsi="Times New Roman" w:cs="Times New Roman"/>
          <w:sz w:val="20"/>
          <w:szCs w:val="20"/>
        </w:rPr>
      </w:pPr>
      <w:r w:rsidRPr="00135614">
        <w:rPr>
          <w:rStyle w:val="FootnoteReference"/>
          <w:rFonts w:ascii="Times New Roman" w:eastAsiaTheme="majorEastAsia" w:hAnsi="Times New Roman" w:cs="Times New Roman"/>
          <w:sz w:val="20"/>
          <w:szCs w:val="20"/>
        </w:rPr>
        <w:footnoteRef/>
      </w:r>
      <w:r w:rsidRPr="00135614">
        <w:rPr>
          <w:rFonts w:ascii="Times New Roman" w:hAnsi="Times New Roman" w:cs="Times New Roman"/>
          <w:sz w:val="20"/>
          <w:szCs w:val="20"/>
        </w:rPr>
        <w:t xml:space="preserve"> </w:t>
      </w:r>
      <w:r w:rsidRPr="00135614">
        <w:rPr>
          <w:rFonts w:ascii="Times New Roman" w:hAnsi="Times New Roman" w:cs="Times New Roman"/>
          <w:i/>
          <w:sz w:val="20"/>
          <w:szCs w:val="20"/>
        </w:rPr>
        <w:t>Ibid</w:t>
      </w:r>
      <w:r w:rsidRPr="00135614">
        <w:rPr>
          <w:rFonts w:ascii="Times New Roman" w:hAnsi="Times New Roman" w:cs="Times New Roman"/>
          <w:sz w:val="20"/>
          <w:szCs w:val="20"/>
        </w:rPr>
        <w:t>, para. 332.</w:t>
      </w:r>
    </w:p>
  </w:footnote>
  <w:footnote w:id="51">
    <w:p w14:paraId="78375263" w14:textId="0BA5963B" w:rsidR="0079099C" w:rsidRPr="00135614" w:rsidRDefault="0079099C" w:rsidP="00A818E2">
      <w:pPr>
        <w:widowControl w:val="0"/>
        <w:autoSpaceDE w:val="0"/>
        <w:autoSpaceDN w:val="0"/>
        <w:adjustRightInd w:val="0"/>
        <w:spacing w:after="0" w:line="240" w:lineRule="auto"/>
        <w:jc w:val="both"/>
        <w:rPr>
          <w:rFonts w:ascii="Times New Roman" w:hAnsi="Times New Roman" w:cs="Times New Roman"/>
          <w:sz w:val="20"/>
          <w:szCs w:val="20"/>
        </w:rPr>
      </w:pPr>
      <w:r w:rsidRPr="00135614">
        <w:rPr>
          <w:rStyle w:val="FootnoteReference"/>
          <w:rFonts w:ascii="Times New Roman" w:hAnsi="Times New Roman" w:cs="Times New Roman"/>
          <w:sz w:val="20"/>
          <w:szCs w:val="20"/>
        </w:rPr>
        <w:footnoteRef/>
      </w:r>
      <w:r w:rsidRPr="00135614">
        <w:rPr>
          <w:rFonts w:ascii="Times New Roman" w:hAnsi="Times New Roman" w:cs="Times New Roman"/>
          <w:sz w:val="20"/>
          <w:szCs w:val="20"/>
        </w:rPr>
        <w:t xml:space="preserve"> </w:t>
      </w:r>
      <w:r w:rsidRPr="00135614">
        <w:rPr>
          <w:rFonts w:ascii="Times New Roman" w:hAnsi="Times New Roman" w:cs="Times New Roman"/>
          <w:i/>
          <w:sz w:val="20"/>
          <w:szCs w:val="20"/>
        </w:rPr>
        <w:t xml:space="preserve">Lubanga </w:t>
      </w:r>
      <w:r>
        <w:rPr>
          <w:rFonts w:ascii="Times New Roman" w:hAnsi="Times New Roman" w:cs="Times New Roman"/>
          <w:sz w:val="20"/>
          <w:szCs w:val="20"/>
        </w:rPr>
        <w:t xml:space="preserve">Judgement, </w:t>
      </w:r>
      <w:r>
        <w:rPr>
          <w:rFonts w:ascii="Times New Roman" w:hAnsi="Times New Roman" w:cs="Times New Roman"/>
          <w:i/>
          <w:sz w:val="20"/>
          <w:szCs w:val="20"/>
        </w:rPr>
        <w:t xml:space="preserve">supra </w:t>
      </w:r>
      <w:r w:rsidRPr="00924358">
        <w:rPr>
          <w:rFonts w:ascii="Times New Roman" w:hAnsi="Times New Roman" w:cs="Times New Roman"/>
          <w:sz w:val="20"/>
          <w:szCs w:val="20"/>
        </w:rPr>
        <w:t>note 8,</w:t>
      </w:r>
      <w:r w:rsidRPr="00135614">
        <w:rPr>
          <w:rFonts w:ascii="Times New Roman" w:hAnsi="Times New Roman" w:cs="Times New Roman"/>
          <w:sz w:val="20"/>
          <w:szCs w:val="20"/>
        </w:rPr>
        <w:t xml:space="preserve"> paras. 976, 1018. </w:t>
      </w:r>
    </w:p>
  </w:footnote>
  <w:footnote w:id="52">
    <w:p w14:paraId="65CBA620" w14:textId="3318AB4E" w:rsidR="0079099C" w:rsidRPr="00135614" w:rsidRDefault="0079099C" w:rsidP="00A818E2">
      <w:pPr>
        <w:pStyle w:val="FootnoteText"/>
        <w:spacing w:after="0" w:line="240" w:lineRule="auto"/>
        <w:jc w:val="both"/>
        <w:rPr>
          <w:rFonts w:ascii="Times New Roman" w:hAnsi="Times New Roman" w:cs="Times New Roman"/>
          <w:sz w:val="20"/>
          <w:szCs w:val="20"/>
        </w:rPr>
      </w:pPr>
      <w:r w:rsidRPr="00135614">
        <w:rPr>
          <w:rStyle w:val="FootnoteReference"/>
          <w:rFonts w:ascii="Times New Roman" w:eastAsiaTheme="majorEastAsia" w:hAnsi="Times New Roman" w:cs="Times New Roman"/>
          <w:sz w:val="20"/>
          <w:szCs w:val="20"/>
        </w:rPr>
        <w:footnoteRef/>
      </w:r>
      <w:r w:rsidRPr="00135614">
        <w:rPr>
          <w:rFonts w:ascii="Times New Roman" w:hAnsi="Times New Roman" w:cs="Times New Roman"/>
          <w:sz w:val="20"/>
          <w:szCs w:val="20"/>
        </w:rPr>
        <w:t xml:space="preserve"> </w:t>
      </w:r>
      <w:r>
        <w:rPr>
          <w:rFonts w:ascii="Times New Roman" w:hAnsi="Times New Roman" w:cs="Times New Roman"/>
          <w:i/>
          <w:sz w:val="20"/>
          <w:szCs w:val="20"/>
        </w:rPr>
        <w:t>Ibid,</w:t>
      </w:r>
      <w:r w:rsidRPr="00135614">
        <w:rPr>
          <w:rFonts w:ascii="Times New Roman" w:hAnsi="Times New Roman" w:cs="Times New Roman"/>
          <w:sz w:val="20"/>
          <w:szCs w:val="20"/>
        </w:rPr>
        <w:t xml:space="preserve"> para. 1271.</w:t>
      </w:r>
    </w:p>
  </w:footnote>
  <w:footnote w:id="53">
    <w:p w14:paraId="397FA90F" w14:textId="50505723" w:rsidR="0079099C" w:rsidRPr="00135614" w:rsidRDefault="0079099C" w:rsidP="00A818E2">
      <w:pPr>
        <w:pStyle w:val="FootnoteText"/>
        <w:tabs>
          <w:tab w:val="left" w:pos="993"/>
        </w:tabs>
        <w:spacing w:after="0" w:line="240" w:lineRule="auto"/>
        <w:jc w:val="both"/>
        <w:rPr>
          <w:rFonts w:ascii="Times New Roman" w:hAnsi="Times New Roman" w:cs="Times New Roman"/>
          <w:sz w:val="20"/>
          <w:szCs w:val="20"/>
        </w:rPr>
      </w:pPr>
      <w:r w:rsidRPr="00135614">
        <w:rPr>
          <w:rStyle w:val="FootnoteReference"/>
          <w:rFonts w:ascii="Times New Roman" w:eastAsiaTheme="majorEastAsia" w:hAnsi="Times New Roman" w:cs="Times New Roman"/>
          <w:sz w:val="20"/>
          <w:szCs w:val="20"/>
        </w:rPr>
        <w:footnoteRef/>
      </w:r>
      <w:r w:rsidRPr="00135614">
        <w:rPr>
          <w:rFonts w:ascii="Times New Roman" w:hAnsi="Times New Roman" w:cs="Times New Roman"/>
          <w:sz w:val="20"/>
          <w:szCs w:val="20"/>
        </w:rPr>
        <w:t xml:space="preserve"> </w:t>
      </w:r>
      <w:r w:rsidRPr="00135614">
        <w:rPr>
          <w:rFonts w:ascii="Times New Roman" w:hAnsi="Times New Roman" w:cs="Times New Roman"/>
          <w:i/>
          <w:sz w:val="20"/>
          <w:szCs w:val="20"/>
        </w:rPr>
        <w:t>Ibid</w:t>
      </w:r>
      <w:r w:rsidRPr="00135614">
        <w:rPr>
          <w:rFonts w:ascii="Times New Roman" w:hAnsi="Times New Roman" w:cs="Times New Roman"/>
          <w:sz w:val="20"/>
          <w:szCs w:val="20"/>
        </w:rPr>
        <w:t>, para. 925.</w:t>
      </w:r>
    </w:p>
  </w:footnote>
  <w:footnote w:id="54">
    <w:p w14:paraId="3373D18D" w14:textId="2A583BFB" w:rsidR="0079099C" w:rsidRPr="00135614" w:rsidRDefault="0079099C" w:rsidP="00A818E2">
      <w:pPr>
        <w:pStyle w:val="FootnoteText"/>
        <w:spacing w:after="0" w:line="240" w:lineRule="auto"/>
        <w:jc w:val="both"/>
        <w:rPr>
          <w:rFonts w:ascii="Times New Roman" w:hAnsi="Times New Roman" w:cs="Times New Roman"/>
          <w:sz w:val="20"/>
          <w:szCs w:val="20"/>
          <w:lang w:val="en-US"/>
        </w:rPr>
      </w:pPr>
      <w:r w:rsidRPr="00135614">
        <w:rPr>
          <w:rStyle w:val="FootnoteReference"/>
          <w:rFonts w:ascii="Times New Roman" w:hAnsi="Times New Roman" w:cs="Times New Roman"/>
          <w:sz w:val="20"/>
          <w:szCs w:val="20"/>
        </w:rPr>
        <w:footnoteRef/>
      </w:r>
      <w:r w:rsidRPr="00135614">
        <w:rPr>
          <w:rFonts w:ascii="Times New Roman" w:hAnsi="Times New Roman" w:cs="Times New Roman"/>
          <w:sz w:val="20"/>
          <w:szCs w:val="20"/>
        </w:rPr>
        <w:t xml:space="preserve"> </w:t>
      </w:r>
      <w:r w:rsidRPr="00135614">
        <w:rPr>
          <w:rFonts w:ascii="Times New Roman" w:hAnsi="Times New Roman" w:cs="Times New Roman"/>
          <w:i/>
          <w:sz w:val="20"/>
          <w:szCs w:val="20"/>
        </w:rPr>
        <w:t xml:space="preserve">Lubanga </w:t>
      </w:r>
      <w:r w:rsidRPr="00135614">
        <w:rPr>
          <w:rFonts w:ascii="Times New Roman" w:hAnsi="Times New Roman" w:cs="Times New Roman"/>
          <w:sz w:val="20"/>
          <w:szCs w:val="20"/>
        </w:rPr>
        <w:t xml:space="preserve">Appeal Judgement, </w:t>
      </w:r>
      <w:r w:rsidRPr="001A359E">
        <w:rPr>
          <w:rFonts w:ascii="Times New Roman" w:hAnsi="Times New Roman" w:cs="Times New Roman"/>
          <w:i/>
          <w:sz w:val="20"/>
          <w:szCs w:val="20"/>
        </w:rPr>
        <w:t>supra</w:t>
      </w:r>
      <w:r>
        <w:rPr>
          <w:rFonts w:ascii="Times New Roman" w:hAnsi="Times New Roman" w:cs="Times New Roman"/>
          <w:sz w:val="20"/>
          <w:szCs w:val="20"/>
        </w:rPr>
        <w:t xml:space="preserve"> note 11, </w:t>
      </w:r>
      <w:r w:rsidRPr="00135614">
        <w:rPr>
          <w:rFonts w:ascii="Times New Roman" w:hAnsi="Times New Roman" w:cs="Times New Roman"/>
          <w:sz w:val="20"/>
          <w:szCs w:val="20"/>
        </w:rPr>
        <w:t>para. 529.</w:t>
      </w:r>
    </w:p>
  </w:footnote>
  <w:footnote w:id="55">
    <w:p w14:paraId="75E86989" w14:textId="5DF8D4C3" w:rsidR="0079099C" w:rsidRPr="00135614" w:rsidRDefault="0079099C" w:rsidP="00A818E2">
      <w:pPr>
        <w:pStyle w:val="FootnoteText"/>
        <w:spacing w:after="0" w:line="240" w:lineRule="auto"/>
        <w:jc w:val="both"/>
        <w:rPr>
          <w:rFonts w:ascii="Times New Roman" w:hAnsi="Times New Roman" w:cs="Times New Roman"/>
          <w:sz w:val="20"/>
          <w:szCs w:val="20"/>
          <w:lang w:val="en-US"/>
        </w:rPr>
      </w:pPr>
      <w:r w:rsidRPr="00135614">
        <w:rPr>
          <w:rStyle w:val="FootnoteReference"/>
          <w:rFonts w:ascii="Times New Roman" w:hAnsi="Times New Roman" w:cs="Times New Roman"/>
          <w:sz w:val="20"/>
          <w:szCs w:val="20"/>
        </w:rPr>
        <w:footnoteRef/>
      </w:r>
      <w:r w:rsidRPr="00135614">
        <w:rPr>
          <w:rFonts w:ascii="Times New Roman" w:hAnsi="Times New Roman" w:cs="Times New Roman"/>
          <w:sz w:val="20"/>
          <w:szCs w:val="20"/>
        </w:rPr>
        <w:t xml:space="preserve"> </w:t>
      </w:r>
      <w:r w:rsidRPr="00135614">
        <w:rPr>
          <w:rFonts w:ascii="Times New Roman" w:hAnsi="Times New Roman" w:cs="Times New Roman"/>
          <w:i/>
          <w:sz w:val="20"/>
          <w:szCs w:val="20"/>
        </w:rPr>
        <w:t>Ibid</w:t>
      </w:r>
      <w:r w:rsidRPr="00135614">
        <w:rPr>
          <w:rFonts w:ascii="Times New Roman" w:hAnsi="Times New Roman" w:cs="Times New Roman"/>
          <w:sz w:val="20"/>
          <w:szCs w:val="20"/>
        </w:rPr>
        <w:t>, paras. 467; 469. Emphasis added.</w:t>
      </w:r>
    </w:p>
  </w:footnote>
  <w:footnote w:id="56">
    <w:p w14:paraId="6FBD25F6" w14:textId="55394E1A" w:rsidR="0079099C" w:rsidRPr="00135614" w:rsidRDefault="0079099C" w:rsidP="00A818E2">
      <w:pPr>
        <w:pStyle w:val="FootnoteText"/>
        <w:spacing w:after="0" w:line="240" w:lineRule="auto"/>
        <w:jc w:val="both"/>
        <w:rPr>
          <w:rFonts w:ascii="Times New Roman" w:hAnsi="Times New Roman" w:cs="Times New Roman"/>
          <w:sz w:val="20"/>
          <w:szCs w:val="20"/>
          <w:lang w:val="en-US"/>
        </w:rPr>
      </w:pPr>
      <w:r w:rsidRPr="00135614">
        <w:rPr>
          <w:rStyle w:val="FootnoteReference"/>
          <w:rFonts w:ascii="Times New Roman" w:hAnsi="Times New Roman" w:cs="Times New Roman"/>
          <w:sz w:val="20"/>
          <w:szCs w:val="20"/>
        </w:rPr>
        <w:footnoteRef/>
      </w:r>
      <w:r w:rsidRPr="00135614">
        <w:rPr>
          <w:rFonts w:ascii="Times New Roman" w:hAnsi="Times New Roman" w:cs="Times New Roman"/>
          <w:sz w:val="20"/>
          <w:szCs w:val="20"/>
        </w:rPr>
        <w:t xml:space="preserve"> </w:t>
      </w:r>
      <w:r w:rsidRPr="00135614">
        <w:rPr>
          <w:rFonts w:ascii="Times New Roman" w:hAnsi="Times New Roman" w:cs="Times New Roman"/>
          <w:i/>
          <w:sz w:val="20"/>
          <w:szCs w:val="20"/>
        </w:rPr>
        <w:t xml:space="preserve">Lubanga </w:t>
      </w:r>
      <w:r w:rsidRPr="00135614">
        <w:rPr>
          <w:rFonts w:ascii="Times New Roman" w:hAnsi="Times New Roman" w:cs="Times New Roman"/>
          <w:sz w:val="20"/>
          <w:szCs w:val="20"/>
        </w:rPr>
        <w:t xml:space="preserve">Appeal Judgement, </w:t>
      </w:r>
      <w:r w:rsidRPr="001A359E">
        <w:rPr>
          <w:rFonts w:ascii="Times New Roman" w:hAnsi="Times New Roman" w:cs="Times New Roman"/>
          <w:i/>
          <w:sz w:val="20"/>
          <w:szCs w:val="20"/>
        </w:rPr>
        <w:t>supra</w:t>
      </w:r>
      <w:r>
        <w:rPr>
          <w:rFonts w:ascii="Times New Roman" w:hAnsi="Times New Roman" w:cs="Times New Roman"/>
          <w:sz w:val="20"/>
          <w:szCs w:val="20"/>
        </w:rPr>
        <w:t xml:space="preserve"> note 11, </w:t>
      </w:r>
      <w:r w:rsidRPr="00135614">
        <w:rPr>
          <w:rFonts w:ascii="Times New Roman" w:hAnsi="Times New Roman" w:cs="Times New Roman"/>
          <w:sz w:val="20"/>
          <w:szCs w:val="20"/>
        </w:rPr>
        <w:t xml:space="preserve">para. 469 with reference to Kai Ambos’s position arguing that a normative concept of control offers a plausible explanation of the way co-perpetration may be effectuated by those absent from the scene of the crime. See K. Ambos, </w:t>
      </w:r>
      <w:r w:rsidRPr="00135614">
        <w:rPr>
          <w:rFonts w:ascii="Times New Roman" w:hAnsi="Times New Roman" w:cs="Times New Roman"/>
          <w:i/>
          <w:sz w:val="20"/>
          <w:szCs w:val="20"/>
        </w:rPr>
        <w:t>Treatise on International Criminal Law, Volume I: Foundations and General Part</w:t>
      </w:r>
      <w:r w:rsidRPr="00135614">
        <w:rPr>
          <w:rFonts w:ascii="Times New Roman" w:hAnsi="Times New Roman" w:cs="Times New Roman"/>
          <w:sz w:val="20"/>
          <w:szCs w:val="20"/>
        </w:rPr>
        <w:t xml:space="preserve"> (Oxford University Press, 2013), p. 153.</w:t>
      </w:r>
    </w:p>
  </w:footnote>
  <w:footnote w:id="57">
    <w:p w14:paraId="0CFDD042" w14:textId="4AB34892" w:rsidR="0079099C" w:rsidRPr="00135614" w:rsidRDefault="0079099C" w:rsidP="00A818E2">
      <w:pPr>
        <w:pStyle w:val="FootnoteText"/>
        <w:spacing w:after="0" w:line="240" w:lineRule="auto"/>
        <w:jc w:val="both"/>
        <w:rPr>
          <w:rFonts w:ascii="Times New Roman" w:hAnsi="Times New Roman" w:cs="Times New Roman"/>
          <w:sz w:val="20"/>
          <w:szCs w:val="20"/>
          <w:lang w:val="en-US"/>
        </w:rPr>
      </w:pPr>
      <w:r w:rsidRPr="00135614">
        <w:rPr>
          <w:rStyle w:val="FootnoteReference"/>
          <w:rFonts w:ascii="Times New Roman" w:hAnsi="Times New Roman" w:cs="Times New Roman"/>
          <w:sz w:val="20"/>
          <w:szCs w:val="20"/>
        </w:rPr>
        <w:footnoteRef/>
      </w:r>
      <w:r w:rsidRPr="00135614">
        <w:rPr>
          <w:rFonts w:ascii="Times New Roman" w:hAnsi="Times New Roman" w:cs="Times New Roman"/>
          <w:sz w:val="20"/>
          <w:szCs w:val="20"/>
        </w:rPr>
        <w:t xml:space="preserve"> Sadat and Jolly, </w:t>
      </w:r>
      <w:r w:rsidRPr="00135614">
        <w:rPr>
          <w:rFonts w:ascii="Times New Roman" w:hAnsi="Times New Roman" w:cs="Times New Roman"/>
          <w:i/>
          <w:sz w:val="20"/>
          <w:szCs w:val="20"/>
        </w:rPr>
        <w:t>supra</w:t>
      </w:r>
      <w:r w:rsidRPr="00135614">
        <w:rPr>
          <w:rFonts w:ascii="Times New Roman" w:hAnsi="Times New Roman" w:cs="Times New Roman"/>
          <w:sz w:val="20"/>
          <w:szCs w:val="20"/>
        </w:rPr>
        <w:t xml:space="preserve"> note 4, p. 784.</w:t>
      </w:r>
    </w:p>
  </w:footnote>
  <w:footnote w:id="58">
    <w:p w14:paraId="1842BFEA" w14:textId="4C30B16C" w:rsidR="0079099C" w:rsidRPr="00135614" w:rsidRDefault="0079099C" w:rsidP="00A818E2">
      <w:pPr>
        <w:pStyle w:val="FootnoteText"/>
        <w:spacing w:after="0" w:line="240" w:lineRule="auto"/>
        <w:jc w:val="both"/>
        <w:rPr>
          <w:rFonts w:ascii="Times New Roman" w:hAnsi="Times New Roman" w:cs="Times New Roman"/>
          <w:sz w:val="20"/>
          <w:szCs w:val="20"/>
          <w:lang w:val="en-US"/>
        </w:rPr>
      </w:pPr>
      <w:r w:rsidRPr="00135614">
        <w:rPr>
          <w:rStyle w:val="FootnoteReference"/>
          <w:rFonts w:ascii="Times New Roman" w:hAnsi="Times New Roman" w:cs="Times New Roman"/>
          <w:sz w:val="20"/>
          <w:szCs w:val="20"/>
        </w:rPr>
        <w:footnoteRef/>
      </w:r>
      <w:r w:rsidRPr="00135614">
        <w:rPr>
          <w:rFonts w:ascii="Times New Roman" w:hAnsi="Times New Roman" w:cs="Times New Roman"/>
          <w:sz w:val="20"/>
          <w:szCs w:val="20"/>
        </w:rPr>
        <w:t xml:space="preserve"> </w:t>
      </w:r>
      <w:r w:rsidRPr="00135614">
        <w:rPr>
          <w:rFonts w:ascii="Times New Roman" w:hAnsi="Times New Roman" w:cs="Times New Roman"/>
          <w:i/>
          <w:sz w:val="20"/>
          <w:szCs w:val="20"/>
        </w:rPr>
        <w:t xml:space="preserve">Lubanga </w:t>
      </w:r>
      <w:r w:rsidRPr="00135614">
        <w:rPr>
          <w:rFonts w:ascii="Times New Roman" w:hAnsi="Times New Roman" w:cs="Times New Roman"/>
          <w:sz w:val="20"/>
          <w:szCs w:val="20"/>
        </w:rPr>
        <w:t>Appeal Judgement,</w:t>
      </w:r>
      <w:r>
        <w:rPr>
          <w:rFonts w:ascii="Times New Roman" w:hAnsi="Times New Roman" w:cs="Times New Roman"/>
          <w:sz w:val="20"/>
          <w:szCs w:val="20"/>
        </w:rPr>
        <w:t xml:space="preserve"> </w:t>
      </w:r>
      <w:r w:rsidRPr="001A359E">
        <w:rPr>
          <w:rFonts w:ascii="Times New Roman" w:hAnsi="Times New Roman" w:cs="Times New Roman"/>
          <w:i/>
          <w:sz w:val="20"/>
          <w:szCs w:val="20"/>
        </w:rPr>
        <w:t>supra</w:t>
      </w:r>
      <w:r>
        <w:rPr>
          <w:rFonts w:ascii="Times New Roman" w:hAnsi="Times New Roman" w:cs="Times New Roman"/>
          <w:sz w:val="20"/>
          <w:szCs w:val="20"/>
        </w:rPr>
        <w:t xml:space="preserve"> note 11,</w:t>
      </w:r>
      <w:r w:rsidRPr="00135614">
        <w:rPr>
          <w:rFonts w:ascii="Times New Roman" w:hAnsi="Times New Roman" w:cs="Times New Roman"/>
          <w:sz w:val="20"/>
          <w:szCs w:val="20"/>
        </w:rPr>
        <w:t xml:space="preserve"> para. 470.</w:t>
      </w:r>
    </w:p>
  </w:footnote>
  <w:footnote w:id="59">
    <w:p w14:paraId="0FE0090B" w14:textId="59F49C2B" w:rsidR="0079099C" w:rsidRPr="00135614" w:rsidRDefault="0079099C" w:rsidP="00A818E2">
      <w:pPr>
        <w:pStyle w:val="FootnoteText"/>
        <w:spacing w:after="0" w:line="240" w:lineRule="auto"/>
        <w:jc w:val="both"/>
        <w:rPr>
          <w:rFonts w:ascii="Times New Roman" w:hAnsi="Times New Roman" w:cs="Times New Roman"/>
          <w:sz w:val="20"/>
          <w:szCs w:val="20"/>
          <w:lang w:val="en-US"/>
        </w:rPr>
      </w:pPr>
      <w:r w:rsidRPr="00135614">
        <w:rPr>
          <w:rStyle w:val="FootnoteReference"/>
          <w:rFonts w:ascii="Times New Roman" w:hAnsi="Times New Roman" w:cs="Times New Roman"/>
          <w:sz w:val="20"/>
          <w:szCs w:val="20"/>
        </w:rPr>
        <w:footnoteRef/>
      </w:r>
      <w:r w:rsidRPr="00135614">
        <w:rPr>
          <w:rFonts w:ascii="Times New Roman" w:hAnsi="Times New Roman" w:cs="Times New Roman"/>
          <w:sz w:val="20"/>
          <w:szCs w:val="20"/>
        </w:rPr>
        <w:t xml:space="preserve"> See Sadat and Jolly, </w:t>
      </w:r>
      <w:r w:rsidRPr="00135614">
        <w:rPr>
          <w:rFonts w:ascii="Times New Roman" w:hAnsi="Times New Roman" w:cs="Times New Roman"/>
          <w:i/>
          <w:sz w:val="20"/>
          <w:szCs w:val="20"/>
        </w:rPr>
        <w:t>supra</w:t>
      </w:r>
      <w:r w:rsidRPr="00135614">
        <w:rPr>
          <w:rFonts w:ascii="Times New Roman" w:hAnsi="Times New Roman" w:cs="Times New Roman"/>
          <w:sz w:val="20"/>
          <w:szCs w:val="20"/>
        </w:rPr>
        <w:t xml:space="preserve"> note 4, p 759.</w:t>
      </w:r>
    </w:p>
  </w:footnote>
  <w:footnote w:id="60">
    <w:p w14:paraId="69C19F26" w14:textId="16B795A4" w:rsidR="0079099C" w:rsidRPr="00135614" w:rsidRDefault="0079099C" w:rsidP="00A818E2">
      <w:pPr>
        <w:pStyle w:val="FootnoteText"/>
        <w:spacing w:after="0" w:line="240" w:lineRule="auto"/>
        <w:jc w:val="both"/>
        <w:rPr>
          <w:rFonts w:ascii="Times New Roman" w:hAnsi="Times New Roman" w:cs="Times New Roman"/>
          <w:sz w:val="20"/>
          <w:szCs w:val="20"/>
          <w:lang w:val="en-US"/>
        </w:rPr>
      </w:pPr>
      <w:r w:rsidRPr="00135614">
        <w:rPr>
          <w:rStyle w:val="FootnoteReference"/>
          <w:rFonts w:ascii="Times New Roman" w:hAnsi="Times New Roman" w:cs="Times New Roman"/>
          <w:sz w:val="20"/>
          <w:szCs w:val="20"/>
        </w:rPr>
        <w:footnoteRef/>
      </w:r>
      <w:r w:rsidRPr="00135614">
        <w:rPr>
          <w:rFonts w:ascii="Times New Roman" w:hAnsi="Times New Roman" w:cs="Times New Roman"/>
          <w:sz w:val="20"/>
          <w:szCs w:val="20"/>
        </w:rPr>
        <w:t xml:space="preserve"> </w:t>
      </w:r>
      <w:r w:rsidRPr="00135614">
        <w:rPr>
          <w:rFonts w:ascii="Times New Roman" w:hAnsi="Times New Roman" w:cs="Times New Roman"/>
          <w:i/>
          <w:sz w:val="20"/>
          <w:szCs w:val="20"/>
        </w:rPr>
        <w:t xml:space="preserve">Lubanga </w:t>
      </w:r>
      <w:r w:rsidRPr="00135614">
        <w:rPr>
          <w:rFonts w:ascii="Times New Roman" w:hAnsi="Times New Roman" w:cs="Times New Roman"/>
          <w:sz w:val="20"/>
          <w:szCs w:val="20"/>
        </w:rPr>
        <w:t xml:space="preserve">Appeal Judgement, </w:t>
      </w:r>
      <w:r w:rsidRPr="001A359E">
        <w:rPr>
          <w:rFonts w:ascii="Times New Roman" w:hAnsi="Times New Roman" w:cs="Times New Roman"/>
          <w:i/>
          <w:sz w:val="20"/>
          <w:szCs w:val="20"/>
        </w:rPr>
        <w:t>supra</w:t>
      </w:r>
      <w:r>
        <w:rPr>
          <w:rFonts w:ascii="Times New Roman" w:hAnsi="Times New Roman" w:cs="Times New Roman"/>
          <w:sz w:val="20"/>
          <w:szCs w:val="20"/>
        </w:rPr>
        <w:t xml:space="preserve"> note 11, </w:t>
      </w:r>
      <w:r w:rsidRPr="00135614">
        <w:rPr>
          <w:rFonts w:ascii="Times New Roman" w:hAnsi="Times New Roman" w:cs="Times New Roman"/>
          <w:sz w:val="20"/>
          <w:szCs w:val="20"/>
        </w:rPr>
        <w:t>para. 466.</w:t>
      </w:r>
    </w:p>
  </w:footnote>
  <w:footnote w:id="61">
    <w:p w14:paraId="25B90BF1" w14:textId="53EED1E8" w:rsidR="0079099C" w:rsidRPr="00135614" w:rsidRDefault="0079099C" w:rsidP="00A818E2">
      <w:pPr>
        <w:pStyle w:val="FootnoteText"/>
        <w:spacing w:after="0" w:line="240" w:lineRule="auto"/>
        <w:jc w:val="both"/>
        <w:rPr>
          <w:rFonts w:ascii="Times New Roman" w:hAnsi="Times New Roman" w:cs="Times New Roman"/>
          <w:sz w:val="20"/>
          <w:szCs w:val="20"/>
          <w:lang w:val="en-US"/>
        </w:rPr>
      </w:pPr>
      <w:r w:rsidRPr="00135614">
        <w:rPr>
          <w:rStyle w:val="FootnoteReference"/>
          <w:rFonts w:ascii="Times New Roman" w:hAnsi="Times New Roman" w:cs="Times New Roman"/>
          <w:sz w:val="20"/>
          <w:szCs w:val="20"/>
        </w:rPr>
        <w:footnoteRef/>
      </w:r>
      <w:r w:rsidRPr="00135614">
        <w:rPr>
          <w:rFonts w:ascii="Times New Roman" w:hAnsi="Times New Roman" w:cs="Times New Roman"/>
          <w:sz w:val="20"/>
          <w:szCs w:val="20"/>
        </w:rPr>
        <w:t xml:space="preserve"> </w:t>
      </w:r>
      <w:r w:rsidRPr="00135614">
        <w:rPr>
          <w:rFonts w:ascii="Times New Roman" w:hAnsi="Times New Roman" w:cs="Times New Roman"/>
          <w:i/>
          <w:sz w:val="20"/>
          <w:szCs w:val="20"/>
        </w:rPr>
        <w:t>Ibid,</w:t>
      </w:r>
      <w:r w:rsidRPr="00135614">
        <w:rPr>
          <w:rFonts w:ascii="Times New Roman" w:hAnsi="Times New Roman" w:cs="Times New Roman"/>
          <w:sz w:val="20"/>
          <w:szCs w:val="20"/>
        </w:rPr>
        <w:t xml:space="preserve"> para. 473.</w:t>
      </w:r>
    </w:p>
  </w:footnote>
  <w:footnote w:id="62">
    <w:p w14:paraId="572244D9" w14:textId="2872700D" w:rsidR="0079099C" w:rsidRPr="00135614" w:rsidRDefault="0079099C" w:rsidP="00A818E2">
      <w:pPr>
        <w:pStyle w:val="FootnoteText"/>
        <w:spacing w:after="0" w:line="240" w:lineRule="auto"/>
        <w:jc w:val="both"/>
        <w:rPr>
          <w:rFonts w:ascii="Times New Roman" w:hAnsi="Times New Roman" w:cs="Times New Roman"/>
          <w:sz w:val="20"/>
          <w:szCs w:val="20"/>
          <w:lang w:val="en-US"/>
        </w:rPr>
      </w:pPr>
      <w:r w:rsidRPr="00135614">
        <w:rPr>
          <w:rStyle w:val="FootnoteReference"/>
          <w:rFonts w:ascii="Times New Roman" w:hAnsi="Times New Roman" w:cs="Times New Roman"/>
          <w:sz w:val="20"/>
          <w:szCs w:val="20"/>
        </w:rPr>
        <w:footnoteRef/>
      </w:r>
      <w:r w:rsidRPr="00135614">
        <w:rPr>
          <w:rFonts w:ascii="Times New Roman" w:hAnsi="Times New Roman" w:cs="Times New Roman"/>
          <w:sz w:val="20"/>
          <w:szCs w:val="20"/>
        </w:rPr>
        <w:t xml:space="preserve"> </w:t>
      </w:r>
      <w:r w:rsidRPr="00135614">
        <w:rPr>
          <w:rFonts w:ascii="Times New Roman" w:hAnsi="Times New Roman" w:cs="Times New Roman"/>
          <w:i/>
          <w:sz w:val="20"/>
          <w:szCs w:val="20"/>
        </w:rPr>
        <w:t>Ibid,</w:t>
      </w:r>
      <w:r w:rsidRPr="00135614">
        <w:rPr>
          <w:rFonts w:ascii="Times New Roman" w:hAnsi="Times New Roman" w:cs="Times New Roman"/>
          <w:sz w:val="20"/>
          <w:szCs w:val="20"/>
        </w:rPr>
        <w:t xml:space="preserve"> paras. 473; 479; 488.</w:t>
      </w:r>
    </w:p>
  </w:footnote>
  <w:footnote w:id="63">
    <w:p w14:paraId="483792C5" w14:textId="73A56CA6" w:rsidR="0079099C" w:rsidRPr="00135614" w:rsidRDefault="0079099C" w:rsidP="00A818E2">
      <w:pPr>
        <w:pStyle w:val="FootnoteText"/>
        <w:spacing w:after="0" w:line="240" w:lineRule="auto"/>
        <w:jc w:val="both"/>
        <w:rPr>
          <w:rFonts w:ascii="Times New Roman" w:hAnsi="Times New Roman" w:cs="Times New Roman"/>
          <w:sz w:val="20"/>
          <w:szCs w:val="20"/>
          <w:lang w:val="en-US"/>
        </w:rPr>
      </w:pPr>
      <w:r w:rsidRPr="00135614">
        <w:rPr>
          <w:rStyle w:val="FootnoteReference"/>
          <w:rFonts w:ascii="Times New Roman" w:hAnsi="Times New Roman" w:cs="Times New Roman"/>
          <w:sz w:val="20"/>
          <w:szCs w:val="20"/>
        </w:rPr>
        <w:footnoteRef/>
      </w:r>
      <w:r w:rsidRPr="00135614">
        <w:rPr>
          <w:rFonts w:ascii="Times New Roman" w:hAnsi="Times New Roman" w:cs="Times New Roman"/>
          <w:sz w:val="20"/>
          <w:szCs w:val="20"/>
        </w:rPr>
        <w:t xml:space="preserve"> </w:t>
      </w:r>
      <w:r w:rsidRPr="00135614">
        <w:rPr>
          <w:rFonts w:ascii="Times New Roman" w:hAnsi="Times New Roman" w:cs="Times New Roman"/>
          <w:i/>
          <w:sz w:val="20"/>
          <w:szCs w:val="20"/>
        </w:rPr>
        <w:t>Ibid</w:t>
      </w:r>
      <w:r w:rsidRPr="00135614">
        <w:rPr>
          <w:rFonts w:ascii="Times New Roman" w:hAnsi="Times New Roman" w:cs="Times New Roman"/>
          <w:sz w:val="20"/>
          <w:szCs w:val="20"/>
        </w:rPr>
        <w:t>, para. 473.</w:t>
      </w:r>
    </w:p>
  </w:footnote>
  <w:footnote w:id="64">
    <w:p w14:paraId="71856675" w14:textId="54AC55D7" w:rsidR="0079099C" w:rsidRPr="00135614" w:rsidRDefault="0079099C" w:rsidP="00A818E2">
      <w:pPr>
        <w:pStyle w:val="FootnoteText"/>
        <w:spacing w:after="0" w:line="240" w:lineRule="auto"/>
        <w:jc w:val="both"/>
        <w:rPr>
          <w:rFonts w:ascii="Times New Roman" w:hAnsi="Times New Roman" w:cs="Times New Roman"/>
          <w:sz w:val="20"/>
          <w:szCs w:val="20"/>
        </w:rPr>
      </w:pPr>
      <w:r w:rsidRPr="00135614">
        <w:rPr>
          <w:rStyle w:val="FootnoteReference"/>
          <w:rFonts w:ascii="Times New Roman" w:eastAsiaTheme="majorEastAsia" w:hAnsi="Times New Roman" w:cs="Times New Roman"/>
          <w:sz w:val="20"/>
          <w:szCs w:val="20"/>
        </w:rPr>
        <w:footnoteRef/>
      </w:r>
      <w:r w:rsidRPr="00135614">
        <w:rPr>
          <w:rFonts w:ascii="Times New Roman" w:hAnsi="Times New Roman" w:cs="Times New Roman"/>
          <w:sz w:val="20"/>
          <w:szCs w:val="20"/>
        </w:rPr>
        <w:t xml:space="preserve"> </w:t>
      </w:r>
      <w:r w:rsidRPr="00135614">
        <w:rPr>
          <w:rFonts w:ascii="Times New Roman" w:hAnsi="Times New Roman" w:cs="Times New Roman"/>
          <w:i/>
          <w:sz w:val="20"/>
          <w:szCs w:val="20"/>
        </w:rPr>
        <w:t>Lubanga</w:t>
      </w:r>
      <w:r w:rsidRPr="00135614">
        <w:rPr>
          <w:rFonts w:ascii="Times New Roman" w:hAnsi="Times New Roman" w:cs="Times New Roman"/>
          <w:sz w:val="20"/>
          <w:szCs w:val="20"/>
        </w:rPr>
        <w:t xml:space="preserve"> Judgement, </w:t>
      </w:r>
      <w:r>
        <w:rPr>
          <w:rFonts w:ascii="Times New Roman" w:hAnsi="Times New Roman" w:cs="Times New Roman"/>
          <w:i/>
          <w:sz w:val="20"/>
          <w:szCs w:val="20"/>
        </w:rPr>
        <w:t xml:space="preserve">supra </w:t>
      </w:r>
      <w:r w:rsidRPr="00924358">
        <w:rPr>
          <w:rFonts w:ascii="Times New Roman" w:hAnsi="Times New Roman" w:cs="Times New Roman"/>
          <w:sz w:val="20"/>
          <w:szCs w:val="20"/>
        </w:rPr>
        <w:t>note 8,</w:t>
      </w:r>
      <w:r w:rsidRPr="00135614">
        <w:rPr>
          <w:rFonts w:ascii="Times New Roman" w:hAnsi="Times New Roman" w:cs="Times New Roman"/>
          <w:sz w:val="20"/>
          <w:szCs w:val="20"/>
        </w:rPr>
        <w:t xml:space="preserve"> para. 1357.</w:t>
      </w:r>
    </w:p>
  </w:footnote>
  <w:footnote w:id="65">
    <w:p w14:paraId="25B897AF" w14:textId="0DCF96C3" w:rsidR="0079099C" w:rsidRPr="00135614" w:rsidRDefault="0079099C" w:rsidP="00A818E2">
      <w:pPr>
        <w:pStyle w:val="FootnoteText"/>
        <w:spacing w:after="0" w:line="240" w:lineRule="auto"/>
        <w:jc w:val="both"/>
        <w:rPr>
          <w:rFonts w:ascii="Times New Roman" w:hAnsi="Times New Roman" w:cs="Times New Roman"/>
          <w:sz w:val="20"/>
          <w:szCs w:val="20"/>
        </w:rPr>
      </w:pPr>
      <w:r w:rsidRPr="00135614">
        <w:rPr>
          <w:rStyle w:val="FootnoteReference"/>
          <w:rFonts w:ascii="Times New Roman" w:eastAsiaTheme="majorEastAsia" w:hAnsi="Times New Roman" w:cs="Times New Roman"/>
          <w:sz w:val="20"/>
          <w:szCs w:val="20"/>
        </w:rPr>
        <w:footnoteRef/>
      </w:r>
      <w:r w:rsidRPr="00135614">
        <w:rPr>
          <w:rFonts w:ascii="Times New Roman" w:hAnsi="Times New Roman" w:cs="Times New Roman"/>
          <w:sz w:val="20"/>
          <w:szCs w:val="20"/>
        </w:rPr>
        <w:t xml:space="preserve"> </w:t>
      </w:r>
      <w:r w:rsidRPr="00135614">
        <w:rPr>
          <w:rFonts w:ascii="Times New Roman" w:hAnsi="Times New Roman" w:cs="Times New Roman"/>
          <w:i/>
          <w:sz w:val="20"/>
          <w:szCs w:val="20"/>
        </w:rPr>
        <w:t>Ibid,</w:t>
      </w:r>
      <w:r w:rsidRPr="00135614">
        <w:rPr>
          <w:rFonts w:ascii="Times New Roman" w:hAnsi="Times New Roman" w:cs="Times New Roman"/>
          <w:sz w:val="20"/>
          <w:szCs w:val="20"/>
        </w:rPr>
        <w:t xml:space="preserve"> para. 1012. </w:t>
      </w:r>
      <w:r w:rsidRPr="00135614">
        <w:rPr>
          <w:rFonts w:ascii="Times New Roman" w:hAnsi="Times New Roman" w:cs="Times New Roman"/>
          <w:i/>
          <w:sz w:val="20"/>
          <w:szCs w:val="20"/>
        </w:rPr>
        <w:t>Cf.</w:t>
      </w:r>
      <w:r w:rsidRPr="00135614">
        <w:rPr>
          <w:rFonts w:ascii="Times New Roman" w:hAnsi="Times New Roman" w:cs="Times New Roman"/>
          <w:sz w:val="20"/>
          <w:szCs w:val="20"/>
        </w:rPr>
        <w:t xml:space="preserve"> </w:t>
      </w:r>
      <w:r w:rsidRPr="00135614">
        <w:rPr>
          <w:rFonts w:ascii="Times New Roman" w:hAnsi="Times New Roman" w:cs="Times New Roman"/>
          <w:i/>
          <w:sz w:val="20"/>
          <w:szCs w:val="20"/>
        </w:rPr>
        <w:t>Katanga</w:t>
      </w:r>
      <w:r w:rsidRPr="00135614">
        <w:rPr>
          <w:rFonts w:ascii="Times New Roman" w:hAnsi="Times New Roman" w:cs="Times New Roman"/>
          <w:sz w:val="20"/>
          <w:szCs w:val="20"/>
        </w:rPr>
        <w:t xml:space="preserve"> Judgement, </w:t>
      </w:r>
      <w:r w:rsidRPr="002C4E23">
        <w:rPr>
          <w:rFonts w:ascii="Times New Roman" w:hAnsi="Times New Roman" w:cs="Times New Roman"/>
          <w:i/>
          <w:sz w:val="20"/>
          <w:szCs w:val="20"/>
        </w:rPr>
        <w:t>supra</w:t>
      </w:r>
      <w:r>
        <w:rPr>
          <w:rFonts w:ascii="Times New Roman" w:hAnsi="Times New Roman" w:cs="Times New Roman"/>
          <w:sz w:val="20"/>
          <w:szCs w:val="20"/>
        </w:rPr>
        <w:t xml:space="preserve"> note 8, </w:t>
      </w:r>
      <w:r w:rsidRPr="00135614">
        <w:rPr>
          <w:rFonts w:ascii="Times New Roman" w:hAnsi="Times New Roman" w:cs="Times New Roman"/>
          <w:sz w:val="20"/>
          <w:szCs w:val="20"/>
        </w:rPr>
        <w:t>para. 775.</w:t>
      </w:r>
    </w:p>
  </w:footnote>
  <w:footnote w:id="66">
    <w:p w14:paraId="359FCDBF" w14:textId="41D87E53" w:rsidR="0079099C" w:rsidRPr="00135614" w:rsidRDefault="0079099C" w:rsidP="00A818E2">
      <w:pPr>
        <w:pStyle w:val="FootnoteText"/>
        <w:spacing w:after="0" w:line="240" w:lineRule="auto"/>
        <w:jc w:val="both"/>
        <w:rPr>
          <w:rFonts w:ascii="Times New Roman" w:hAnsi="Times New Roman" w:cs="Times New Roman"/>
          <w:sz w:val="20"/>
          <w:szCs w:val="20"/>
        </w:rPr>
      </w:pPr>
      <w:r w:rsidRPr="00135614">
        <w:rPr>
          <w:rStyle w:val="FootnoteReference"/>
          <w:rFonts w:ascii="Times New Roman" w:eastAsiaTheme="majorEastAsia" w:hAnsi="Times New Roman" w:cs="Times New Roman"/>
          <w:sz w:val="20"/>
          <w:szCs w:val="20"/>
        </w:rPr>
        <w:footnoteRef/>
      </w:r>
      <w:r w:rsidRPr="00135614">
        <w:rPr>
          <w:rFonts w:ascii="Times New Roman" w:hAnsi="Times New Roman" w:cs="Times New Roman"/>
          <w:sz w:val="20"/>
          <w:szCs w:val="20"/>
        </w:rPr>
        <w:t xml:space="preserve"> For criticism see Separate Opinion of Judge Fulford, </w:t>
      </w:r>
      <w:r w:rsidRPr="00743E61">
        <w:rPr>
          <w:rFonts w:ascii="Times New Roman" w:hAnsi="Times New Roman" w:cs="Times New Roman"/>
          <w:i/>
          <w:sz w:val="20"/>
          <w:szCs w:val="20"/>
        </w:rPr>
        <w:t xml:space="preserve">supra </w:t>
      </w:r>
      <w:r>
        <w:rPr>
          <w:rFonts w:ascii="Times New Roman" w:hAnsi="Times New Roman" w:cs="Times New Roman"/>
          <w:sz w:val="20"/>
          <w:szCs w:val="20"/>
        </w:rPr>
        <w:t xml:space="preserve">note 13, </w:t>
      </w:r>
      <w:r w:rsidRPr="00135614">
        <w:rPr>
          <w:rFonts w:ascii="Times New Roman" w:hAnsi="Times New Roman" w:cs="Times New Roman"/>
          <w:sz w:val="20"/>
          <w:szCs w:val="20"/>
        </w:rPr>
        <w:t xml:space="preserve">para. 15; Concurring Opinion of Judge van den Wyngaert, </w:t>
      </w:r>
      <w:r w:rsidRPr="0079099C">
        <w:rPr>
          <w:rFonts w:ascii="Times New Roman" w:hAnsi="Times New Roman" w:cs="Times New Roman"/>
          <w:i/>
          <w:sz w:val="20"/>
          <w:szCs w:val="20"/>
        </w:rPr>
        <w:t xml:space="preserve">supra </w:t>
      </w:r>
      <w:r>
        <w:rPr>
          <w:rFonts w:ascii="Times New Roman" w:hAnsi="Times New Roman" w:cs="Times New Roman"/>
          <w:sz w:val="20"/>
          <w:szCs w:val="20"/>
        </w:rPr>
        <w:t xml:space="preserve">note 18, </w:t>
      </w:r>
      <w:r w:rsidRPr="00135614">
        <w:rPr>
          <w:rFonts w:ascii="Times New Roman" w:hAnsi="Times New Roman" w:cs="Times New Roman"/>
          <w:sz w:val="20"/>
          <w:szCs w:val="20"/>
        </w:rPr>
        <w:t>paras. 36-38.</w:t>
      </w:r>
    </w:p>
  </w:footnote>
  <w:footnote w:id="67">
    <w:p w14:paraId="4EA4E291" w14:textId="7DEFFBB3" w:rsidR="0079099C" w:rsidRPr="00135614" w:rsidRDefault="0079099C" w:rsidP="00A818E2">
      <w:pPr>
        <w:pStyle w:val="FootnoteText"/>
        <w:spacing w:after="0" w:line="240" w:lineRule="auto"/>
        <w:jc w:val="both"/>
        <w:rPr>
          <w:rFonts w:ascii="Times New Roman" w:hAnsi="Times New Roman" w:cs="Times New Roman"/>
          <w:sz w:val="20"/>
          <w:szCs w:val="20"/>
        </w:rPr>
      </w:pPr>
      <w:r w:rsidRPr="00135614">
        <w:rPr>
          <w:rStyle w:val="FootnoteReference"/>
          <w:rFonts w:ascii="Times New Roman" w:eastAsiaTheme="majorEastAsia" w:hAnsi="Times New Roman" w:cs="Times New Roman"/>
          <w:sz w:val="20"/>
          <w:szCs w:val="20"/>
        </w:rPr>
        <w:footnoteRef/>
      </w:r>
      <w:r w:rsidRPr="00135614">
        <w:rPr>
          <w:rFonts w:ascii="Times New Roman" w:hAnsi="Times New Roman" w:cs="Times New Roman"/>
          <w:sz w:val="20"/>
          <w:szCs w:val="20"/>
        </w:rPr>
        <w:t xml:space="preserve"> For the detailed discussion on the accepted fault requirement before the ICC see </w:t>
      </w:r>
      <w:r w:rsidRPr="00135614">
        <w:rPr>
          <w:rFonts w:ascii="Times New Roman" w:hAnsi="Times New Roman" w:cs="Times New Roman"/>
          <w:i/>
          <w:sz w:val="20"/>
          <w:szCs w:val="20"/>
        </w:rPr>
        <w:t xml:space="preserve">Bemba </w:t>
      </w:r>
      <w:r w:rsidRPr="00135614">
        <w:rPr>
          <w:rFonts w:ascii="Times New Roman" w:hAnsi="Times New Roman" w:cs="Times New Roman"/>
          <w:sz w:val="20"/>
          <w:szCs w:val="20"/>
        </w:rPr>
        <w:t xml:space="preserve">Decision, </w:t>
      </w:r>
      <w:r w:rsidRPr="004138CF">
        <w:rPr>
          <w:rFonts w:ascii="Times New Roman" w:eastAsia="Times New Roman" w:hAnsi="Times New Roman" w:cs="Times New Roman"/>
          <w:i/>
          <w:sz w:val="20"/>
          <w:szCs w:val="20"/>
          <w:lang w:eastAsia="en-GB"/>
        </w:rPr>
        <w:t>supra</w:t>
      </w:r>
      <w:r>
        <w:rPr>
          <w:rFonts w:ascii="Times New Roman" w:eastAsia="Times New Roman" w:hAnsi="Times New Roman" w:cs="Times New Roman"/>
          <w:sz w:val="20"/>
          <w:szCs w:val="20"/>
          <w:lang w:eastAsia="en-GB"/>
        </w:rPr>
        <w:t xml:space="preserve"> note 3, </w:t>
      </w:r>
      <w:r w:rsidRPr="00135614">
        <w:rPr>
          <w:rFonts w:ascii="Times New Roman" w:hAnsi="Times New Roman" w:cs="Times New Roman"/>
          <w:sz w:val="20"/>
          <w:szCs w:val="20"/>
        </w:rPr>
        <w:t>paras. 358-368.</w:t>
      </w:r>
    </w:p>
  </w:footnote>
  <w:footnote w:id="68">
    <w:p w14:paraId="6B8D8D03" w14:textId="095A3480" w:rsidR="0079099C" w:rsidRPr="00135614" w:rsidRDefault="0079099C" w:rsidP="00A818E2">
      <w:pPr>
        <w:pStyle w:val="FootnoteText"/>
        <w:spacing w:after="0" w:line="240" w:lineRule="auto"/>
        <w:jc w:val="both"/>
        <w:rPr>
          <w:rFonts w:ascii="Times New Roman" w:hAnsi="Times New Roman" w:cs="Times New Roman"/>
          <w:sz w:val="20"/>
          <w:szCs w:val="20"/>
          <w:lang w:val="en-US"/>
        </w:rPr>
      </w:pPr>
      <w:r w:rsidRPr="00135614">
        <w:rPr>
          <w:rStyle w:val="FootnoteReference"/>
          <w:rFonts w:ascii="Times New Roman" w:eastAsiaTheme="majorEastAsia" w:hAnsi="Times New Roman" w:cs="Times New Roman"/>
          <w:sz w:val="20"/>
          <w:szCs w:val="20"/>
        </w:rPr>
        <w:footnoteRef/>
      </w:r>
      <w:r w:rsidRPr="00135614">
        <w:rPr>
          <w:rStyle w:val="FootnoteReference"/>
          <w:rFonts w:ascii="Times New Roman" w:eastAsiaTheme="majorEastAsia" w:hAnsi="Times New Roman" w:cs="Times New Roman"/>
          <w:sz w:val="20"/>
          <w:szCs w:val="20"/>
        </w:rPr>
        <w:t xml:space="preserve"> </w:t>
      </w:r>
      <w:r w:rsidRPr="00135614">
        <w:rPr>
          <w:rFonts w:ascii="Times New Roman" w:hAnsi="Times New Roman" w:cs="Times New Roman"/>
          <w:i/>
          <w:sz w:val="20"/>
          <w:szCs w:val="20"/>
        </w:rPr>
        <w:t xml:space="preserve">Lubanga </w:t>
      </w:r>
      <w:r w:rsidRPr="00135614">
        <w:rPr>
          <w:rFonts w:ascii="Times New Roman" w:hAnsi="Times New Roman" w:cs="Times New Roman"/>
          <w:sz w:val="20"/>
          <w:szCs w:val="20"/>
        </w:rPr>
        <w:t xml:space="preserve">Appeal Judgement, </w:t>
      </w:r>
      <w:r w:rsidRPr="001A359E">
        <w:rPr>
          <w:rFonts w:ascii="Times New Roman" w:hAnsi="Times New Roman" w:cs="Times New Roman"/>
          <w:i/>
          <w:sz w:val="20"/>
          <w:szCs w:val="20"/>
        </w:rPr>
        <w:t>supra</w:t>
      </w:r>
      <w:r>
        <w:rPr>
          <w:rFonts w:ascii="Times New Roman" w:hAnsi="Times New Roman" w:cs="Times New Roman"/>
          <w:sz w:val="20"/>
          <w:szCs w:val="20"/>
        </w:rPr>
        <w:t xml:space="preserve"> note 11, </w:t>
      </w:r>
      <w:r w:rsidRPr="00135614">
        <w:rPr>
          <w:rFonts w:ascii="Times New Roman" w:hAnsi="Times New Roman" w:cs="Times New Roman"/>
          <w:sz w:val="20"/>
          <w:szCs w:val="20"/>
        </w:rPr>
        <w:t>para. 449.</w:t>
      </w:r>
    </w:p>
  </w:footnote>
  <w:footnote w:id="69">
    <w:p w14:paraId="0185992D" w14:textId="07D1F8B0" w:rsidR="0079099C" w:rsidRPr="00135614" w:rsidRDefault="0079099C" w:rsidP="00A818E2">
      <w:pPr>
        <w:pStyle w:val="FootnoteText"/>
        <w:spacing w:after="0" w:line="240" w:lineRule="auto"/>
        <w:jc w:val="both"/>
        <w:rPr>
          <w:rFonts w:ascii="Times New Roman" w:hAnsi="Times New Roman" w:cs="Times New Roman"/>
          <w:sz w:val="20"/>
          <w:szCs w:val="20"/>
          <w:lang w:val="en-US"/>
        </w:rPr>
      </w:pPr>
      <w:r w:rsidRPr="00135614">
        <w:rPr>
          <w:rStyle w:val="FootnoteReference"/>
          <w:rFonts w:ascii="Times New Roman" w:eastAsiaTheme="majorEastAsia" w:hAnsi="Times New Roman" w:cs="Times New Roman"/>
          <w:sz w:val="20"/>
          <w:szCs w:val="20"/>
        </w:rPr>
        <w:footnoteRef/>
      </w:r>
      <w:r w:rsidRPr="00135614">
        <w:rPr>
          <w:rStyle w:val="FootnoteReference"/>
          <w:rFonts w:ascii="Times New Roman" w:eastAsiaTheme="majorEastAsia" w:hAnsi="Times New Roman" w:cs="Times New Roman"/>
          <w:sz w:val="20"/>
          <w:szCs w:val="20"/>
        </w:rPr>
        <w:t xml:space="preserve"> </w:t>
      </w:r>
      <w:r w:rsidRPr="00135614">
        <w:rPr>
          <w:rFonts w:ascii="Times New Roman" w:hAnsi="Times New Roman" w:cs="Times New Roman"/>
          <w:i/>
          <w:sz w:val="20"/>
          <w:szCs w:val="20"/>
        </w:rPr>
        <w:t>Ibid</w:t>
      </w:r>
      <w:r w:rsidRPr="00135614">
        <w:rPr>
          <w:rFonts w:ascii="Times New Roman" w:hAnsi="Times New Roman" w:cs="Times New Roman"/>
          <w:sz w:val="20"/>
          <w:szCs w:val="20"/>
        </w:rPr>
        <w:t>, para. 447.</w:t>
      </w:r>
    </w:p>
  </w:footnote>
  <w:footnote w:id="70">
    <w:p w14:paraId="2694A7C6" w14:textId="75595013" w:rsidR="0079099C" w:rsidRPr="00135614" w:rsidRDefault="0079099C" w:rsidP="00A818E2">
      <w:pPr>
        <w:pStyle w:val="FootnoteText"/>
        <w:spacing w:after="0" w:line="240" w:lineRule="auto"/>
        <w:jc w:val="both"/>
        <w:rPr>
          <w:rFonts w:ascii="Times New Roman" w:hAnsi="Times New Roman" w:cs="Times New Roman"/>
          <w:sz w:val="20"/>
          <w:szCs w:val="20"/>
        </w:rPr>
      </w:pPr>
      <w:r w:rsidRPr="00135614">
        <w:rPr>
          <w:rStyle w:val="FootnoteReference"/>
          <w:rFonts w:ascii="Times New Roman" w:eastAsiaTheme="majorEastAsia" w:hAnsi="Times New Roman" w:cs="Times New Roman"/>
          <w:sz w:val="20"/>
          <w:szCs w:val="20"/>
        </w:rPr>
        <w:footnoteRef/>
      </w:r>
      <w:r w:rsidRPr="00135614">
        <w:rPr>
          <w:rFonts w:ascii="Times New Roman" w:hAnsi="Times New Roman" w:cs="Times New Roman"/>
          <w:sz w:val="20"/>
          <w:szCs w:val="20"/>
        </w:rPr>
        <w:t xml:space="preserve"> </w:t>
      </w:r>
      <w:r w:rsidRPr="00135614">
        <w:rPr>
          <w:rFonts w:ascii="Times New Roman" w:hAnsi="Times New Roman" w:cs="Times New Roman"/>
          <w:i/>
          <w:sz w:val="20"/>
          <w:szCs w:val="20"/>
        </w:rPr>
        <w:t>Ibid</w:t>
      </w:r>
      <w:r w:rsidRPr="00135614">
        <w:rPr>
          <w:rFonts w:ascii="Times New Roman" w:hAnsi="Times New Roman" w:cs="Times New Roman"/>
          <w:sz w:val="20"/>
          <w:szCs w:val="20"/>
        </w:rPr>
        <w:t>, para. 1277, 1278, 1356.</w:t>
      </w:r>
    </w:p>
  </w:footnote>
  <w:footnote w:id="71">
    <w:p w14:paraId="6923CC5A" w14:textId="41583F53" w:rsidR="0079099C" w:rsidRPr="00135614" w:rsidRDefault="0079099C" w:rsidP="00A818E2">
      <w:pPr>
        <w:pStyle w:val="FootnoteText"/>
        <w:spacing w:after="0" w:line="240" w:lineRule="auto"/>
        <w:jc w:val="both"/>
        <w:rPr>
          <w:rFonts w:ascii="Times New Roman" w:hAnsi="Times New Roman" w:cs="Times New Roman"/>
          <w:sz w:val="20"/>
          <w:szCs w:val="20"/>
        </w:rPr>
      </w:pPr>
      <w:r w:rsidRPr="00135614">
        <w:rPr>
          <w:rStyle w:val="FootnoteReference"/>
          <w:rFonts w:ascii="Times New Roman" w:eastAsiaTheme="majorEastAsia" w:hAnsi="Times New Roman" w:cs="Times New Roman"/>
          <w:sz w:val="20"/>
          <w:szCs w:val="20"/>
        </w:rPr>
        <w:footnoteRef/>
      </w:r>
      <w:r w:rsidRPr="00135614">
        <w:rPr>
          <w:rFonts w:ascii="Times New Roman" w:hAnsi="Times New Roman" w:cs="Times New Roman"/>
          <w:sz w:val="20"/>
          <w:szCs w:val="20"/>
        </w:rPr>
        <w:t xml:space="preserve"> The weak evidence supporting the fault requirement in </w:t>
      </w:r>
      <w:r w:rsidRPr="00135614">
        <w:rPr>
          <w:rFonts w:ascii="Times New Roman" w:hAnsi="Times New Roman" w:cs="Times New Roman"/>
          <w:i/>
          <w:sz w:val="20"/>
          <w:szCs w:val="20"/>
        </w:rPr>
        <w:t>Lubanga</w:t>
      </w:r>
      <w:r w:rsidRPr="00135614">
        <w:rPr>
          <w:rFonts w:ascii="Times New Roman" w:hAnsi="Times New Roman" w:cs="Times New Roman"/>
          <w:sz w:val="20"/>
          <w:szCs w:val="20"/>
        </w:rPr>
        <w:t xml:space="preserve"> played an important role during the sentencing deliberations.  The fact that Thomas Lubanga did not mean to conscript children, but was rather aware that this would occur in the ordinary course of events mitigated his sentence. Lubanga received relatively lenient punishment of fourteen years of imprisonment. See Prosecutor v. </w:t>
      </w:r>
      <w:r w:rsidRPr="00135614">
        <w:rPr>
          <w:rFonts w:ascii="Times New Roman" w:hAnsi="Times New Roman" w:cs="Times New Roman"/>
          <w:i/>
          <w:sz w:val="20"/>
          <w:szCs w:val="20"/>
        </w:rPr>
        <w:t>Thomas Lubanga Dyilo</w:t>
      </w:r>
      <w:r w:rsidRPr="00135614">
        <w:rPr>
          <w:rFonts w:ascii="Times New Roman" w:hAnsi="Times New Roman" w:cs="Times New Roman"/>
          <w:sz w:val="20"/>
          <w:szCs w:val="20"/>
        </w:rPr>
        <w:t xml:space="preserve">, ICC-01/04-01/06, Trial Chamber I, </w:t>
      </w:r>
      <w:r w:rsidRPr="00135614">
        <w:rPr>
          <w:rFonts w:ascii="Times New Roman" w:eastAsiaTheme="minorEastAsia" w:hAnsi="Times New Roman" w:cs="Times New Roman"/>
          <w:sz w:val="20"/>
          <w:szCs w:val="20"/>
          <w:lang w:val="en-US"/>
        </w:rPr>
        <w:t>Decision on Sentence pursuant to Article 7</w:t>
      </w:r>
      <w:r w:rsidR="006C0FD4">
        <w:rPr>
          <w:rFonts w:ascii="Times New Roman" w:eastAsiaTheme="minorEastAsia" w:hAnsi="Times New Roman" w:cs="Times New Roman"/>
          <w:sz w:val="20"/>
          <w:szCs w:val="20"/>
          <w:lang w:val="en-US"/>
        </w:rPr>
        <w:t>6 of the Statute, 10 July 2012</w:t>
      </w:r>
      <w:r w:rsidRPr="00135614">
        <w:rPr>
          <w:rFonts w:ascii="Times New Roman" w:hAnsi="Times New Roman" w:cs="Times New Roman"/>
          <w:sz w:val="20"/>
          <w:szCs w:val="20"/>
        </w:rPr>
        <w:t xml:space="preserve">, paras. 52, 53 and 98; Prosecutor v. </w:t>
      </w:r>
      <w:r w:rsidRPr="00135614">
        <w:rPr>
          <w:rFonts w:ascii="Times New Roman" w:hAnsi="Times New Roman" w:cs="Times New Roman"/>
          <w:i/>
          <w:sz w:val="20"/>
          <w:szCs w:val="20"/>
        </w:rPr>
        <w:t>Thomas Lubanga Dyilo</w:t>
      </w:r>
      <w:r w:rsidRPr="00135614">
        <w:rPr>
          <w:rFonts w:ascii="Times New Roman" w:hAnsi="Times New Roman" w:cs="Times New Roman"/>
          <w:sz w:val="20"/>
          <w:szCs w:val="20"/>
        </w:rPr>
        <w:t>, ICC-01/04-01/06 A 4 A 6, Appeals Chamber Judgement on the appeals of the Prosecutor and Mr Thomas Lubanga Dyilo against the “Decision on Sentence Pursuant to Article 76 of the Statute”, 1 December 2014 (‘</w:t>
      </w:r>
      <w:r w:rsidRPr="00135614">
        <w:rPr>
          <w:rFonts w:ascii="Times New Roman" w:hAnsi="Times New Roman" w:cs="Times New Roman"/>
          <w:i/>
          <w:sz w:val="20"/>
          <w:szCs w:val="20"/>
        </w:rPr>
        <w:t xml:space="preserve">Lubanga </w:t>
      </w:r>
      <w:r w:rsidRPr="00135614">
        <w:rPr>
          <w:rFonts w:ascii="Times New Roman" w:hAnsi="Times New Roman" w:cs="Times New Roman"/>
          <w:sz w:val="20"/>
          <w:szCs w:val="20"/>
        </w:rPr>
        <w:t>Appeal Sentencing Judgement’), para. 119.</w:t>
      </w:r>
    </w:p>
  </w:footnote>
  <w:footnote w:id="72">
    <w:p w14:paraId="0DF7FC30" w14:textId="6B7B2F7A" w:rsidR="0079099C" w:rsidRPr="00135614" w:rsidRDefault="0079099C" w:rsidP="00A818E2">
      <w:pPr>
        <w:pStyle w:val="FootnoteText"/>
        <w:spacing w:after="0" w:line="240" w:lineRule="auto"/>
        <w:jc w:val="both"/>
        <w:rPr>
          <w:rFonts w:ascii="Times New Roman" w:hAnsi="Times New Roman" w:cs="Times New Roman"/>
          <w:sz w:val="20"/>
          <w:szCs w:val="20"/>
          <w:lang w:val="en-US"/>
        </w:rPr>
      </w:pPr>
      <w:r w:rsidRPr="00135614">
        <w:rPr>
          <w:rStyle w:val="FootnoteReference"/>
          <w:rFonts w:ascii="Times New Roman" w:hAnsi="Times New Roman" w:cs="Times New Roman"/>
          <w:sz w:val="20"/>
          <w:szCs w:val="20"/>
        </w:rPr>
        <w:footnoteRef/>
      </w:r>
      <w:r w:rsidRPr="00135614">
        <w:rPr>
          <w:rFonts w:ascii="Times New Roman" w:hAnsi="Times New Roman" w:cs="Times New Roman"/>
          <w:sz w:val="20"/>
          <w:szCs w:val="20"/>
        </w:rPr>
        <w:t xml:space="preserve"> </w:t>
      </w:r>
      <w:r w:rsidRPr="00135614">
        <w:rPr>
          <w:rFonts w:ascii="Times New Roman" w:hAnsi="Times New Roman" w:cs="Times New Roman"/>
          <w:i/>
          <w:sz w:val="20"/>
          <w:szCs w:val="20"/>
        </w:rPr>
        <w:t xml:space="preserve">Lubanga </w:t>
      </w:r>
      <w:r w:rsidRPr="00135614">
        <w:rPr>
          <w:rFonts w:ascii="Times New Roman" w:hAnsi="Times New Roman" w:cs="Times New Roman"/>
          <w:sz w:val="20"/>
          <w:szCs w:val="20"/>
        </w:rPr>
        <w:t xml:space="preserve">Appeal Judgement, </w:t>
      </w:r>
      <w:r w:rsidRPr="001A359E">
        <w:rPr>
          <w:rFonts w:ascii="Times New Roman" w:hAnsi="Times New Roman" w:cs="Times New Roman"/>
          <w:i/>
          <w:sz w:val="20"/>
          <w:szCs w:val="20"/>
        </w:rPr>
        <w:t>supra</w:t>
      </w:r>
      <w:r>
        <w:rPr>
          <w:rFonts w:ascii="Times New Roman" w:hAnsi="Times New Roman" w:cs="Times New Roman"/>
          <w:sz w:val="20"/>
          <w:szCs w:val="20"/>
        </w:rPr>
        <w:t xml:space="preserve"> note 11, </w:t>
      </w:r>
      <w:r w:rsidRPr="00135614">
        <w:rPr>
          <w:rFonts w:ascii="Times New Roman" w:hAnsi="Times New Roman" w:cs="Times New Roman"/>
          <w:sz w:val="20"/>
          <w:szCs w:val="20"/>
        </w:rPr>
        <w:t>para. 450.</w:t>
      </w:r>
    </w:p>
  </w:footnote>
  <w:footnote w:id="73">
    <w:p w14:paraId="298AC401" w14:textId="77DF8A01" w:rsidR="0079099C" w:rsidRPr="00135614" w:rsidRDefault="0079099C" w:rsidP="00A818E2">
      <w:pPr>
        <w:pStyle w:val="FootnoteText"/>
        <w:spacing w:after="0" w:line="240" w:lineRule="auto"/>
        <w:jc w:val="both"/>
        <w:rPr>
          <w:rFonts w:ascii="Times New Roman" w:hAnsi="Times New Roman" w:cs="Times New Roman"/>
          <w:sz w:val="20"/>
          <w:szCs w:val="20"/>
          <w:lang w:val="en-US"/>
        </w:rPr>
      </w:pPr>
      <w:r w:rsidRPr="00135614">
        <w:rPr>
          <w:rStyle w:val="FootnoteReference"/>
          <w:rFonts w:ascii="Times New Roman" w:eastAsiaTheme="majorEastAsia" w:hAnsi="Times New Roman" w:cs="Times New Roman"/>
          <w:sz w:val="20"/>
          <w:szCs w:val="20"/>
        </w:rPr>
        <w:footnoteRef/>
      </w:r>
      <w:r w:rsidRPr="00135614">
        <w:rPr>
          <w:rStyle w:val="FootnoteReference"/>
          <w:rFonts w:ascii="Times New Roman" w:eastAsiaTheme="majorEastAsia" w:hAnsi="Times New Roman" w:cs="Times New Roman"/>
          <w:sz w:val="20"/>
          <w:szCs w:val="20"/>
        </w:rPr>
        <w:t xml:space="preserve"> </w:t>
      </w:r>
      <w:r w:rsidRPr="00135614">
        <w:rPr>
          <w:rFonts w:ascii="Times New Roman" w:hAnsi="Times New Roman" w:cs="Times New Roman"/>
          <w:i/>
          <w:sz w:val="20"/>
          <w:szCs w:val="20"/>
        </w:rPr>
        <w:t>Ibid</w:t>
      </w:r>
      <w:r w:rsidRPr="00135614">
        <w:rPr>
          <w:rFonts w:ascii="Times New Roman" w:hAnsi="Times New Roman" w:cs="Times New Roman"/>
          <w:sz w:val="20"/>
          <w:szCs w:val="20"/>
        </w:rPr>
        <w:t>, para. 527.</w:t>
      </w:r>
    </w:p>
  </w:footnote>
  <w:footnote w:id="74">
    <w:p w14:paraId="329EB1EE" w14:textId="7DD08CFE" w:rsidR="0079099C" w:rsidRPr="00135614" w:rsidRDefault="0079099C" w:rsidP="00A818E2">
      <w:pPr>
        <w:pStyle w:val="Default"/>
        <w:jc w:val="both"/>
        <w:rPr>
          <w:sz w:val="20"/>
          <w:szCs w:val="20"/>
        </w:rPr>
      </w:pPr>
      <w:r w:rsidRPr="00135614">
        <w:rPr>
          <w:rStyle w:val="FootnoteReference"/>
          <w:rFonts w:eastAsiaTheme="majorEastAsia"/>
          <w:color w:val="auto"/>
          <w:sz w:val="20"/>
          <w:szCs w:val="20"/>
          <w:lang w:val="en-GB"/>
        </w:rPr>
        <w:footnoteRef/>
      </w:r>
      <w:r w:rsidRPr="00135614">
        <w:rPr>
          <w:sz w:val="20"/>
          <w:szCs w:val="20"/>
        </w:rPr>
        <w:t xml:space="preserve"> The evidentiary shortcomings are partially to be blamed for the contested fault requirement in </w:t>
      </w:r>
      <w:r w:rsidRPr="00135614">
        <w:rPr>
          <w:i/>
          <w:sz w:val="20"/>
          <w:szCs w:val="20"/>
        </w:rPr>
        <w:t>Lubanga</w:t>
      </w:r>
      <w:r w:rsidRPr="00135614">
        <w:rPr>
          <w:sz w:val="20"/>
          <w:szCs w:val="20"/>
        </w:rPr>
        <w:t xml:space="preserve">. </w:t>
      </w:r>
      <w:r w:rsidRPr="00135614">
        <w:rPr>
          <w:rFonts w:eastAsiaTheme="minorHAnsi"/>
          <w:color w:val="auto"/>
          <w:sz w:val="20"/>
          <w:szCs w:val="20"/>
          <w:lang w:val="en-GB"/>
        </w:rPr>
        <w:t xml:space="preserve">Judge Ušacka criticised in her dissenting opinion the vagueness of the charges against Lubanga that resulted in the practice of charging in relation to ‘patterns’ of conscription, enlistment and use of children under the age of fifteen rather than referring to individual cases. See Prosecutor v. </w:t>
      </w:r>
      <w:r w:rsidRPr="00135614">
        <w:rPr>
          <w:rFonts w:eastAsiaTheme="minorHAnsi"/>
          <w:i/>
          <w:color w:val="auto"/>
          <w:sz w:val="20"/>
          <w:szCs w:val="20"/>
          <w:lang w:val="en-GB"/>
        </w:rPr>
        <w:t>Thomas Lubanga Dyilo</w:t>
      </w:r>
      <w:r w:rsidRPr="00135614">
        <w:rPr>
          <w:rFonts w:eastAsiaTheme="minorHAnsi"/>
          <w:color w:val="auto"/>
          <w:sz w:val="20"/>
          <w:szCs w:val="20"/>
          <w:lang w:val="en-GB"/>
        </w:rPr>
        <w:t>, ICC-01/04-01/06 A 5, Appeals Chamber Judgement on the appeal of Mr Thomas Lubanga Dyilo against his conviction, Dissenting Opinion</w:t>
      </w:r>
      <w:r w:rsidRPr="00135614">
        <w:rPr>
          <w:sz w:val="20"/>
          <w:szCs w:val="20"/>
        </w:rPr>
        <w:t xml:space="preserve"> of Judge Anita </w:t>
      </w:r>
      <w:r w:rsidRPr="00135614">
        <w:rPr>
          <w:bCs/>
          <w:sz w:val="20"/>
          <w:szCs w:val="20"/>
        </w:rPr>
        <w:t>Ušacka,</w:t>
      </w:r>
      <w:r w:rsidRPr="00135614">
        <w:rPr>
          <w:sz w:val="20"/>
          <w:szCs w:val="20"/>
        </w:rPr>
        <w:t xml:space="preserve"> 1 December 2014, para. 8, 11.</w:t>
      </w:r>
    </w:p>
  </w:footnote>
  <w:footnote w:id="75">
    <w:p w14:paraId="1ACCFC07" w14:textId="64F430EF" w:rsidR="0079099C" w:rsidRPr="00135614" w:rsidRDefault="0079099C" w:rsidP="00A818E2">
      <w:pPr>
        <w:pStyle w:val="FootnoteText"/>
        <w:spacing w:after="0" w:line="240" w:lineRule="auto"/>
        <w:jc w:val="both"/>
        <w:rPr>
          <w:rFonts w:ascii="Times New Roman" w:hAnsi="Times New Roman" w:cs="Times New Roman"/>
          <w:sz w:val="20"/>
          <w:szCs w:val="20"/>
          <w:lang w:val="en-US"/>
        </w:rPr>
      </w:pPr>
      <w:r w:rsidRPr="00135614">
        <w:rPr>
          <w:rStyle w:val="FootnoteReference"/>
          <w:rFonts w:ascii="Times New Roman" w:hAnsi="Times New Roman" w:cs="Times New Roman"/>
          <w:sz w:val="20"/>
          <w:szCs w:val="20"/>
        </w:rPr>
        <w:footnoteRef/>
      </w:r>
      <w:r w:rsidRPr="00135614">
        <w:rPr>
          <w:rFonts w:ascii="Times New Roman" w:hAnsi="Times New Roman" w:cs="Times New Roman"/>
          <w:sz w:val="20"/>
          <w:szCs w:val="20"/>
        </w:rPr>
        <w:t xml:space="preserve"> Cryer noted the ambiguity of the requirement </w:t>
      </w:r>
      <w:r w:rsidRPr="00135614">
        <w:rPr>
          <w:rFonts w:ascii="Times New Roman" w:hAnsi="Times New Roman" w:cs="Times New Roman"/>
          <w:sz w:val="20"/>
          <w:szCs w:val="20"/>
          <w:lang w:val="en-US"/>
        </w:rPr>
        <w:t xml:space="preserve">that the defendant is </w:t>
      </w:r>
      <w:r w:rsidRPr="00135614">
        <w:rPr>
          <w:rFonts w:ascii="Times New Roman" w:hAnsi="Times New Roman" w:cs="Times New Roman"/>
          <w:sz w:val="20"/>
          <w:szCs w:val="20"/>
        </w:rPr>
        <w:t xml:space="preserve">aware that the consequences will occur in the ordinary course of events. See R. Cryer </w:t>
      </w:r>
      <w:r w:rsidRPr="00135614">
        <w:rPr>
          <w:rFonts w:ascii="Times New Roman" w:hAnsi="Times New Roman" w:cs="Times New Roman"/>
          <w:i/>
          <w:sz w:val="20"/>
          <w:szCs w:val="20"/>
        </w:rPr>
        <w:t>et al</w:t>
      </w:r>
      <w:r w:rsidRPr="00135614">
        <w:rPr>
          <w:rFonts w:ascii="Times New Roman" w:hAnsi="Times New Roman" w:cs="Times New Roman"/>
          <w:sz w:val="20"/>
          <w:szCs w:val="20"/>
        </w:rPr>
        <w:t xml:space="preserve">, </w:t>
      </w:r>
      <w:r w:rsidRPr="00135614">
        <w:rPr>
          <w:rFonts w:ascii="Times New Roman" w:hAnsi="Times New Roman" w:cs="Times New Roman"/>
          <w:i/>
          <w:sz w:val="20"/>
          <w:szCs w:val="20"/>
        </w:rPr>
        <w:t>An Introduction to International Criminal Law and Procedure</w:t>
      </w:r>
      <w:r w:rsidRPr="00135614">
        <w:rPr>
          <w:rFonts w:ascii="Times New Roman" w:hAnsi="Times New Roman" w:cs="Times New Roman"/>
          <w:sz w:val="20"/>
          <w:szCs w:val="20"/>
        </w:rPr>
        <w:t xml:space="preserve"> (Cambridge University Press, </w:t>
      </w:r>
      <w:r>
        <w:rPr>
          <w:rFonts w:ascii="Times New Roman" w:hAnsi="Times New Roman" w:cs="Times New Roman"/>
          <w:sz w:val="20"/>
          <w:szCs w:val="20"/>
        </w:rPr>
        <w:t xml:space="preserve">Cambridge, </w:t>
      </w:r>
      <w:r w:rsidRPr="00135614">
        <w:rPr>
          <w:rFonts w:ascii="Times New Roman" w:hAnsi="Times New Roman" w:cs="Times New Roman"/>
          <w:sz w:val="20"/>
          <w:szCs w:val="20"/>
        </w:rPr>
        <w:t>2010), p. 387.</w:t>
      </w:r>
    </w:p>
  </w:footnote>
  <w:footnote w:id="76">
    <w:p w14:paraId="1D6391EF" w14:textId="53819AF9" w:rsidR="0079099C" w:rsidRPr="00135614" w:rsidRDefault="0079099C" w:rsidP="00A818E2">
      <w:pPr>
        <w:pStyle w:val="FootnoteText"/>
        <w:spacing w:after="0" w:line="240" w:lineRule="auto"/>
        <w:jc w:val="both"/>
        <w:rPr>
          <w:rFonts w:ascii="Times New Roman" w:hAnsi="Times New Roman" w:cs="Times New Roman"/>
          <w:sz w:val="20"/>
          <w:szCs w:val="20"/>
        </w:rPr>
      </w:pPr>
      <w:r w:rsidRPr="00135614">
        <w:rPr>
          <w:rStyle w:val="FootnoteReference"/>
          <w:rFonts w:ascii="Times New Roman" w:eastAsiaTheme="majorEastAsia" w:hAnsi="Times New Roman" w:cs="Times New Roman"/>
          <w:sz w:val="20"/>
          <w:szCs w:val="20"/>
        </w:rPr>
        <w:footnoteRef/>
      </w:r>
      <w:r w:rsidRPr="00135614">
        <w:rPr>
          <w:rFonts w:ascii="Times New Roman" w:hAnsi="Times New Roman" w:cs="Times New Roman"/>
          <w:sz w:val="20"/>
          <w:szCs w:val="20"/>
        </w:rPr>
        <w:t xml:space="preserve"> </w:t>
      </w:r>
      <w:r w:rsidRPr="00135614">
        <w:rPr>
          <w:rFonts w:ascii="Times New Roman" w:hAnsi="Times New Roman" w:cs="Times New Roman"/>
          <w:i/>
          <w:sz w:val="20"/>
          <w:szCs w:val="20"/>
        </w:rPr>
        <w:t>Katanga</w:t>
      </w:r>
      <w:r w:rsidRPr="00135614">
        <w:rPr>
          <w:rFonts w:ascii="Times New Roman" w:hAnsi="Times New Roman" w:cs="Times New Roman"/>
          <w:sz w:val="20"/>
          <w:szCs w:val="20"/>
        </w:rPr>
        <w:t xml:space="preserve"> Decision, </w:t>
      </w:r>
      <w:r w:rsidRPr="004138CF">
        <w:rPr>
          <w:rFonts w:ascii="Times New Roman" w:eastAsia="Times New Roman" w:hAnsi="Times New Roman" w:cs="Times New Roman"/>
          <w:i/>
          <w:sz w:val="20"/>
          <w:szCs w:val="20"/>
          <w:lang w:eastAsia="en-GB"/>
        </w:rPr>
        <w:t>supra</w:t>
      </w:r>
      <w:r>
        <w:rPr>
          <w:rFonts w:ascii="Times New Roman" w:eastAsia="Times New Roman" w:hAnsi="Times New Roman" w:cs="Times New Roman"/>
          <w:sz w:val="20"/>
          <w:szCs w:val="20"/>
          <w:lang w:eastAsia="en-GB"/>
        </w:rPr>
        <w:t xml:space="preserve"> note 3, </w:t>
      </w:r>
      <w:r w:rsidRPr="00135614">
        <w:rPr>
          <w:rFonts w:ascii="Times New Roman" w:hAnsi="Times New Roman" w:cs="Times New Roman"/>
          <w:sz w:val="20"/>
          <w:szCs w:val="20"/>
        </w:rPr>
        <w:t>para. 492.</w:t>
      </w:r>
    </w:p>
  </w:footnote>
  <w:footnote w:id="77">
    <w:p w14:paraId="0FE22D42" w14:textId="5001C736" w:rsidR="0079099C" w:rsidRPr="00135614" w:rsidRDefault="0079099C" w:rsidP="00A818E2">
      <w:pPr>
        <w:pStyle w:val="FootnoteText"/>
        <w:spacing w:after="0" w:line="240" w:lineRule="auto"/>
        <w:jc w:val="both"/>
        <w:rPr>
          <w:rFonts w:ascii="Times New Roman" w:hAnsi="Times New Roman" w:cs="Times New Roman"/>
          <w:sz w:val="20"/>
          <w:szCs w:val="20"/>
        </w:rPr>
      </w:pPr>
      <w:r w:rsidRPr="00135614">
        <w:rPr>
          <w:rStyle w:val="FootnoteReference"/>
          <w:rFonts w:ascii="Times New Roman" w:eastAsiaTheme="majorEastAsia" w:hAnsi="Times New Roman" w:cs="Times New Roman"/>
          <w:sz w:val="20"/>
          <w:szCs w:val="20"/>
        </w:rPr>
        <w:footnoteRef/>
      </w:r>
      <w:r w:rsidRPr="00135614">
        <w:rPr>
          <w:rFonts w:ascii="Times New Roman" w:hAnsi="Times New Roman" w:cs="Times New Roman"/>
          <w:sz w:val="20"/>
          <w:szCs w:val="20"/>
        </w:rPr>
        <w:t xml:space="preserve"> </w:t>
      </w:r>
      <w:r w:rsidRPr="00135614">
        <w:rPr>
          <w:rFonts w:ascii="Times New Roman" w:hAnsi="Times New Roman" w:cs="Times New Roman"/>
          <w:i/>
          <w:sz w:val="20"/>
          <w:szCs w:val="20"/>
        </w:rPr>
        <w:t>Katanga</w:t>
      </w:r>
      <w:r w:rsidRPr="00135614">
        <w:rPr>
          <w:rFonts w:ascii="Times New Roman" w:hAnsi="Times New Roman" w:cs="Times New Roman"/>
          <w:sz w:val="20"/>
          <w:szCs w:val="20"/>
        </w:rPr>
        <w:t xml:space="preserve"> Decision,</w:t>
      </w:r>
      <w:r>
        <w:rPr>
          <w:rFonts w:ascii="Times New Roman" w:hAnsi="Times New Roman" w:cs="Times New Roman"/>
          <w:sz w:val="20"/>
          <w:szCs w:val="20"/>
        </w:rPr>
        <w:t xml:space="preserve"> </w:t>
      </w:r>
      <w:r w:rsidRPr="004138CF">
        <w:rPr>
          <w:rFonts w:ascii="Times New Roman" w:eastAsia="Times New Roman" w:hAnsi="Times New Roman" w:cs="Times New Roman"/>
          <w:i/>
          <w:sz w:val="20"/>
          <w:szCs w:val="20"/>
          <w:lang w:eastAsia="en-GB"/>
        </w:rPr>
        <w:t>supra</w:t>
      </w:r>
      <w:r>
        <w:rPr>
          <w:rFonts w:ascii="Times New Roman" w:eastAsia="Times New Roman" w:hAnsi="Times New Roman" w:cs="Times New Roman"/>
          <w:sz w:val="20"/>
          <w:szCs w:val="20"/>
          <w:lang w:eastAsia="en-GB"/>
        </w:rPr>
        <w:t xml:space="preserve"> note 3,</w:t>
      </w:r>
      <w:r w:rsidRPr="00135614">
        <w:rPr>
          <w:rFonts w:ascii="Times New Roman" w:hAnsi="Times New Roman" w:cs="Times New Roman"/>
          <w:sz w:val="20"/>
          <w:szCs w:val="20"/>
        </w:rPr>
        <w:t xml:space="preserve"> paras. 495-539. See also </w:t>
      </w:r>
      <w:r w:rsidRPr="00135614">
        <w:rPr>
          <w:rFonts w:ascii="Times New Roman" w:hAnsi="Times New Roman" w:cs="Times New Roman"/>
          <w:i/>
          <w:sz w:val="20"/>
          <w:szCs w:val="20"/>
        </w:rPr>
        <w:t>Ruto</w:t>
      </w:r>
      <w:r w:rsidRPr="00135614">
        <w:rPr>
          <w:rFonts w:ascii="Times New Roman" w:hAnsi="Times New Roman" w:cs="Times New Roman"/>
          <w:sz w:val="20"/>
          <w:szCs w:val="20"/>
        </w:rPr>
        <w:t xml:space="preserve"> Decision, </w:t>
      </w:r>
      <w:r w:rsidR="006C0FD4" w:rsidRPr="006C0FD4">
        <w:rPr>
          <w:rFonts w:ascii="Times New Roman" w:hAnsi="Times New Roman" w:cs="Times New Roman"/>
          <w:i/>
          <w:sz w:val="20"/>
          <w:szCs w:val="20"/>
        </w:rPr>
        <w:t>supra</w:t>
      </w:r>
      <w:r w:rsidR="006C0FD4">
        <w:rPr>
          <w:rFonts w:ascii="Times New Roman" w:hAnsi="Times New Roman" w:cs="Times New Roman"/>
          <w:sz w:val="20"/>
          <w:szCs w:val="20"/>
        </w:rPr>
        <w:t xml:space="preserve"> note 26, </w:t>
      </w:r>
      <w:r w:rsidRPr="00135614">
        <w:rPr>
          <w:rFonts w:ascii="Times New Roman" w:hAnsi="Times New Roman" w:cs="Times New Roman"/>
          <w:sz w:val="20"/>
          <w:szCs w:val="20"/>
        </w:rPr>
        <w:t xml:space="preserve">para. 292; </w:t>
      </w:r>
      <w:r w:rsidRPr="00135614">
        <w:rPr>
          <w:rFonts w:ascii="Times New Roman" w:hAnsi="Times New Roman" w:cs="Times New Roman"/>
          <w:i/>
          <w:sz w:val="20"/>
          <w:szCs w:val="20"/>
        </w:rPr>
        <w:t xml:space="preserve">Bemba </w:t>
      </w:r>
      <w:r>
        <w:rPr>
          <w:rFonts w:ascii="Times New Roman" w:hAnsi="Times New Roman" w:cs="Times New Roman"/>
          <w:sz w:val="20"/>
          <w:szCs w:val="20"/>
        </w:rPr>
        <w:t xml:space="preserve">Decision, </w:t>
      </w:r>
      <w:r w:rsidRPr="004138CF">
        <w:rPr>
          <w:rFonts w:ascii="Times New Roman" w:eastAsia="Times New Roman" w:hAnsi="Times New Roman" w:cs="Times New Roman"/>
          <w:i/>
          <w:sz w:val="20"/>
          <w:szCs w:val="20"/>
          <w:lang w:eastAsia="en-GB"/>
        </w:rPr>
        <w:t>supra</w:t>
      </w:r>
      <w:r>
        <w:rPr>
          <w:rFonts w:ascii="Times New Roman" w:eastAsia="Times New Roman" w:hAnsi="Times New Roman" w:cs="Times New Roman"/>
          <w:sz w:val="20"/>
          <w:szCs w:val="20"/>
          <w:lang w:eastAsia="en-GB"/>
        </w:rPr>
        <w:t xml:space="preserve"> note 3, </w:t>
      </w:r>
      <w:r w:rsidRPr="00135614">
        <w:rPr>
          <w:rFonts w:ascii="Times New Roman" w:hAnsi="Times New Roman" w:cs="Times New Roman"/>
          <w:sz w:val="20"/>
          <w:szCs w:val="20"/>
        </w:rPr>
        <w:t>paras. 350-351.</w:t>
      </w:r>
    </w:p>
  </w:footnote>
  <w:footnote w:id="78">
    <w:p w14:paraId="72EEEFA0" w14:textId="4846A081" w:rsidR="0079099C" w:rsidRPr="00135614" w:rsidRDefault="0079099C" w:rsidP="00A818E2">
      <w:pPr>
        <w:pStyle w:val="FootnoteText"/>
        <w:spacing w:after="0" w:line="240" w:lineRule="auto"/>
        <w:jc w:val="both"/>
        <w:rPr>
          <w:rFonts w:ascii="Times New Roman" w:hAnsi="Times New Roman" w:cs="Times New Roman"/>
          <w:sz w:val="20"/>
          <w:szCs w:val="20"/>
        </w:rPr>
      </w:pPr>
      <w:r w:rsidRPr="00135614">
        <w:rPr>
          <w:rStyle w:val="FootnoteReference"/>
          <w:rFonts w:ascii="Times New Roman" w:eastAsiaTheme="majorEastAsia" w:hAnsi="Times New Roman" w:cs="Times New Roman"/>
          <w:sz w:val="20"/>
          <w:szCs w:val="20"/>
        </w:rPr>
        <w:footnoteRef/>
      </w:r>
      <w:r w:rsidRPr="00135614">
        <w:rPr>
          <w:rFonts w:ascii="Times New Roman" w:hAnsi="Times New Roman" w:cs="Times New Roman"/>
          <w:sz w:val="20"/>
          <w:szCs w:val="20"/>
        </w:rPr>
        <w:t xml:space="preserve"> </w:t>
      </w:r>
      <w:r w:rsidRPr="00135614">
        <w:rPr>
          <w:rFonts w:ascii="Times New Roman" w:hAnsi="Times New Roman" w:cs="Times New Roman"/>
          <w:i/>
          <w:sz w:val="20"/>
          <w:szCs w:val="20"/>
        </w:rPr>
        <w:t xml:space="preserve">Katanga </w:t>
      </w:r>
      <w:r w:rsidRPr="00135614">
        <w:rPr>
          <w:rFonts w:ascii="Times New Roman" w:hAnsi="Times New Roman" w:cs="Times New Roman"/>
          <w:sz w:val="20"/>
          <w:szCs w:val="20"/>
        </w:rPr>
        <w:t xml:space="preserve">Decision, </w:t>
      </w:r>
      <w:r w:rsidRPr="004138CF">
        <w:rPr>
          <w:rFonts w:ascii="Times New Roman" w:eastAsia="Times New Roman" w:hAnsi="Times New Roman" w:cs="Times New Roman"/>
          <w:i/>
          <w:sz w:val="20"/>
          <w:szCs w:val="20"/>
          <w:lang w:eastAsia="en-GB"/>
        </w:rPr>
        <w:t>supra</w:t>
      </w:r>
      <w:r>
        <w:rPr>
          <w:rFonts w:ascii="Times New Roman" w:eastAsia="Times New Roman" w:hAnsi="Times New Roman" w:cs="Times New Roman"/>
          <w:sz w:val="20"/>
          <w:szCs w:val="20"/>
          <w:lang w:eastAsia="en-GB"/>
        </w:rPr>
        <w:t xml:space="preserve"> note 3, </w:t>
      </w:r>
      <w:r w:rsidRPr="00135614">
        <w:rPr>
          <w:rFonts w:ascii="Times New Roman" w:hAnsi="Times New Roman" w:cs="Times New Roman"/>
          <w:sz w:val="20"/>
          <w:szCs w:val="20"/>
        </w:rPr>
        <w:t>paras. 573-580.</w:t>
      </w:r>
    </w:p>
  </w:footnote>
  <w:footnote w:id="79">
    <w:p w14:paraId="687A6F3A" w14:textId="1BEDD16A" w:rsidR="0079099C" w:rsidRPr="00135614" w:rsidRDefault="0079099C" w:rsidP="00A818E2">
      <w:pPr>
        <w:pStyle w:val="FootnoteText"/>
        <w:spacing w:after="0" w:line="240" w:lineRule="auto"/>
        <w:jc w:val="both"/>
        <w:rPr>
          <w:rFonts w:ascii="Times New Roman" w:hAnsi="Times New Roman" w:cs="Times New Roman"/>
          <w:sz w:val="20"/>
          <w:szCs w:val="20"/>
        </w:rPr>
      </w:pPr>
      <w:r w:rsidRPr="00135614">
        <w:rPr>
          <w:rStyle w:val="FootnoteReference"/>
          <w:rFonts w:ascii="Times New Roman" w:eastAsiaTheme="majorEastAsia" w:hAnsi="Times New Roman" w:cs="Times New Roman"/>
          <w:sz w:val="20"/>
          <w:szCs w:val="20"/>
        </w:rPr>
        <w:footnoteRef/>
      </w:r>
      <w:r w:rsidRPr="00135614">
        <w:rPr>
          <w:rFonts w:ascii="Times New Roman" w:hAnsi="Times New Roman" w:cs="Times New Roman"/>
          <w:sz w:val="20"/>
          <w:szCs w:val="20"/>
        </w:rPr>
        <w:t xml:space="preserve"> </w:t>
      </w:r>
      <w:r w:rsidRPr="00135614">
        <w:rPr>
          <w:rFonts w:ascii="Times New Roman" w:hAnsi="Times New Roman" w:cs="Times New Roman"/>
          <w:i/>
          <w:sz w:val="20"/>
          <w:szCs w:val="20"/>
        </w:rPr>
        <w:t>Katanga</w:t>
      </w:r>
      <w:r w:rsidRPr="00135614">
        <w:rPr>
          <w:rFonts w:ascii="Times New Roman" w:hAnsi="Times New Roman" w:cs="Times New Roman"/>
          <w:sz w:val="20"/>
          <w:szCs w:val="20"/>
        </w:rPr>
        <w:t xml:space="preserve"> Severing Decision, </w:t>
      </w:r>
      <w:r w:rsidRPr="001A359E">
        <w:rPr>
          <w:rFonts w:ascii="Times New Roman" w:hAnsi="Times New Roman" w:cs="Times New Roman"/>
          <w:i/>
          <w:sz w:val="20"/>
          <w:szCs w:val="20"/>
        </w:rPr>
        <w:t>supra</w:t>
      </w:r>
      <w:r>
        <w:rPr>
          <w:rFonts w:ascii="Times New Roman" w:hAnsi="Times New Roman" w:cs="Times New Roman"/>
          <w:sz w:val="20"/>
          <w:szCs w:val="20"/>
        </w:rPr>
        <w:t xml:space="preserve"> note 14, </w:t>
      </w:r>
      <w:r w:rsidRPr="00135614">
        <w:rPr>
          <w:rFonts w:ascii="Times New Roman" w:hAnsi="Times New Roman" w:cs="Times New Roman"/>
          <w:sz w:val="20"/>
          <w:szCs w:val="20"/>
        </w:rPr>
        <w:t xml:space="preserve">para. 9. </w:t>
      </w:r>
    </w:p>
  </w:footnote>
  <w:footnote w:id="80">
    <w:p w14:paraId="3C09FB82" w14:textId="2E843F7C" w:rsidR="0079099C" w:rsidRPr="00135614" w:rsidRDefault="0079099C" w:rsidP="00A818E2">
      <w:pPr>
        <w:spacing w:after="0" w:line="240" w:lineRule="auto"/>
        <w:jc w:val="both"/>
        <w:rPr>
          <w:rFonts w:ascii="Times New Roman" w:hAnsi="Times New Roman" w:cs="Times New Roman"/>
          <w:sz w:val="20"/>
          <w:szCs w:val="20"/>
        </w:rPr>
      </w:pPr>
      <w:r w:rsidRPr="00135614">
        <w:rPr>
          <w:rStyle w:val="FootnoteReference"/>
          <w:rFonts w:ascii="Times New Roman" w:eastAsiaTheme="majorEastAsia" w:hAnsi="Times New Roman" w:cs="Times New Roman"/>
          <w:sz w:val="20"/>
          <w:szCs w:val="20"/>
        </w:rPr>
        <w:footnoteRef/>
      </w:r>
      <w:r w:rsidRPr="00135614">
        <w:rPr>
          <w:rFonts w:ascii="Times New Roman" w:hAnsi="Times New Roman" w:cs="Times New Roman"/>
          <w:sz w:val="20"/>
          <w:szCs w:val="20"/>
        </w:rPr>
        <w:t xml:space="preserve"> </w:t>
      </w:r>
      <w:r w:rsidRPr="00135614">
        <w:rPr>
          <w:rFonts w:ascii="Times New Roman" w:hAnsi="Times New Roman" w:cs="Times New Roman"/>
          <w:i/>
          <w:sz w:val="20"/>
          <w:szCs w:val="20"/>
        </w:rPr>
        <w:t>Ngudjol</w:t>
      </w:r>
      <w:r>
        <w:rPr>
          <w:rFonts w:ascii="Times New Roman" w:hAnsi="Times New Roman" w:cs="Times New Roman"/>
          <w:i/>
          <w:sz w:val="20"/>
          <w:szCs w:val="20"/>
        </w:rPr>
        <w:t xml:space="preserve">o </w:t>
      </w:r>
      <w:r w:rsidRPr="00135614">
        <w:rPr>
          <w:rFonts w:ascii="Times New Roman" w:hAnsi="Times New Roman" w:cs="Times New Roman"/>
          <w:i/>
          <w:sz w:val="20"/>
          <w:szCs w:val="20"/>
        </w:rPr>
        <w:t>Chui</w:t>
      </w:r>
      <w:r w:rsidRPr="00135614">
        <w:rPr>
          <w:rFonts w:ascii="Times New Roman" w:hAnsi="Times New Roman" w:cs="Times New Roman"/>
          <w:sz w:val="20"/>
          <w:szCs w:val="20"/>
        </w:rPr>
        <w:t xml:space="preserve"> Judgement of Acquittal</w:t>
      </w:r>
      <w:r>
        <w:rPr>
          <w:rFonts w:ascii="Times New Roman" w:hAnsi="Times New Roman" w:cs="Times New Roman"/>
          <w:sz w:val="20"/>
          <w:szCs w:val="20"/>
        </w:rPr>
        <w:t xml:space="preserve">, </w:t>
      </w:r>
      <w:r w:rsidRPr="0079099C">
        <w:rPr>
          <w:rFonts w:ascii="Times New Roman" w:hAnsi="Times New Roman" w:cs="Times New Roman"/>
          <w:i/>
          <w:sz w:val="20"/>
          <w:szCs w:val="20"/>
        </w:rPr>
        <w:t>supra</w:t>
      </w:r>
      <w:r>
        <w:rPr>
          <w:rFonts w:ascii="Times New Roman" w:hAnsi="Times New Roman" w:cs="Times New Roman"/>
          <w:sz w:val="20"/>
          <w:szCs w:val="20"/>
        </w:rPr>
        <w:t xml:space="preserve"> note 17.</w:t>
      </w:r>
      <w:r w:rsidRPr="00135614">
        <w:rPr>
          <w:rFonts w:ascii="Times New Roman" w:hAnsi="Times New Roman" w:cs="Times New Roman"/>
          <w:sz w:val="20"/>
          <w:szCs w:val="20"/>
        </w:rPr>
        <w:t xml:space="preserve"> </w:t>
      </w:r>
    </w:p>
  </w:footnote>
  <w:footnote w:id="81">
    <w:p w14:paraId="6602723B" w14:textId="1D4D3335" w:rsidR="0079099C" w:rsidRPr="00135614" w:rsidRDefault="0079099C" w:rsidP="00A818E2">
      <w:pPr>
        <w:pStyle w:val="FootnoteText"/>
        <w:spacing w:after="0" w:line="240" w:lineRule="auto"/>
        <w:jc w:val="both"/>
        <w:rPr>
          <w:rFonts w:ascii="Times New Roman" w:hAnsi="Times New Roman" w:cs="Times New Roman"/>
          <w:sz w:val="20"/>
          <w:szCs w:val="20"/>
        </w:rPr>
      </w:pPr>
      <w:r w:rsidRPr="00135614">
        <w:rPr>
          <w:rStyle w:val="FootnoteReference"/>
          <w:rFonts w:ascii="Times New Roman" w:eastAsiaTheme="majorEastAsia" w:hAnsi="Times New Roman" w:cs="Times New Roman"/>
          <w:sz w:val="20"/>
          <w:szCs w:val="20"/>
        </w:rPr>
        <w:footnoteRef/>
      </w:r>
      <w:r w:rsidRPr="00135614">
        <w:rPr>
          <w:rFonts w:ascii="Times New Roman" w:hAnsi="Times New Roman" w:cs="Times New Roman"/>
          <w:sz w:val="20"/>
          <w:szCs w:val="20"/>
        </w:rPr>
        <w:t xml:space="preserve"> </w:t>
      </w:r>
      <w:r w:rsidRPr="00135614">
        <w:rPr>
          <w:rFonts w:ascii="Times New Roman" w:hAnsi="Times New Roman" w:cs="Times New Roman"/>
          <w:i/>
          <w:sz w:val="20"/>
          <w:szCs w:val="20"/>
        </w:rPr>
        <w:t>Ibid,</w:t>
      </w:r>
      <w:r w:rsidRPr="00135614">
        <w:rPr>
          <w:rFonts w:ascii="Times New Roman" w:hAnsi="Times New Roman" w:cs="Times New Roman"/>
          <w:sz w:val="20"/>
          <w:szCs w:val="20"/>
        </w:rPr>
        <w:t xml:space="preserve"> paras. 491, 499, 501. </w:t>
      </w:r>
    </w:p>
  </w:footnote>
  <w:footnote w:id="82">
    <w:p w14:paraId="06E530A2" w14:textId="634BCE83" w:rsidR="0079099C" w:rsidRPr="00135614" w:rsidRDefault="0079099C" w:rsidP="00A818E2">
      <w:pPr>
        <w:pStyle w:val="FootnoteText"/>
        <w:spacing w:after="0" w:line="240" w:lineRule="auto"/>
        <w:jc w:val="both"/>
        <w:rPr>
          <w:rFonts w:ascii="Times New Roman" w:hAnsi="Times New Roman" w:cs="Times New Roman"/>
          <w:sz w:val="20"/>
          <w:szCs w:val="20"/>
        </w:rPr>
      </w:pPr>
      <w:r w:rsidRPr="00135614">
        <w:rPr>
          <w:rStyle w:val="FootnoteReference"/>
          <w:rFonts w:ascii="Times New Roman" w:eastAsiaTheme="majorEastAsia" w:hAnsi="Times New Roman" w:cs="Times New Roman"/>
          <w:sz w:val="20"/>
          <w:szCs w:val="20"/>
        </w:rPr>
        <w:footnoteRef/>
      </w:r>
      <w:r w:rsidRPr="00135614">
        <w:rPr>
          <w:rFonts w:ascii="Times New Roman" w:hAnsi="Times New Roman" w:cs="Times New Roman"/>
          <w:sz w:val="20"/>
          <w:szCs w:val="20"/>
        </w:rPr>
        <w:t xml:space="preserve"> </w:t>
      </w:r>
      <w:r w:rsidRPr="00135614">
        <w:rPr>
          <w:rFonts w:ascii="Times New Roman" w:hAnsi="Times New Roman" w:cs="Times New Roman"/>
          <w:i/>
          <w:sz w:val="20"/>
          <w:szCs w:val="20"/>
        </w:rPr>
        <w:t>Ibid,</w:t>
      </w:r>
      <w:r w:rsidRPr="00135614">
        <w:rPr>
          <w:rFonts w:ascii="Times New Roman" w:hAnsi="Times New Roman" w:cs="Times New Roman"/>
          <w:sz w:val="20"/>
          <w:szCs w:val="20"/>
        </w:rPr>
        <w:t xml:space="preserve"> para. 502. </w:t>
      </w:r>
    </w:p>
  </w:footnote>
  <w:footnote w:id="83">
    <w:p w14:paraId="2187593F" w14:textId="6978DE1B" w:rsidR="0079099C" w:rsidRPr="00135614" w:rsidRDefault="0079099C" w:rsidP="00A818E2">
      <w:pPr>
        <w:pStyle w:val="FootnoteText"/>
        <w:spacing w:after="0" w:line="240" w:lineRule="auto"/>
        <w:jc w:val="both"/>
        <w:rPr>
          <w:rFonts w:ascii="Times New Roman" w:hAnsi="Times New Roman" w:cs="Times New Roman"/>
          <w:sz w:val="20"/>
          <w:szCs w:val="20"/>
        </w:rPr>
      </w:pPr>
      <w:r w:rsidRPr="00135614">
        <w:rPr>
          <w:rStyle w:val="FootnoteReference"/>
          <w:rFonts w:ascii="Times New Roman" w:eastAsiaTheme="majorEastAsia" w:hAnsi="Times New Roman" w:cs="Times New Roman"/>
          <w:sz w:val="20"/>
          <w:szCs w:val="20"/>
        </w:rPr>
        <w:footnoteRef/>
      </w:r>
      <w:r w:rsidRPr="00135614">
        <w:rPr>
          <w:rFonts w:ascii="Times New Roman" w:hAnsi="Times New Roman" w:cs="Times New Roman"/>
          <w:sz w:val="20"/>
          <w:szCs w:val="20"/>
        </w:rPr>
        <w:t xml:space="preserve"> </w:t>
      </w:r>
      <w:r w:rsidRPr="00135614">
        <w:rPr>
          <w:rFonts w:ascii="Times New Roman" w:hAnsi="Times New Roman" w:cs="Times New Roman"/>
          <w:i/>
          <w:sz w:val="20"/>
          <w:szCs w:val="20"/>
        </w:rPr>
        <w:t>Ibid,</w:t>
      </w:r>
      <w:r w:rsidRPr="00135614">
        <w:rPr>
          <w:rFonts w:ascii="Times New Roman" w:hAnsi="Times New Roman" w:cs="Times New Roman"/>
          <w:sz w:val="20"/>
          <w:szCs w:val="20"/>
        </w:rPr>
        <w:t xml:space="preserve"> para. 110. </w:t>
      </w:r>
    </w:p>
  </w:footnote>
  <w:footnote w:id="84">
    <w:p w14:paraId="607787AC" w14:textId="1538DAA0" w:rsidR="0079099C" w:rsidRPr="00135614" w:rsidRDefault="0079099C" w:rsidP="00A818E2">
      <w:pPr>
        <w:pStyle w:val="FootnoteText"/>
        <w:spacing w:after="0" w:line="240" w:lineRule="auto"/>
        <w:jc w:val="both"/>
        <w:rPr>
          <w:rFonts w:ascii="Times New Roman" w:hAnsi="Times New Roman" w:cs="Times New Roman"/>
          <w:sz w:val="20"/>
          <w:szCs w:val="20"/>
        </w:rPr>
      </w:pPr>
      <w:r w:rsidRPr="00135614">
        <w:rPr>
          <w:rStyle w:val="FootnoteReference"/>
          <w:rFonts w:ascii="Times New Roman" w:eastAsiaTheme="majorEastAsia" w:hAnsi="Times New Roman" w:cs="Times New Roman"/>
          <w:sz w:val="20"/>
          <w:szCs w:val="20"/>
        </w:rPr>
        <w:footnoteRef/>
      </w:r>
      <w:r w:rsidRPr="00135614">
        <w:rPr>
          <w:rFonts w:ascii="Times New Roman" w:hAnsi="Times New Roman" w:cs="Times New Roman"/>
          <w:sz w:val="20"/>
          <w:szCs w:val="20"/>
        </w:rPr>
        <w:t xml:space="preserve"> </w:t>
      </w:r>
      <w:r w:rsidRPr="00135614">
        <w:rPr>
          <w:rFonts w:ascii="Times New Roman" w:hAnsi="Times New Roman" w:cs="Times New Roman"/>
          <w:i/>
          <w:sz w:val="20"/>
          <w:szCs w:val="20"/>
        </w:rPr>
        <w:t xml:space="preserve">Katanga </w:t>
      </w:r>
      <w:r w:rsidRPr="00135614">
        <w:rPr>
          <w:rFonts w:ascii="Times New Roman" w:hAnsi="Times New Roman" w:cs="Times New Roman"/>
          <w:sz w:val="20"/>
          <w:szCs w:val="20"/>
        </w:rPr>
        <w:t xml:space="preserve">Severing Decision, </w:t>
      </w:r>
      <w:r w:rsidRPr="001A359E">
        <w:rPr>
          <w:rFonts w:ascii="Times New Roman" w:hAnsi="Times New Roman" w:cs="Times New Roman"/>
          <w:i/>
          <w:sz w:val="20"/>
          <w:szCs w:val="20"/>
        </w:rPr>
        <w:t>supra</w:t>
      </w:r>
      <w:r>
        <w:rPr>
          <w:rFonts w:ascii="Times New Roman" w:hAnsi="Times New Roman" w:cs="Times New Roman"/>
          <w:sz w:val="20"/>
          <w:szCs w:val="20"/>
        </w:rPr>
        <w:t xml:space="preserve"> note 14, </w:t>
      </w:r>
      <w:r w:rsidRPr="00135614">
        <w:rPr>
          <w:rFonts w:ascii="Times New Roman" w:hAnsi="Times New Roman" w:cs="Times New Roman"/>
          <w:sz w:val="20"/>
          <w:szCs w:val="20"/>
        </w:rPr>
        <w:t>para. 7.</w:t>
      </w:r>
    </w:p>
  </w:footnote>
  <w:footnote w:id="85">
    <w:p w14:paraId="649CBDC1" w14:textId="0E9ADE3D" w:rsidR="0079099C" w:rsidRPr="00135614" w:rsidRDefault="0079099C" w:rsidP="00A818E2">
      <w:pPr>
        <w:pStyle w:val="FootnoteText"/>
        <w:spacing w:after="0" w:line="240" w:lineRule="auto"/>
        <w:jc w:val="both"/>
        <w:rPr>
          <w:rFonts w:ascii="Times New Roman" w:hAnsi="Times New Roman" w:cs="Times New Roman"/>
          <w:sz w:val="20"/>
          <w:szCs w:val="20"/>
        </w:rPr>
      </w:pPr>
      <w:r w:rsidRPr="00135614">
        <w:rPr>
          <w:rStyle w:val="FootnoteReference"/>
          <w:rFonts w:ascii="Times New Roman" w:eastAsiaTheme="majorEastAsia" w:hAnsi="Times New Roman" w:cs="Times New Roman"/>
          <w:sz w:val="20"/>
          <w:szCs w:val="20"/>
        </w:rPr>
        <w:footnoteRef/>
      </w:r>
      <w:r w:rsidRPr="00135614">
        <w:rPr>
          <w:rFonts w:ascii="Times New Roman" w:hAnsi="Times New Roman" w:cs="Times New Roman"/>
          <w:sz w:val="20"/>
          <w:szCs w:val="20"/>
        </w:rPr>
        <w:t xml:space="preserve"> </w:t>
      </w:r>
      <w:r w:rsidRPr="00135614">
        <w:rPr>
          <w:rFonts w:ascii="Times New Roman" w:hAnsi="Times New Roman" w:cs="Times New Roman"/>
          <w:i/>
          <w:sz w:val="20"/>
          <w:szCs w:val="20"/>
        </w:rPr>
        <w:t>Ibid</w:t>
      </w:r>
      <w:r w:rsidRPr="00135614">
        <w:rPr>
          <w:rFonts w:ascii="Times New Roman" w:hAnsi="Times New Roman" w:cs="Times New Roman"/>
          <w:sz w:val="20"/>
          <w:szCs w:val="20"/>
        </w:rPr>
        <w:t>, paras. 23, 32.</w:t>
      </w:r>
    </w:p>
  </w:footnote>
  <w:footnote w:id="86">
    <w:p w14:paraId="6C288102" w14:textId="3F4F71BD" w:rsidR="0079099C" w:rsidRPr="00135614" w:rsidRDefault="0079099C" w:rsidP="00A818E2">
      <w:pPr>
        <w:pStyle w:val="FootnoteText"/>
        <w:spacing w:after="0" w:line="240" w:lineRule="auto"/>
        <w:jc w:val="both"/>
        <w:rPr>
          <w:rFonts w:ascii="Times New Roman" w:hAnsi="Times New Roman" w:cs="Times New Roman"/>
          <w:sz w:val="20"/>
          <w:szCs w:val="20"/>
        </w:rPr>
      </w:pPr>
      <w:r w:rsidRPr="00135614">
        <w:rPr>
          <w:rStyle w:val="FootnoteReference"/>
          <w:rFonts w:ascii="Times New Roman" w:eastAsiaTheme="majorEastAsia" w:hAnsi="Times New Roman" w:cs="Times New Roman"/>
          <w:sz w:val="20"/>
          <w:szCs w:val="20"/>
        </w:rPr>
        <w:footnoteRef/>
      </w:r>
      <w:r w:rsidRPr="00135614">
        <w:rPr>
          <w:rFonts w:ascii="Times New Roman" w:hAnsi="Times New Roman" w:cs="Times New Roman"/>
          <w:sz w:val="20"/>
          <w:szCs w:val="20"/>
        </w:rPr>
        <w:t xml:space="preserve"> Prosecutor v. </w:t>
      </w:r>
      <w:r w:rsidRPr="00135614">
        <w:rPr>
          <w:rFonts w:ascii="Times New Roman" w:hAnsi="Times New Roman" w:cs="Times New Roman"/>
          <w:i/>
          <w:sz w:val="20"/>
          <w:szCs w:val="20"/>
        </w:rPr>
        <w:t xml:space="preserve">Germain Katanga and Mathieu Ngudjolo Chui, </w:t>
      </w:r>
      <w:r w:rsidRPr="00135614">
        <w:rPr>
          <w:rFonts w:ascii="Times New Roman" w:eastAsiaTheme="minorEastAsia" w:hAnsi="Times New Roman" w:cs="Times New Roman"/>
          <w:sz w:val="20"/>
          <w:szCs w:val="20"/>
          <w:lang w:val="en-US"/>
        </w:rPr>
        <w:t>ICC-01/04-01/07</w:t>
      </w:r>
      <w:r w:rsidRPr="00135614">
        <w:rPr>
          <w:rFonts w:ascii="Times New Roman" w:hAnsi="Times New Roman" w:cs="Times New Roman"/>
          <w:sz w:val="20"/>
          <w:szCs w:val="20"/>
        </w:rPr>
        <w:t>, Trial Chamber II, Dissenting Opinion of Judge Van den Wyngaert</w:t>
      </w:r>
      <w:r w:rsidRPr="00135614">
        <w:rPr>
          <w:rFonts w:ascii="Times New Roman" w:eastAsiaTheme="minorEastAsia" w:hAnsi="Times New Roman" w:cs="Times New Roman"/>
          <w:sz w:val="20"/>
          <w:szCs w:val="20"/>
          <w:lang w:val="en-US"/>
        </w:rPr>
        <w:t xml:space="preserve"> to Decision on the implementation of regulation 55 of the Regulations of the Court and severing the charges against the accused persons</w:t>
      </w:r>
      <w:r w:rsidRPr="00135614">
        <w:rPr>
          <w:rFonts w:ascii="Times New Roman" w:hAnsi="Times New Roman" w:cs="Times New Roman"/>
          <w:sz w:val="20"/>
          <w:szCs w:val="20"/>
        </w:rPr>
        <w:t>, 21 November 2012 (‘Dissenting Opinion of Judge van den Wyngaert’), para. 11; See also Minority Opinion of Judge van den Wyngaert,</w:t>
      </w:r>
      <w:r w:rsidRPr="00C35F07">
        <w:rPr>
          <w:rFonts w:ascii="Times New Roman" w:hAnsi="Times New Roman" w:cs="Times New Roman"/>
          <w:i/>
          <w:sz w:val="20"/>
          <w:szCs w:val="20"/>
        </w:rPr>
        <w:t xml:space="preserve"> supra</w:t>
      </w:r>
      <w:r>
        <w:rPr>
          <w:rFonts w:ascii="Times New Roman" w:hAnsi="Times New Roman" w:cs="Times New Roman"/>
          <w:sz w:val="20"/>
          <w:szCs w:val="20"/>
        </w:rPr>
        <w:t xml:space="preserve"> note 8,</w:t>
      </w:r>
      <w:r w:rsidRPr="00135614">
        <w:rPr>
          <w:rFonts w:ascii="Times New Roman" w:hAnsi="Times New Roman" w:cs="Times New Roman"/>
          <w:sz w:val="20"/>
          <w:szCs w:val="20"/>
        </w:rPr>
        <w:t xml:space="preserve"> section II.</w:t>
      </w:r>
    </w:p>
  </w:footnote>
  <w:footnote w:id="87">
    <w:p w14:paraId="68EA1925" w14:textId="13A78C86" w:rsidR="0079099C" w:rsidRPr="00135614" w:rsidRDefault="0079099C" w:rsidP="00A818E2">
      <w:pPr>
        <w:pStyle w:val="FootnoteText"/>
        <w:spacing w:after="0" w:line="240" w:lineRule="auto"/>
        <w:jc w:val="both"/>
        <w:rPr>
          <w:rFonts w:ascii="Times New Roman" w:hAnsi="Times New Roman" w:cs="Times New Roman"/>
          <w:sz w:val="20"/>
          <w:szCs w:val="20"/>
          <w:lang w:val="en-US"/>
        </w:rPr>
      </w:pPr>
      <w:r w:rsidRPr="00135614">
        <w:rPr>
          <w:rStyle w:val="FootnoteReference"/>
          <w:rFonts w:ascii="Times New Roman" w:hAnsi="Times New Roman" w:cs="Times New Roman"/>
          <w:sz w:val="20"/>
          <w:szCs w:val="20"/>
        </w:rPr>
        <w:footnoteRef/>
      </w:r>
      <w:r w:rsidRPr="006307AA">
        <w:rPr>
          <w:rFonts w:ascii="Times New Roman" w:hAnsi="Times New Roman" w:cs="Times New Roman"/>
          <w:sz w:val="20"/>
          <w:szCs w:val="20"/>
          <w:lang w:val="pt-BR"/>
        </w:rPr>
        <w:t xml:space="preserve"> </w:t>
      </w:r>
      <w:r w:rsidRPr="006307AA">
        <w:rPr>
          <w:rFonts w:ascii="Times New Roman" w:hAnsi="Times New Roman" w:cs="Times New Roman"/>
          <w:i/>
          <w:sz w:val="20"/>
          <w:szCs w:val="20"/>
          <w:lang w:val="pt-BR"/>
        </w:rPr>
        <w:t>Katanga</w:t>
      </w:r>
      <w:r w:rsidRPr="006307AA">
        <w:rPr>
          <w:rFonts w:ascii="Times New Roman" w:hAnsi="Times New Roman" w:cs="Times New Roman"/>
          <w:sz w:val="20"/>
          <w:szCs w:val="20"/>
          <w:lang w:val="pt-BR"/>
        </w:rPr>
        <w:t xml:space="preserve"> Judgment, </w:t>
      </w:r>
      <w:r w:rsidRPr="006307AA">
        <w:rPr>
          <w:rFonts w:ascii="Times New Roman" w:hAnsi="Times New Roman" w:cs="Times New Roman"/>
          <w:i/>
          <w:sz w:val="20"/>
          <w:szCs w:val="20"/>
          <w:lang w:val="pt-BR"/>
        </w:rPr>
        <w:t>supra</w:t>
      </w:r>
      <w:r w:rsidRPr="006307AA">
        <w:rPr>
          <w:rFonts w:ascii="Times New Roman" w:hAnsi="Times New Roman" w:cs="Times New Roman"/>
          <w:sz w:val="20"/>
          <w:szCs w:val="20"/>
          <w:lang w:val="pt-BR"/>
        </w:rPr>
        <w:t xml:space="preserve"> note 8, paras. </w:t>
      </w:r>
      <w:r w:rsidRPr="00135614">
        <w:rPr>
          <w:rFonts w:ascii="Times New Roman" w:hAnsi="Times New Roman" w:cs="Times New Roman"/>
          <w:sz w:val="20"/>
          <w:szCs w:val="20"/>
        </w:rPr>
        <w:t xml:space="preserve">23, 32. </w:t>
      </w:r>
    </w:p>
  </w:footnote>
  <w:footnote w:id="88">
    <w:p w14:paraId="77D37E2C" w14:textId="6FF459A5" w:rsidR="0079099C" w:rsidRPr="00135614" w:rsidRDefault="0079099C" w:rsidP="00A818E2">
      <w:pPr>
        <w:pStyle w:val="FootnoteText"/>
        <w:spacing w:after="0" w:line="240" w:lineRule="auto"/>
        <w:jc w:val="both"/>
        <w:rPr>
          <w:rFonts w:ascii="Times New Roman" w:hAnsi="Times New Roman" w:cs="Times New Roman"/>
          <w:sz w:val="20"/>
          <w:szCs w:val="20"/>
          <w:lang w:val="en-US"/>
        </w:rPr>
      </w:pPr>
      <w:r w:rsidRPr="00135614">
        <w:rPr>
          <w:rStyle w:val="FootnoteReference"/>
          <w:rFonts w:ascii="Times New Roman" w:hAnsi="Times New Roman" w:cs="Times New Roman"/>
          <w:sz w:val="20"/>
          <w:szCs w:val="20"/>
        </w:rPr>
        <w:footnoteRef/>
      </w:r>
      <w:r w:rsidRPr="00135614">
        <w:rPr>
          <w:rFonts w:ascii="Times New Roman" w:hAnsi="Times New Roman" w:cs="Times New Roman"/>
          <w:sz w:val="20"/>
          <w:szCs w:val="20"/>
        </w:rPr>
        <w:t xml:space="preserve"> </w:t>
      </w:r>
      <w:r w:rsidRPr="00135614">
        <w:rPr>
          <w:rFonts w:ascii="Times New Roman" w:hAnsi="Times New Roman" w:cs="Times New Roman"/>
          <w:i/>
          <w:sz w:val="20"/>
          <w:szCs w:val="20"/>
          <w:lang w:val="en-US"/>
        </w:rPr>
        <w:t>Ibid,</w:t>
      </w:r>
      <w:r w:rsidRPr="00135614">
        <w:rPr>
          <w:rFonts w:ascii="Times New Roman" w:hAnsi="Times New Roman" w:cs="Times New Roman"/>
          <w:sz w:val="20"/>
          <w:szCs w:val="20"/>
          <w:lang w:val="en-US"/>
        </w:rPr>
        <w:t xml:space="preserve"> </w:t>
      </w:r>
      <w:r w:rsidRPr="00135614">
        <w:rPr>
          <w:rFonts w:ascii="Times New Roman" w:hAnsi="Times New Roman" w:cs="Times New Roman"/>
          <w:sz w:val="20"/>
          <w:szCs w:val="20"/>
        </w:rPr>
        <w:t>paras. 1147; 1671</w:t>
      </w:r>
    </w:p>
  </w:footnote>
  <w:footnote w:id="89">
    <w:p w14:paraId="079C671B" w14:textId="78869337" w:rsidR="0079099C" w:rsidRPr="00135614" w:rsidRDefault="0079099C" w:rsidP="00A818E2">
      <w:pPr>
        <w:pStyle w:val="FootnoteText"/>
        <w:spacing w:after="0" w:line="240" w:lineRule="auto"/>
        <w:jc w:val="both"/>
        <w:rPr>
          <w:rFonts w:ascii="Times New Roman" w:hAnsi="Times New Roman" w:cs="Times New Roman"/>
          <w:sz w:val="20"/>
          <w:szCs w:val="20"/>
          <w:lang w:val="en-US"/>
        </w:rPr>
      </w:pPr>
      <w:r w:rsidRPr="00135614">
        <w:rPr>
          <w:rStyle w:val="FootnoteReference"/>
          <w:rFonts w:ascii="Times New Roman" w:hAnsi="Times New Roman" w:cs="Times New Roman"/>
          <w:sz w:val="20"/>
          <w:szCs w:val="20"/>
        </w:rPr>
        <w:footnoteRef/>
      </w:r>
      <w:r w:rsidRPr="00135614">
        <w:rPr>
          <w:rFonts w:ascii="Times New Roman" w:hAnsi="Times New Roman" w:cs="Times New Roman"/>
          <w:sz w:val="20"/>
          <w:szCs w:val="20"/>
        </w:rPr>
        <w:t xml:space="preserve"> </w:t>
      </w:r>
      <w:r w:rsidRPr="00135614">
        <w:rPr>
          <w:rFonts w:ascii="Times New Roman" w:hAnsi="Times New Roman" w:cs="Times New Roman"/>
          <w:i/>
          <w:sz w:val="20"/>
          <w:szCs w:val="20"/>
          <w:lang w:val="en-US"/>
        </w:rPr>
        <w:t>Ibid</w:t>
      </w:r>
      <w:r w:rsidRPr="00135614">
        <w:rPr>
          <w:rFonts w:ascii="Times New Roman" w:hAnsi="Times New Roman" w:cs="Times New Roman"/>
          <w:sz w:val="20"/>
          <w:szCs w:val="20"/>
          <w:lang w:val="en-US"/>
        </w:rPr>
        <w:t xml:space="preserve">, </w:t>
      </w:r>
      <w:r w:rsidRPr="00135614">
        <w:rPr>
          <w:rFonts w:ascii="Times New Roman" w:hAnsi="Times New Roman" w:cs="Times New Roman"/>
          <w:sz w:val="20"/>
          <w:szCs w:val="20"/>
        </w:rPr>
        <w:t>para. 1150.</w:t>
      </w:r>
    </w:p>
  </w:footnote>
  <w:footnote w:id="90">
    <w:p w14:paraId="162C39DF" w14:textId="688604D9" w:rsidR="0079099C" w:rsidRPr="00135614" w:rsidRDefault="0079099C" w:rsidP="00A818E2">
      <w:pPr>
        <w:pStyle w:val="FootnoteText"/>
        <w:spacing w:after="0" w:line="240" w:lineRule="auto"/>
        <w:jc w:val="both"/>
        <w:rPr>
          <w:rFonts w:ascii="Times New Roman" w:hAnsi="Times New Roman" w:cs="Times New Roman"/>
          <w:sz w:val="20"/>
          <w:szCs w:val="20"/>
          <w:lang w:val="en-US"/>
        </w:rPr>
      </w:pPr>
      <w:r w:rsidRPr="00135614">
        <w:rPr>
          <w:rStyle w:val="FootnoteReference"/>
          <w:rFonts w:ascii="Times New Roman" w:hAnsi="Times New Roman" w:cs="Times New Roman"/>
          <w:sz w:val="20"/>
          <w:szCs w:val="20"/>
        </w:rPr>
        <w:footnoteRef/>
      </w:r>
      <w:r w:rsidRPr="00135614">
        <w:rPr>
          <w:rFonts w:ascii="Times New Roman" w:hAnsi="Times New Roman" w:cs="Times New Roman"/>
          <w:sz w:val="20"/>
          <w:szCs w:val="20"/>
        </w:rPr>
        <w:t xml:space="preserve"> </w:t>
      </w:r>
      <w:r w:rsidRPr="00135614">
        <w:rPr>
          <w:rFonts w:ascii="Times New Roman" w:hAnsi="Times New Roman" w:cs="Times New Roman"/>
          <w:i/>
          <w:sz w:val="20"/>
          <w:szCs w:val="20"/>
          <w:lang w:val="en-US"/>
        </w:rPr>
        <w:t>Ibid,</w:t>
      </w:r>
      <w:r w:rsidRPr="00135614">
        <w:rPr>
          <w:rFonts w:ascii="Times New Roman" w:hAnsi="Times New Roman" w:cs="Times New Roman"/>
          <w:sz w:val="20"/>
          <w:szCs w:val="20"/>
          <w:lang w:val="en-US"/>
        </w:rPr>
        <w:t xml:space="preserve"> </w:t>
      </w:r>
      <w:r w:rsidRPr="00135614">
        <w:rPr>
          <w:rFonts w:ascii="Times New Roman" w:hAnsi="Times New Roman" w:cs="Times New Roman"/>
          <w:sz w:val="20"/>
          <w:szCs w:val="20"/>
        </w:rPr>
        <w:t xml:space="preserve">para. 1144. </w:t>
      </w:r>
      <w:r w:rsidRPr="00135614">
        <w:rPr>
          <w:rFonts w:ascii="Times New Roman" w:hAnsi="Times New Roman" w:cs="Times New Roman"/>
          <w:i/>
          <w:sz w:val="20"/>
          <w:szCs w:val="20"/>
        </w:rPr>
        <w:t xml:space="preserve">Cf. </w:t>
      </w:r>
      <w:r w:rsidRPr="00135614">
        <w:rPr>
          <w:rFonts w:ascii="Times New Roman" w:hAnsi="Times New Roman" w:cs="Times New Roman"/>
          <w:sz w:val="20"/>
          <w:szCs w:val="20"/>
        </w:rPr>
        <w:t xml:space="preserve">Judge van den Wyngaert challenged the logic of equating the UPC and Hema civilians as one enemy subject to attack. See Minority Opinion of Judge van den Wyngaert, </w:t>
      </w:r>
      <w:r w:rsidRPr="00C35F07">
        <w:rPr>
          <w:rFonts w:ascii="Times New Roman" w:hAnsi="Times New Roman" w:cs="Times New Roman"/>
          <w:i/>
          <w:sz w:val="20"/>
          <w:szCs w:val="20"/>
        </w:rPr>
        <w:t>supra</w:t>
      </w:r>
      <w:r>
        <w:rPr>
          <w:rFonts w:ascii="Times New Roman" w:hAnsi="Times New Roman" w:cs="Times New Roman"/>
          <w:sz w:val="20"/>
          <w:szCs w:val="20"/>
        </w:rPr>
        <w:t xml:space="preserve"> note 8, </w:t>
      </w:r>
      <w:r w:rsidRPr="00135614">
        <w:rPr>
          <w:rFonts w:ascii="Times New Roman" w:hAnsi="Times New Roman" w:cs="Times New Roman"/>
          <w:sz w:val="20"/>
          <w:szCs w:val="20"/>
        </w:rPr>
        <w:t>paras. 214, 255.</w:t>
      </w:r>
    </w:p>
  </w:footnote>
  <w:footnote w:id="91">
    <w:p w14:paraId="6C66AE72" w14:textId="091722C0" w:rsidR="0079099C" w:rsidRPr="00135614" w:rsidRDefault="0079099C" w:rsidP="00A818E2">
      <w:pPr>
        <w:pStyle w:val="FootnoteText"/>
        <w:spacing w:after="0" w:line="240" w:lineRule="auto"/>
        <w:jc w:val="both"/>
        <w:rPr>
          <w:rFonts w:ascii="Times New Roman" w:hAnsi="Times New Roman" w:cs="Times New Roman"/>
          <w:sz w:val="20"/>
          <w:szCs w:val="20"/>
          <w:lang w:val="en-US"/>
        </w:rPr>
      </w:pPr>
      <w:r w:rsidRPr="00135614">
        <w:rPr>
          <w:rStyle w:val="FootnoteReference"/>
          <w:rFonts w:ascii="Times New Roman" w:hAnsi="Times New Roman" w:cs="Times New Roman"/>
          <w:sz w:val="20"/>
          <w:szCs w:val="20"/>
        </w:rPr>
        <w:footnoteRef/>
      </w:r>
      <w:r w:rsidRPr="00135614">
        <w:rPr>
          <w:rFonts w:ascii="Times New Roman" w:hAnsi="Times New Roman" w:cs="Times New Roman"/>
          <w:sz w:val="20"/>
          <w:szCs w:val="20"/>
        </w:rPr>
        <w:t xml:space="preserve"> </w:t>
      </w:r>
      <w:r w:rsidRPr="00135614">
        <w:rPr>
          <w:rFonts w:ascii="Times New Roman" w:hAnsi="Times New Roman" w:cs="Times New Roman"/>
          <w:i/>
          <w:sz w:val="20"/>
          <w:szCs w:val="20"/>
        </w:rPr>
        <w:t xml:space="preserve">Katanga </w:t>
      </w:r>
      <w:r w:rsidRPr="00135614">
        <w:rPr>
          <w:rFonts w:ascii="Times New Roman" w:hAnsi="Times New Roman" w:cs="Times New Roman"/>
          <w:sz w:val="20"/>
          <w:szCs w:val="20"/>
        </w:rPr>
        <w:t>Judgement</w:t>
      </w:r>
      <w:r w:rsidRPr="00135614">
        <w:rPr>
          <w:rFonts w:ascii="Times New Roman" w:hAnsi="Times New Roman" w:cs="Times New Roman"/>
          <w:i/>
          <w:sz w:val="20"/>
          <w:szCs w:val="20"/>
          <w:lang w:val="en-US"/>
        </w:rPr>
        <w:t>,</w:t>
      </w:r>
      <w:r w:rsidRPr="002C4E23">
        <w:rPr>
          <w:rFonts w:ascii="Times New Roman" w:hAnsi="Times New Roman" w:cs="Times New Roman"/>
          <w:i/>
          <w:sz w:val="20"/>
          <w:szCs w:val="20"/>
        </w:rPr>
        <w:t xml:space="preserve"> supra</w:t>
      </w:r>
      <w:r>
        <w:rPr>
          <w:rFonts w:ascii="Times New Roman" w:hAnsi="Times New Roman" w:cs="Times New Roman"/>
          <w:sz w:val="20"/>
          <w:szCs w:val="20"/>
        </w:rPr>
        <w:t xml:space="preserve"> note 8</w:t>
      </w:r>
      <w:r w:rsidRPr="00135614">
        <w:rPr>
          <w:rFonts w:ascii="Times New Roman" w:hAnsi="Times New Roman" w:cs="Times New Roman"/>
          <w:sz w:val="20"/>
          <w:szCs w:val="20"/>
          <w:lang w:val="en-US"/>
        </w:rPr>
        <w:t xml:space="preserve"> </w:t>
      </w:r>
      <w:r w:rsidRPr="00135614">
        <w:rPr>
          <w:rFonts w:ascii="Times New Roman" w:hAnsi="Times New Roman" w:cs="Times New Roman"/>
          <w:sz w:val="20"/>
          <w:szCs w:val="20"/>
        </w:rPr>
        <w:t>paras. 1381 et sq.</w:t>
      </w:r>
    </w:p>
  </w:footnote>
  <w:footnote w:id="92">
    <w:p w14:paraId="3A3F4134" w14:textId="13683696" w:rsidR="0079099C" w:rsidRPr="00135614" w:rsidRDefault="0079099C" w:rsidP="00A818E2">
      <w:pPr>
        <w:pStyle w:val="FootnoteText"/>
        <w:spacing w:after="0" w:line="240" w:lineRule="auto"/>
        <w:jc w:val="both"/>
        <w:rPr>
          <w:rFonts w:ascii="Times New Roman" w:hAnsi="Times New Roman" w:cs="Times New Roman"/>
          <w:sz w:val="20"/>
          <w:szCs w:val="20"/>
          <w:lang w:val="en-US"/>
        </w:rPr>
      </w:pPr>
      <w:r w:rsidRPr="00135614">
        <w:rPr>
          <w:rStyle w:val="FootnoteReference"/>
          <w:rFonts w:ascii="Times New Roman" w:eastAsiaTheme="majorEastAsia" w:hAnsi="Times New Roman" w:cs="Times New Roman"/>
          <w:sz w:val="20"/>
          <w:szCs w:val="20"/>
        </w:rPr>
        <w:footnoteRef/>
      </w:r>
      <w:r w:rsidRPr="00135614">
        <w:rPr>
          <w:rStyle w:val="FootnoteReference"/>
          <w:rFonts w:ascii="Times New Roman" w:eastAsiaTheme="majorEastAsia" w:hAnsi="Times New Roman" w:cs="Times New Roman"/>
          <w:sz w:val="20"/>
          <w:szCs w:val="20"/>
        </w:rPr>
        <w:t xml:space="preserve"> </w:t>
      </w:r>
      <w:r>
        <w:rPr>
          <w:rFonts w:ascii="Times New Roman" w:hAnsi="Times New Roman" w:cs="Times New Roman"/>
          <w:i/>
          <w:sz w:val="20"/>
          <w:szCs w:val="20"/>
        </w:rPr>
        <w:t xml:space="preserve">Ibid, </w:t>
      </w:r>
      <w:r w:rsidRPr="00135614">
        <w:rPr>
          <w:rFonts w:ascii="Times New Roman" w:hAnsi="Times New Roman" w:cs="Times New Roman"/>
          <w:sz w:val="20"/>
          <w:szCs w:val="20"/>
        </w:rPr>
        <w:t xml:space="preserve">para. 1387; </w:t>
      </w:r>
      <w:r w:rsidRPr="00C35F07">
        <w:rPr>
          <w:rFonts w:ascii="Times New Roman" w:hAnsi="Times New Roman" w:cs="Times New Roman"/>
          <w:i/>
          <w:sz w:val="20"/>
          <w:szCs w:val="20"/>
        </w:rPr>
        <w:t>supra</w:t>
      </w:r>
      <w:r>
        <w:rPr>
          <w:rFonts w:ascii="Times New Roman" w:hAnsi="Times New Roman" w:cs="Times New Roman"/>
          <w:sz w:val="20"/>
          <w:szCs w:val="20"/>
        </w:rPr>
        <w:t xml:space="preserve"> note </w:t>
      </w:r>
      <w:proofErr w:type="gramStart"/>
      <w:r>
        <w:rPr>
          <w:rFonts w:ascii="Times New Roman" w:hAnsi="Times New Roman" w:cs="Times New Roman"/>
          <w:sz w:val="20"/>
          <w:szCs w:val="20"/>
        </w:rPr>
        <w:t>8,</w:t>
      </w:r>
      <w:proofErr w:type="gramEnd"/>
      <w:r w:rsidRPr="00135614">
        <w:rPr>
          <w:rFonts w:ascii="Times New Roman" w:hAnsi="Times New Roman" w:cs="Times New Roman"/>
          <w:sz w:val="20"/>
          <w:szCs w:val="20"/>
        </w:rPr>
        <w:t xml:space="preserve"> of Judge van den Wyngaert, para. 279.</w:t>
      </w:r>
    </w:p>
  </w:footnote>
  <w:footnote w:id="93">
    <w:p w14:paraId="27B5300C" w14:textId="7C492716" w:rsidR="0079099C" w:rsidRPr="00135614" w:rsidRDefault="0079099C" w:rsidP="00A818E2">
      <w:pPr>
        <w:pStyle w:val="FootnoteText"/>
        <w:spacing w:after="0" w:line="240" w:lineRule="auto"/>
        <w:jc w:val="both"/>
        <w:rPr>
          <w:rFonts w:ascii="Times New Roman" w:hAnsi="Times New Roman" w:cs="Times New Roman"/>
          <w:sz w:val="20"/>
          <w:szCs w:val="20"/>
          <w:lang w:val="en-US"/>
        </w:rPr>
      </w:pPr>
      <w:r w:rsidRPr="00135614">
        <w:rPr>
          <w:rStyle w:val="FootnoteReference"/>
          <w:rFonts w:ascii="Times New Roman" w:hAnsi="Times New Roman" w:cs="Times New Roman"/>
          <w:sz w:val="20"/>
          <w:szCs w:val="20"/>
        </w:rPr>
        <w:footnoteRef/>
      </w:r>
      <w:r w:rsidRPr="00135614">
        <w:rPr>
          <w:rFonts w:ascii="Times New Roman" w:hAnsi="Times New Roman" w:cs="Times New Roman"/>
          <w:sz w:val="20"/>
          <w:szCs w:val="20"/>
        </w:rPr>
        <w:t xml:space="preserve"> </w:t>
      </w:r>
      <w:r w:rsidRPr="00135614">
        <w:rPr>
          <w:rFonts w:ascii="Times New Roman" w:hAnsi="Times New Roman" w:cs="Times New Roman"/>
          <w:i/>
          <w:sz w:val="20"/>
          <w:szCs w:val="20"/>
        </w:rPr>
        <w:t xml:space="preserve">Katanga </w:t>
      </w:r>
      <w:r w:rsidRPr="00135614">
        <w:rPr>
          <w:rFonts w:ascii="Times New Roman" w:hAnsi="Times New Roman" w:cs="Times New Roman"/>
          <w:sz w:val="20"/>
          <w:szCs w:val="20"/>
        </w:rPr>
        <w:t xml:space="preserve">Judgement, </w:t>
      </w:r>
      <w:r w:rsidRPr="002C4E23">
        <w:rPr>
          <w:rFonts w:ascii="Times New Roman" w:hAnsi="Times New Roman" w:cs="Times New Roman"/>
          <w:i/>
          <w:sz w:val="20"/>
          <w:szCs w:val="20"/>
        </w:rPr>
        <w:t>supra</w:t>
      </w:r>
      <w:r>
        <w:rPr>
          <w:rFonts w:ascii="Times New Roman" w:hAnsi="Times New Roman" w:cs="Times New Roman"/>
          <w:sz w:val="20"/>
          <w:szCs w:val="20"/>
        </w:rPr>
        <w:t xml:space="preserve"> note 8, </w:t>
      </w:r>
      <w:r w:rsidRPr="00135614">
        <w:rPr>
          <w:rFonts w:ascii="Times New Roman" w:hAnsi="Times New Roman" w:cs="Times New Roman"/>
          <w:sz w:val="20"/>
          <w:szCs w:val="20"/>
        </w:rPr>
        <w:t>paras. 1386, 1387</w:t>
      </w:r>
      <w:r w:rsidRPr="00135614">
        <w:rPr>
          <w:rFonts w:ascii="Times New Roman" w:hAnsi="Times New Roman" w:cs="Times New Roman"/>
          <w:i/>
          <w:sz w:val="20"/>
          <w:szCs w:val="20"/>
        </w:rPr>
        <w:t>. Cf.</w:t>
      </w:r>
      <w:r w:rsidRPr="00135614">
        <w:rPr>
          <w:rFonts w:ascii="Times New Roman" w:hAnsi="Times New Roman" w:cs="Times New Roman"/>
          <w:sz w:val="20"/>
          <w:szCs w:val="20"/>
        </w:rPr>
        <w:t xml:space="preserve"> </w:t>
      </w:r>
      <w:r w:rsidRPr="00135614">
        <w:rPr>
          <w:rFonts w:ascii="Times New Roman" w:hAnsi="Times New Roman" w:cs="Times New Roman"/>
          <w:i/>
          <w:sz w:val="20"/>
          <w:szCs w:val="20"/>
        </w:rPr>
        <w:t>Lubanga</w:t>
      </w:r>
      <w:r w:rsidRPr="00135614">
        <w:rPr>
          <w:rFonts w:ascii="Times New Roman" w:hAnsi="Times New Roman" w:cs="Times New Roman"/>
          <w:sz w:val="20"/>
          <w:szCs w:val="20"/>
        </w:rPr>
        <w:t xml:space="preserve"> Appeal Judgement, </w:t>
      </w:r>
      <w:r w:rsidRPr="001A359E">
        <w:rPr>
          <w:rFonts w:ascii="Times New Roman" w:hAnsi="Times New Roman" w:cs="Times New Roman"/>
          <w:i/>
          <w:sz w:val="20"/>
          <w:szCs w:val="20"/>
        </w:rPr>
        <w:t>supra</w:t>
      </w:r>
      <w:r>
        <w:rPr>
          <w:rFonts w:ascii="Times New Roman" w:hAnsi="Times New Roman" w:cs="Times New Roman"/>
          <w:sz w:val="20"/>
          <w:szCs w:val="20"/>
        </w:rPr>
        <w:t xml:space="preserve"> note 11, </w:t>
      </w:r>
      <w:r w:rsidRPr="00135614">
        <w:rPr>
          <w:rFonts w:ascii="Times New Roman" w:hAnsi="Times New Roman" w:cs="Times New Roman"/>
          <w:sz w:val="20"/>
          <w:szCs w:val="20"/>
        </w:rPr>
        <w:t>para. 462.</w:t>
      </w:r>
    </w:p>
  </w:footnote>
  <w:footnote w:id="94">
    <w:p w14:paraId="4C90A5CD" w14:textId="082FB132" w:rsidR="0079099C" w:rsidRPr="00135614" w:rsidRDefault="0079099C" w:rsidP="00A818E2">
      <w:pPr>
        <w:pStyle w:val="FootnoteText"/>
        <w:spacing w:after="0" w:line="240" w:lineRule="auto"/>
        <w:jc w:val="both"/>
        <w:rPr>
          <w:rFonts w:ascii="Times New Roman" w:hAnsi="Times New Roman" w:cs="Times New Roman"/>
          <w:sz w:val="20"/>
          <w:szCs w:val="20"/>
          <w:lang w:val="en-US"/>
        </w:rPr>
      </w:pPr>
      <w:r w:rsidRPr="00135614">
        <w:rPr>
          <w:rStyle w:val="FootnoteReference"/>
          <w:rFonts w:ascii="Times New Roman" w:hAnsi="Times New Roman" w:cs="Times New Roman"/>
          <w:sz w:val="20"/>
          <w:szCs w:val="20"/>
        </w:rPr>
        <w:footnoteRef/>
      </w:r>
      <w:r w:rsidRPr="00135614">
        <w:rPr>
          <w:rFonts w:ascii="Times New Roman" w:hAnsi="Times New Roman" w:cs="Times New Roman"/>
          <w:i/>
          <w:sz w:val="20"/>
          <w:szCs w:val="20"/>
        </w:rPr>
        <w:t xml:space="preserve"> Lubanga</w:t>
      </w:r>
      <w:r w:rsidRPr="00135614">
        <w:rPr>
          <w:rFonts w:ascii="Times New Roman" w:hAnsi="Times New Roman" w:cs="Times New Roman"/>
          <w:sz w:val="20"/>
          <w:szCs w:val="20"/>
        </w:rPr>
        <w:t xml:space="preserve"> Appeal Judgement, </w:t>
      </w:r>
      <w:r w:rsidRPr="001A359E">
        <w:rPr>
          <w:rFonts w:ascii="Times New Roman" w:hAnsi="Times New Roman" w:cs="Times New Roman"/>
          <w:i/>
          <w:sz w:val="20"/>
          <w:szCs w:val="20"/>
        </w:rPr>
        <w:t>supra</w:t>
      </w:r>
      <w:r>
        <w:rPr>
          <w:rFonts w:ascii="Times New Roman" w:hAnsi="Times New Roman" w:cs="Times New Roman"/>
          <w:sz w:val="20"/>
          <w:szCs w:val="20"/>
        </w:rPr>
        <w:t xml:space="preserve"> note 11, </w:t>
      </w:r>
      <w:r w:rsidRPr="00135614">
        <w:rPr>
          <w:rFonts w:ascii="Times New Roman" w:hAnsi="Times New Roman" w:cs="Times New Roman"/>
          <w:sz w:val="20"/>
          <w:szCs w:val="20"/>
        </w:rPr>
        <w:t xml:space="preserve">para. 462 citing Ambos, </w:t>
      </w:r>
      <w:r w:rsidRPr="00135614">
        <w:rPr>
          <w:rFonts w:ascii="Times New Roman" w:hAnsi="Times New Roman" w:cs="Times New Roman"/>
          <w:i/>
          <w:sz w:val="20"/>
          <w:szCs w:val="20"/>
        </w:rPr>
        <w:t>supra</w:t>
      </w:r>
      <w:r w:rsidRPr="00135614">
        <w:rPr>
          <w:rFonts w:ascii="Times New Roman" w:hAnsi="Times New Roman" w:cs="Times New Roman"/>
          <w:sz w:val="20"/>
          <w:szCs w:val="20"/>
        </w:rPr>
        <w:t xml:space="preserve"> note 55, p. 146.</w:t>
      </w:r>
    </w:p>
  </w:footnote>
  <w:footnote w:id="95">
    <w:p w14:paraId="6D011320" w14:textId="29403946" w:rsidR="0079099C" w:rsidRPr="00135614" w:rsidRDefault="0079099C" w:rsidP="00A818E2">
      <w:pPr>
        <w:pStyle w:val="FootnoteText"/>
        <w:spacing w:after="0" w:line="240" w:lineRule="auto"/>
        <w:jc w:val="both"/>
        <w:rPr>
          <w:rFonts w:ascii="Times New Roman" w:hAnsi="Times New Roman" w:cs="Times New Roman"/>
          <w:sz w:val="20"/>
          <w:szCs w:val="20"/>
          <w:lang w:val="en-US"/>
        </w:rPr>
      </w:pPr>
      <w:r w:rsidRPr="00135614">
        <w:rPr>
          <w:rStyle w:val="FootnoteReference"/>
          <w:rFonts w:ascii="Times New Roman" w:hAnsi="Times New Roman" w:cs="Times New Roman"/>
          <w:sz w:val="20"/>
          <w:szCs w:val="20"/>
        </w:rPr>
        <w:footnoteRef/>
      </w:r>
      <w:r w:rsidRPr="00135614">
        <w:rPr>
          <w:rFonts w:ascii="Times New Roman" w:hAnsi="Times New Roman" w:cs="Times New Roman"/>
          <w:sz w:val="20"/>
          <w:szCs w:val="20"/>
        </w:rPr>
        <w:t xml:space="preserve"> </w:t>
      </w:r>
      <w:r w:rsidRPr="00135614">
        <w:rPr>
          <w:rFonts w:ascii="Times New Roman" w:hAnsi="Times New Roman" w:cs="Times New Roman"/>
          <w:i/>
          <w:sz w:val="20"/>
          <w:szCs w:val="20"/>
        </w:rPr>
        <w:t>Ibid,</w:t>
      </w:r>
      <w:r w:rsidRPr="00135614">
        <w:rPr>
          <w:rFonts w:ascii="Times New Roman" w:hAnsi="Times New Roman" w:cs="Times New Roman"/>
          <w:sz w:val="20"/>
          <w:szCs w:val="20"/>
        </w:rPr>
        <w:t xml:space="preserve"> paras. 1382; 1388. </w:t>
      </w:r>
      <w:r w:rsidRPr="00135614">
        <w:rPr>
          <w:rFonts w:ascii="Times New Roman" w:hAnsi="Times New Roman" w:cs="Times New Roman"/>
          <w:i/>
          <w:sz w:val="20"/>
          <w:szCs w:val="20"/>
        </w:rPr>
        <w:t>Cf.</w:t>
      </w:r>
      <w:r w:rsidRPr="00135614">
        <w:rPr>
          <w:rFonts w:ascii="Times New Roman" w:hAnsi="Times New Roman" w:cs="Times New Roman"/>
          <w:sz w:val="20"/>
          <w:szCs w:val="20"/>
        </w:rPr>
        <w:t xml:space="preserve"> Minority Opinion of Judge van den Wyngaert, </w:t>
      </w:r>
      <w:r w:rsidRPr="00C35F07">
        <w:rPr>
          <w:rFonts w:ascii="Times New Roman" w:hAnsi="Times New Roman" w:cs="Times New Roman"/>
          <w:i/>
          <w:sz w:val="20"/>
          <w:szCs w:val="20"/>
        </w:rPr>
        <w:t>supra</w:t>
      </w:r>
      <w:r>
        <w:rPr>
          <w:rFonts w:ascii="Times New Roman" w:hAnsi="Times New Roman" w:cs="Times New Roman"/>
          <w:sz w:val="20"/>
          <w:szCs w:val="20"/>
        </w:rPr>
        <w:t xml:space="preserve"> note 8, </w:t>
      </w:r>
      <w:r w:rsidRPr="00135614">
        <w:rPr>
          <w:rFonts w:ascii="Times New Roman" w:hAnsi="Times New Roman" w:cs="Times New Roman"/>
          <w:sz w:val="20"/>
          <w:szCs w:val="20"/>
        </w:rPr>
        <w:t>para. 281.</w:t>
      </w:r>
    </w:p>
  </w:footnote>
  <w:footnote w:id="96">
    <w:p w14:paraId="5D479980" w14:textId="0472A810" w:rsidR="0079099C" w:rsidRPr="00135614" w:rsidRDefault="0079099C" w:rsidP="00A818E2">
      <w:pPr>
        <w:pStyle w:val="FootnoteText"/>
        <w:spacing w:after="0" w:line="240" w:lineRule="auto"/>
        <w:jc w:val="both"/>
        <w:rPr>
          <w:rFonts w:ascii="Times New Roman" w:hAnsi="Times New Roman" w:cs="Times New Roman"/>
          <w:sz w:val="20"/>
          <w:szCs w:val="20"/>
          <w:lang w:val="en-US"/>
        </w:rPr>
      </w:pPr>
      <w:r w:rsidRPr="00135614">
        <w:rPr>
          <w:rStyle w:val="FootnoteReference"/>
          <w:rFonts w:ascii="Times New Roman" w:hAnsi="Times New Roman" w:cs="Times New Roman"/>
          <w:sz w:val="20"/>
          <w:szCs w:val="20"/>
        </w:rPr>
        <w:footnoteRef/>
      </w:r>
      <w:r w:rsidRPr="00135614">
        <w:rPr>
          <w:rFonts w:ascii="Times New Roman" w:hAnsi="Times New Roman" w:cs="Times New Roman"/>
          <w:sz w:val="20"/>
          <w:szCs w:val="20"/>
        </w:rPr>
        <w:t xml:space="preserve"> </w:t>
      </w:r>
      <w:r w:rsidRPr="00135614">
        <w:rPr>
          <w:rFonts w:ascii="Times New Roman" w:hAnsi="Times New Roman" w:cs="Times New Roman"/>
          <w:i/>
          <w:sz w:val="20"/>
          <w:szCs w:val="20"/>
        </w:rPr>
        <w:t xml:space="preserve">Katanga </w:t>
      </w:r>
      <w:r w:rsidRPr="00135614">
        <w:rPr>
          <w:rFonts w:ascii="Times New Roman" w:hAnsi="Times New Roman" w:cs="Times New Roman"/>
          <w:sz w:val="20"/>
          <w:szCs w:val="20"/>
        </w:rPr>
        <w:t xml:space="preserve">Judgement, </w:t>
      </w:r>
      <w:r w:rsidRPr="002C4E23">
        <w:rPr>
          <w:rFonts w:ascii="Times New Roman" w:hAnsi="Times New Roman" w:cs="Times New Roman"/>
          <w:i/>
          <w:sz w:val="20"/>
          <w:szCs w:val="20"/>
        </w:rPr>
        <w:t>supra</w:t>
      </w:r>
      <w:r>
        <w:rPr>
          <w:rFonts w:ascii="Times New Roman" w:hAnsi="Times New Roman" w:cs="Times New Roman"/>
          <w:sz w:val="20"/>
          <w:szCs w:val="20"/>
        </w:rPr>
        <w:t xml:space="preserve"> note 8, </w:t>
      </w:r>
      <w:r w:rsidRPr="00135614">
        <w:rPr>
          <w:rFonts w:ascii="Times New Roman" w:hAnsi="Times New Roman" w:cs="Times New Roman"/>
          <w:sz w:val="20"/>
          <w:szCs w:val="20"/>
        </w:rPr>
        <w:t>para. 1395.</w:t>
      </w:r>
    </w:p>
  </w:footnote>
  <w:footnote w:id="97">
    <w:p w14:paraId="1ED8AC7A" w14:textId="1CCF3E4C" w:rsidR="0079099C" w:rsidRPr="00135614" w:rsidRDefault="0079099C" w:rsidP="00A818E2">
      <w:pPr>
        <w:pStyle w:val="FootnoteText"/>
        <w:spacing w:after="0" w:line="240" w:lineRule="auto"/>
        <w:jc w:val="both"/>
        <w:rPr>
          <w:rFonts w:ascii="Times New Roman" w:hAnsi="Times New Roman" w:cs="Times New Roman"/>
          <w:sz w:val="20"/>
          <w:szCs w:val="20"/>
          <w:lang w:val="en-US"/>
        </w:rPr>
      </w:pPr>
      <w:r w:rsidRPr="00135614">
        <w:rPr>
          <w:rStyle w:val="FootnoteReference"/>
          <w:rFonts w:ascii="Times New Roman" w:hAnsi="Times New Roman" w:cs="Times New Roman"/>
          <w:sz w:val="20"/>
          <w:szCs w:val="20"/>
        </w:rPr>
        <w:footnoteRef/>
      </w:r>
      <w:r w:rsidRPr="00135614">
        <w:rPr>
          <w:rFonts w:ascii="Times New Roman" w:hAnsi="Times New Roman" w:cs="Times New Roman"/>
          <w:sz w:val="20"/>
          <w:szCs w:val="20"/>
        </w:rPr>
        <w:t xml:space="preserve"> </w:t>
      </w:r>
      <w:r w:rsidRPr="00135614">
        <w:rPr>
          <w:rFonts w:ascii="Times New Roman" w:hAnsi="Times New Roman" w:cs="Times New Roman"/>
          <w:i/>
          <w:sz w:val="20"/>
          <w:szCs w:val="20"/>
        </w:rPr>
        <w:t>Ibid,</w:t>
      </w:r>
      <w:r w:rsidRPr="00135614">
        <w:rPr>
          <w:rFonts w:ascii="Times New Roman" w:hAnsi="Times New Roman" w:cs="Times New Roman"/>
          <w:sz w:val="20"/>
          <w:szCs w:val="20"/>
        </w:rPr>
        <w:t xml:space="preserve"> paras. 1391, 1392.</w:t>
      </w:r>
    </w:p>
  </w:footnote>
  <w:footnote w:id="98">
    <w:p w14:paraId="1489DF19" w14:textId="27555CB5" w:rsidR="0079099C" w:rsidRPr="00135614" w:rsidRDefault="0079099C" w:rsidP="00A818E2">
      <w:pPr>
        <w:widowControl w:val="0"/>
        <w:autoSpaceDE w:val="0"/>
        <w:autoSpaceDN w:val="0"/>
        <w:adjustRightInd w:val="0"/>
        <w:spacing w:after="0" w:line="240" w:lineRule="auto"/>
        <w:jc w:val="both"/>
        <w:rPr>
          <w:rFonts w:ascii="Times New Roman" w:hAnsi="Times New Roman" w:cs="Times New Roman"/>
          <w:sz w:val="20"/>
          <w:szCs w:val="20"/>
        </w:rPr>
      </w:pPr>
      <w:r w:rsidRPr="00135614">
        <w:rPr>
          <w:rStyle w:val="FootnoteReference"/>
          <w:rFonts w:ascii="Times New Roman" w:hAnsi="Times New Roman" w:cs="Times New Roman"/>
          <w:sz w:val="20"/>
          <w:szCs w:val="20"/>
        </w:rPr>
        <w:footnoteRef/>
      </w:r>
      <w:r w:rsidRPr="00135614">
        <w:rPr>
          <w:rFonts w:ascii="Times New Roman" w:hAnsi="Times New Roman" w:cs="Times New Roman"/>
          <w:sz w:val="20"/>
          <w:szCs w:val="20"/>
        </w:rPr>
        <w:t xml:space="preserve"> See </w:t>
      </w:r>
      <w:r w:rsidRPr="00135614">
        <w:rPr>
          <w:rFonts w:ascii="Times New Roman" w:hAnsi="Times New Roman" w:cs="Times New Roman"/>
          <w:i/>
          <w:sz w:val="20"/>
          <w:szCs w:val="20"/>
        </w:rPr>
        <w:t xml:space="preserve">Katanga </w:t>
      </w:r>
      <w:r w:rsidRPr="00135614">
        <w:rPr>
          <w:rFonts w:ascii="Times New Roman" w:hAnsi="Times New Roman" w:cs="Times New Roman"/>
          <w:sz w:val="20"/>
          <w:szCs w:val="20"/>
        </w:rPr>
        <w:t xml:space="preserve">Judgement, </w:t>
      </w:r>
      <w:r w:rsidRPr="002C4E23">
        <w:rPr>
          <w:rFonts w:ascii="Times New Roman" w:hAnsi="Times New Roman" w:cs="Times New Roman"/>
          <w:i/>
          <w:sz w:val="20"/>
          <w:szCs w:val="20"/>
        </w:rPr>
        <w:t>supra</w:t>
      </w:r>
      <w:r>
        <w:rPr>
          <w:rFonts w:ascii="Times New Roman" w:hAnsi="Times New Roman" w:cs="Times New Roman"/>
          <w:sz w:val="20"/>
          <w:szCs w:val="20"/>
        </w:rPr>
        <w:t xml:space="preserve"> note 8, </w:t>
      </w:r>
      <w:r w:rsidRPr="00135614">
        <w:rPr>
          <w:rFonts w:ascii="Times New Roman" w:hAnsi="Times New Roman" w:cs="Times New Roman"/>
          <w:sz w:val="20"/>
          <w:szCs w:val="20"/>
        </w:rPr>
        <w:t xml:space="preserve">para. 1395. See also Sadat and Jolly, </w:t>
      </w:r>
      <w:r w:rsidRPr="00135614">
        <w:rPr>
          <w:rFonts w:ascii="Times New Roman" w:hAnsi="Times New Roman" w:cs="Times New Roman"/>
          <w:i/>
          <w:sz w:val="20"/>
          <w:szCs w:val="20"/>
        </w:rPr>
        <w:t>supra</w:t>
      </w:r>
      <w:r w:rsidRPr="00135614">
        <w:rPr>
          <w:rFonts w:ascii="Times New Roman" w:hAnsi="Times New Roman" w:cs="Times New Roman"/>
          <w:sz w:val="20"/>
          <w:szCs w:val="20"/>
        </w:rPr>
        <w:t xml:space="preserve"> note 4, p. 784.</w:t>
      </w:r>
    </w:p>
  </w:footnote>
  <w:footnote w:id="99">
    <w:p w14:paraId="08408F56" w14:textId="76DF35D6" w:rsidR="0079099C" w:rsidRPr="00135614" w:rsidRDefault="0079099C" w:rsidP="00A818E2">
      <w:pPr>
        <w:pStyle w:val="FootnoteText"/>
        <w:spacing w:after="0" w:line="240" w:lineRule="auto"/>
        <w:jc w:val="both"/>
        <w:rPr>
          <w:rFonts w:ascii="Times New Roman" w:hAnsi="Times New Roman" w:cs="Times New Roman"/>
          <w:sz w:val="20"/>
          <w:szCs w:val="20"/>
          <w:lang w:val="en-US"/>
        </w:rPr>
      </w:pPr>
      <w:r w:rsidRPr="00135614">
        <w:rPr>
          <w:rStyle w:val="FootnoteReference"/>
          <w:rFonts w:ascii="Times New Roman" w:hAnsi="Times New Roman" w:cs="Times New Roman"/>
          <w:sz w:val="20"/>
          <w:szCs w:val="20"/>
        </w:rPr>
        <w:footnoteRef/>
      </w:r>
      <w:r w:rsidRPr="00135614">
        <w:rPr>
          <w:rFonts w:ascii="Times New Roman" w:hAnsi="Times New Roman" w:cs="Times New Roman"/>
          <w:sz w:val="20"/>
          <w:szCs w:val="20"/>
        </w:rPr>
        <w:t xml:space="preserve"> </w:t>
      </w:r>
      <w:r w:rsidRPr="00135614">
        <w:rPr>
          <w:rFonts w:ascii="Times New Roman" w:hAnsi="Times New Roman" w:cs="Times New Roman"/>
          <w:i/>
          <w:sz w:val="20"/>
          <w:szCs w:val="20"/>
        </w:rPr>
        <w:t>Ibid,</w:t>
      </w:r>
      <w:r w:rsidRPr="00135614">
        <w:rPr>
          <w:rFonts w:ascii="Times New Roman" w:hAnsi="Times New Roman" w:cs="Times New Roman"/>
          <w:sz w:val="20"/>
          <w:szCs w:val="20"/>
        </w:rPr>
        <w:t xml:space="preserve"> para. 1406.</w:t>
      </w:r>
    </w:p>
  </w:footnote>
  <w:footnote w:id="100">
    <w:p w14:paraId="2FC79422" w14:textId="5541420B" w:rsidR="0079099C" w:rsidRPr="00135614" w:rsidRDefault="0079099C" w:rsidP="00A818E2">
      <w:pPr>
        <w:pStyle w:val="FootnoteText"/>
        <w:spacing w:after="0" w:line="240" w:lineRule="auto"/>
        <w:jc w:val="both"/>
        <w:rPr>
          <w:rFonts w:ascii="Times New Roman" w:hAnsi="Times New Roman" w:cs="Times New Roman"/>
          <w:sz w:val="20"/>
          <w:szCs w:val="20"/>
          <w:lang w:val="en-US"/>
        </w:rPr>
      </w:pPr>
      <w:r w:rsidRPr="00135614">
        <w:rPr>
          <w:rStyle w:val="FootnoteReference"/>
          <w:rFonts w:ascii="Times New Roman" w:hAnsi="Times New Roman" w:cs="Times New Roman"/>
          <w:sz w:val="20"/>
          <w:szCs w:val="20"/>
        </w:rPr>
        <w:footnoteRef/>
      </w:r>
      <w:r w:rsidRPr="00135614">
        <w:rPr>
          <w:rFonts w:ascii="Times New Roman" w:hAnsi="Times New Roman" w:cs="Times New Roman"/>
          <w:sz w:val="20"/>
          <w:szCs w:val="20"/>
        </w:rPr>
        <w:t xml:space="preserve"> </w:t>
      </w:r>
      <w:r w:rsidRPr="00135614">
        <w:rPr>
          <w:rFonts w:ascii="Times New Roman" w:hAnsi="Times New Roman" w:cs="Times New Roman"/>
          <w:i/>
          <w:sz w:val="20"/>
          <w:szCs w:val="20"/>
        </w:rPr>
        <w:t>Ibid,</w:t>
      </w:r>
      <w:r w:rsidRPr="00135614">
        <w:rPr>
          <w:rFonts w:ascii="Times New Roman" w:hAnsi="Times New Roman" w:cs="Times New Roman"/>
          <w:sz w:val="20"/>
          <w:szCs w:val="20"/>
        </w:rPr>
        <w:t xml:space="preserve"> para. 1409.</w:t>
      </w:r>
    </w:p>
  </w:footnote>
  <w:footnote w:id="101">
    <w:p w14:paraId="168AB78B" w14:textId="726FD658" w:rsidR="0079099C" w:rsidRPr="00135614" w:rsidRDefault="0079099C" w:rsidP="00A818E2">
      <w:pPr>
        <w:pStyle w:val="FootnoteText"/>
        <w:spacing w:after="0" w:line="240" w:lineRule="auto"/>
        <w:jc w:val="both"/>
        <w:rPr>
          <w:rFonts w:ascii="Times New Roman" w:hAnsi="Times New Roman" w:cs="Times New Roman"/>
          <w:sz w:val="20"/>
          <w:szCs w:val="20"/>
          <w:lang w:val="en-US"/>
        </w:rPr>
      </w:pPr>
      <w:r w:rsidRPr="00135614">
        <w:rPr>
          <w:rStyle w:val="FootnoteReference"/>
          <w:rFonts w:ascii="Times New Roman" w:hAnsi="Times New Roman" w:cs="Times New Roman"/>
          <w:sz w:val="20"/>
          <w:szCs w:val="20"/>
        </w:rPr>
        <w:footnoteRef/>
      </w:r>
      <w:r w:rsidRPr="00135614">
        <w:rPr>
          <w:rFonts w:ascii="Times New Roman" w:hAnsi="Times New Roman" w:cs="Times New Roman"/>
          <w:sz w:val="20"/>
          <w:szCs w:val="20"/>
        </w:rPr>
        <w:t xml:space="preserve"> </w:t>
      </w:r>
      <w:r w:rsidRPr="00135614">
        <w:rPr>
          <w:rFonts w:ascii="Times New Roman" w:hAnsi="Times New Roman" w:cs="Times New Roman"/>
          <w:i/>
          <w:sz w:val="20"/>
          <w:szCs w:val="20"/>
        </w:rPr>
        <w:t>Ibid,</w:t>
      </w:r>
      <w:r w:rsidRPr="00135614">
        <w:rPr>
          <w:rFonts w:ascii="Times New Roman" w:hAnsi="Times New Roman" w:cs="Times New Roman"/>
          <w:sz w:val="20"/>
          <w:szCs w:val="20"/>
        </w:rPr>
        <w:t xml:space="preserve"> para. 1411.</w:t>
      </w:r>
    </w:p>
  </w:footnote>
  <w:footnote w:id="102">
    <w:p w14:paraId="62B00525" w14:textId="6750D019" w:rsidR="0079099C" w:rsidRPr="00135614" w:rsidRDefault="0079099C" w:rsidP="00A818E2">
      <w:pPr>
        <w:pStyle w:val="FootnoteText"/>
        <w:spacing w:after="0" w:line="240" w:lineRule="auto"/>
        <w:jc w:val="both"/>
        <w:rPr>
          <w:rFonts w:ascii="Times New Roman" w:hAnsi="Times New Roman" w:cs="Times New Roman"/>
          <w:sz w:val="20"/>
          <w:szCs w:val="20"/>
          <w:lang w:val="en-US"/>
        </w:rPr>
      </w:pPr>
      <w:r w:rsidRPr="00135614">
        <w:rPr>
          <w:rStyle w:val="FootnoteReference"/>
          <w:rFonts w:ascii="Times New Roman" w:hAnsi="Times New Roman" w:cs="Times New Roman"/>
          <w:sz w:val="20"/>
          <w:szCs w:val="20"/>
        </w:rPr>
        <w:footnoteRef/>
      </w:r>
      <w:r w:rsidRPr="00135614">
        <w:rPr>
          <w:rFonts w:ascii="Times New Roman" w:hAnsi="Times New Roman" w:cs="Times New Roman"/>
          <w:sz w:val="20"/>
          <w:szCs w:val="20"/>
        </w:rPr>
        <w:t xml:space="preserve"> </w:t>
      </w:r>
      <w:r w:rsidRPr="00135614">
        <w:rPr>
          <w:rFonts w:ascii="Times New Roman" w:hAnsi="Times New Roman" w:cs="Times New Roman"/>
          <w:i/>
          <w:sz w:val="20"/>
          <w:szCs w:val="20"/>
        </w:rPr>
        <w:t>Ibid,</w:t>
      </w:r>
      <w:r w:rsidRPr="00135614">
        <w:rPr>
          <w:rFonts w:ascii="Times New Roman" w:hAnsi="Times New Roman" w:cs="Times New Roman"/>
          <w:sz w:val="20"/>
          <w:szCs w:val="20"/>
        </w:rPr>
        <w:t xml:space="preserve"> para. 1418.</w:t>
      </w:r>
    </w:p>
  </w:footnote>
  <w:footnote w:id="103">
    <w:p w14:paraId="2F148BCF" w14:textId="49C3EA95" w:rsidR="0079099C" w:rsidRPr="00135614" w:rsidRDefault="0079099C" w:rsidP="00A818E2">
      <w:pPr>
        <w:pStyle w:val="FootnoteText"/>
        <w:spacing w:after="0" w:line="240" w:lineRule="auto"/>
        <w:jc w:val="both"/>
        <w:rPr>
          <w:rFonts w:ascii="Times New Roman" w:hAnsi="Times New Roman" w:cs="Times New Roman"/>
          <w:sz w:val="20"/>
          <w:szCs w:val="20"/>
        </w:rPr>
      </w:pPr>
      <w:r w:rsidRPr="00135614">
        <w:rPr>
          <w:rStyle w:val="FootnoteReference"/>
          <w:rFonts w:ascii="Times New Roman" w:eastAsiaTheme="majorEastAsia" w:hAnsi="Times New Roman" w:cs="Times New Roman"/>
          <w:sz w:val="20"/>
          <w:szCs w:val="20"/>
        </w:rPr>
        <w:footnoteRef/>
      </w:r>
      <w:r w:rsidRPr="00135614">
        <w:rPr>
          <w:rFonts w:ascii="Times New Roman" w:hAnsi="Times New Roman" w:cs="Times New Roman"/>
          <w:sz w:val="20"/>
          <w:szCs w:val="20"/>
        </w:rPr>
        <w:t xml:space="preserve"> Resolution, adopted by the General Assembly on the report of the Sixth Committee (a/52/653) 52/164,15 December 1997, Article 2(3).</w:t>
      </w:r>
    </w:p>
  </w:footnote>
  <w:footnote w:id="104">
    <w:p w14:paraId="42444A68" w14:textId="77777777" w:rsidR="0079099C" w:rsidRPr="00135614" w:rsidRDefault="0079099C" w:rsidP="00A818E2">
      <w:pPr>
        <w:pStyle w:val="FootnoteText"/>
        <w:spacing w:after="0" w:line="240" w:lineRule="auto"/>
        <w:jc w:val="both"/>
        <w:rPr>
          <w:rFonts w:ascii="Times New Roman" w:hAnsi="Times New Roman" w:cs="Times New Roman"/>
          <w:sz w:val="20"/>
          <w:szCs w:val="20"/>
        </w:rPr>
      </w:pPr>
      <w:r w:rsidRPr="00135614">
        <w:rPr>
          <w:rStyle w:val="FootnoteReference"/>
          <w:rFonts w:ascii="Times New Roman" w:eastAsiaTheme="majorEastAsia" w:hAnsi="Times New Roman" w:cs="Times New Roman"/>
          <w:sz w:val="20"/>
          <w:szCs w:val="20"/>
        </w:rPr>
        <w:footnoteRef/>
      </w:r>
      <w:r w:rsidRPr="00135614">
        <w:rPr>
          <w:rFonts w:ascii="Times New Roman" w:hAnsi="Times New Roman" w:cs="Times New Roman"/>
          <w:sz w:val="20"/>
          <w:szCs w:val="20"/>
        </w:rPr>
        <w:t xml:space="preserve"> DOCUMENT A/CONF.183/C.1/WGGP/L3.</w:t>
      </w:r>
    </w:p>
  </w:footnote>
  <w:footnote w:id="105">
    <w:p w14:paraId="50E75930" w14:textId="55390362" w:rsidR="0079099C" w:rsidRPr="00135614" w:rsidRDefault="0079099C" w:rsidP="00A818E2">
      <w:pPr>
        <w:widowControl w:val="0"/>
        <w:autoSpaceDE w:val="0"/>
        <w:autoSpaceDN w:val="0"/>
        <w:adjustRightInd w:val="0"/>
        <w:spacing w:after="0" w:line="240" w:lineRule="auto"/>
        <w:jc w:val="both"/>
        <w:rPr>
          <w:rFonts w:ascii="Times New Roman" w:hAnsi="Times New Roman" w:cs="Times New Roman"/>
          <w:sz w:val="20"/>
          <w:szCs w:val="20"/>
        </w:rPr>
      </w:pPr>
      <w:r w:rsidRPr="00135614">
        <w:rPr>
          <w:rStyle w:val="FootnoteReference"/>
          <w:rFonts w:ascii="Times New Roman" w:hAnsi="Times New Roman" w:cs="Times New Roman"/>
          <w:sz w:val="20"/>
          <w:szCs w:val="20"/>
        </w:rPr>
        <w:footnoteRef/>
      </w:r>
      <w:r w:rsidRPr="00135614">
        <w:rPr>
          <w:rFonts w:ascii="Times New Roman" w:hAnsi="Times New Roman" w:cs="Times New Roman"/>
          <w:sz w:val="20"/>
          <w:szCs w:val="20"/>
        </w:rPr>
        <w:t xml:space="preserve"> Working paper submitted by Canada, Germany, Netherlands and the United Kingdom, A/AC.249/1997/WG.2/DAT1; Report of the ICC Preparatory Committee, DOCUMENT A/CONF.183/2, p 31.</w:t>
      </w:r>
    </w:p>
  </w:footnote>
  <w:footnote w:id="106">
    <w:p w14:paraId="5655655F" w14:textId="449A1C6B" w:rsidR="0079099C" w:rsidRPr="00135614" w:rsidRDefault="0079099C" w:rsidP="00A818E2">
      <w:pPr>
        <w:widowControl w:val="0"/>
        <w:autoSpaceDE w:val="0"/>
        <w:autoSpaceDN w:val="0"/>
        <w:adjustRightInd w:val="0"/>
        <w:spacing w:after="0" w:line="240" w:lineRule="auto"/>
        <w:jc w:val="both"/>
        <w:rPr>
          <w:rFonts w:ascii="Times New Roman" w:hAnsi="Times New Roman" w:cs="Times New Roman"/>
          <w:sz w:val="20"/>
          <w:szCs w:val="20"/>
        </w:rPr>
      </w:pPr>
      <w:r w:rsidRPr="00135614">
        <w:rPr>
          <w:rStyle w:val="FootnoteReference"/>
          <w:rFonts w:ascii="Times New Roman" w:hAnsi="Times New Roman" w:cs="Times New Roman"/>
          <w:sz w:val="20"/>
          <w:szCs w:val="20"/>
        </w:rPr>
        <w:footnoteRef/>
      </w:r>
      <w:r w:rsidRPr="00135614">
        <w:rPr>
          <w:rFonts w:ascii="Times New Roman" w:hAnsi="Times New Roman" w:cs="Times New Roman"/>
          <w:sz w:val="20"/>
          <w:szCs w:val="20"/>
        </w:rPr>
        <w:t xml:space="preserve"> Report of the ICC Preparatory Committee, DOCUMENT A/CONF.183/2, p. 31, ft. 74.</w:t>
      </w:r>
    </w:p>
  </w:footnote>
  <w:footnote w:id="107">
    <w:p w14:paraId="251ECCAC" w14:textId="77777777" w:rsidR="0079099C" w:rsidRPr="00135614" w:rsidRDefault="0079099C" w:rsidP="00A818E2">
      <w:pPr>
        <w:pStyle w:val="FootnoteText"/>
        <w:spacing w:after="0" w:line="240" w:lineRule="auto"/>
        <w:jc w:val="both"/>
        <w:rPr>
          <w:rFonts w:ascii="Times New Roman" w:hAnsi="Times New Roman" w:cs="Times New Roman"/>
          <w:sz w:val="20"/>
          <w:szCs w:val="20"/>
        </w:rPr>
      </w:pPr>
      <w:r w:rsidRPr="00135614">
        <w:rPr>
          <w:rStyle w:val="FootnoteReference"/>
          <w:rFonts w:ascii="Times New Roman" w:eastAsiaTheme="majorEastAsia" w:hAnsi="Times New Roman" w:cs="Times New Roman"/>
          <w:sz w:val="20"/>
          <w:szCs w:val="20"/>
        </w:rPr>
        <w:footnoteRef/>
      </w:r>
      <w:r w:rsidRPr="00135614">
        <w:rPr>
          <w:rFonts w:ascii="Times New Roman" w:hAnsi="Times New Roman" w:cs="Times New Roman"/>
          <w:sz w:val="20"/>
          <w:szCs w:val="20"/>
        </w:rPr>
        <w:t xml:space="preserve"> Article 2(3)(e) of the International Law Commission's 'Draft Code of Crimes against the Peace and Security of Mankind' (1996). See Charter of the Nuremberg International Military Tribunal, Article 6; ICTY Statute, Article 7(1); ICTR Statute, Article 6(1).</w:t>
      </w:r>
    </w:p>
  </w:footnote>
  <w:footnote w:id="108">
    <w:p w14:paraId="299EB030" w14:textId="69C19EB8" w:rsidR="0079099C" w:rsidRPr="00135614" w:rsidRDefault="0079099C" w:rsidP="00A818E2">
      <w:pPr>
        <w:widowControl w:val="0"/>
        <w:autoSpaceDE w:val="0"/>
        <w:autoSpaceDN w:val="0"/>
        <w:adjustRightInd w:val="0"/>
        <w:spacing w:after="0" w:line="240" w:lineRule="auto"/>
        <w:jc w:val="both"/>
        <w:rPr>
          <w:rFonts w:ascii="Times New Roman" w:hAnsi="Times New Roman" w:cs="Times New Roman"/>
          <w:sz w:val="20"/>
          <w:szCs w:val="20"/>
          <w:lang w:val="en-US"/>
        </w:rPr>
      </w:pPr>
      <w:r w:rsidRPr="00135614">
        <w:rPr>
          <w:rStyle w:val="FootnoteReference"/>
          <w:rFonts w:ascii="Times New Roman" w:eastAsiaTheme="majorEastAsia" w:hAnsi="Times New Roman" w:cs="Times New Roman"/>
          <w:sz w:val="20"/>
          <w:szCs w:val="20"/>
        </w:rPr>
        <w:footnoteRef/>
      </w:r>
      <w:r w:rsidRPr="006307AA">
        <w:rPr>
          <w:rFonts w:ascii="Times New Roman" w:hAnsi="Times New Roman" w:cs="Times New Roman"/>
          <w:sz w:val="20"/>
          <w:szCs w:val="20"/>
          <w:lang w:val="pt-BR"/>
        </w:rPr>
        <w:t xml:space="preserve"> </w:t>
      </w:r>
      <w:r w:rsidRPr="006307AA">
        <w:rPr>
          <w:rFonts w:ascii="Times New Roman" w:hAnsi="Times New Roman" w:cs="Times New Roman"/>
          <w:i/>
          <w:sz w:val="20"/>
          <w:szCs w:val="20"/>
          <w:lang w:val="pt-BR"/>
        </w:rPr>
        <w:t>Katanga</w:t>
      </w:r>
      <w:r w:rsidRPr="006307AA">
        <w:rPr>
          <w:rFonts w:ascii="Times New Roman" w:hAnsi="Times New Roman" w:cs="Times New Roman"/>
          <w:sz w:val="20"/>
          <w:szCs w:val="20"/>
          <w:lang w:val="pt-BR"/>
        </w:rPr>
        <w:t xml:space="preserve"> Judgement, </w:t>
      </w:r>
      <w:r w:rsidRPr="006307AA">
        <w:rPr>
          <w:rFonts w:ascii="Times New Roman" w:hAnsi="Times New Roman" w:cs="Times New Roman"/>
          <w:i/>
          <w:sz w:val="20"/>
          <w:szCs w:val="20"/>
          <w:lang w:val="pt-BR"/>
        </w:rPr>
        <w:t>supra</w:t>
      </w:r>
      <w:r w:rsidRPr="006307AA">
        <w:rPr>
          <w:rFonts w:ascii="Times New Roman" w:hAnsi="Times New Roman" w:cs="Times New Roman"/>
          <w:sz w:val="20"/>
          <w:szCs w:val="20"/>
          <w:lang w:val="pt-BR"/>
        </w:rPr>
        <w:t xml:space="preserve"> note 8, para. </w:t>
      </w:r>
      <w:r w:rsidRPr="00135614">
        <w:rPr>
          <w:rFonts w:ascii="Times New Roman" w:hAnsi="Times New Roman" w:cs="Times New Roman"/>
          <w:sz w:val="20"/>
          <w:szCs w:val="20"/>
        </w:rPr>
        <w:t xml:space="preserve">1620; </w:t>
      </w:r>
      <w:r w:rsidRPr="00135614">
        <w:rPr>
          <w:rFonts w:ascii="Times New Roman" w:eastAsia="Times New Roman" w:hAnsi="Times New Roman" w:cs="Times New Roman"/>
          <w:sz w:val="20"/>
          <w:szCs w:val="20"/>
          <w:lang w:eastAsia="en-GB"/>
        </w:rPr>
        <w:t xml:space="preserve">Prosecutor v. </w:t>
      </w:r>
      <w:r w:rsidRPr="00135614">
        <w:rPr>
          <w:rFonts w:ascii="Times New Roman" w:hAnsi="Times New Roman" w:cs="Times New Roman"/>
          <w:i/>
          <w:sz w:val="20"/>
          <w:szCs w:val="20"/>
          <w:lang w:val="en-US"/>
        </w:rPr>
        <w:t>Mbarushimana</w:t>
      </w:r>
      <w:r w:rsidRPr="00135614">
        <w:rPr>
          <w:rFonts w:ascii="Times New Roman" w:hAnsi="Times New Roman" w:cs="Times New Roman"/>
          <w:sz w:val="20"/>
          <w:szCs w:val="20"/>
          <w:lang w:val="en-US"/>
        </w:rPr>
        <w:t xml:space="preserve">, </w:t>
      </w:r>
      <w:r w:rsidRPr="00135614">
        <w:rPr>
          <w:rFonts w:ascii="Times New Roman" w:hAnsi="Times New Roman" w:cs="Times New Roman"/>
          <w:sz w:val="20"/>
          <w:szCs w:val="20"/>
        </w:rPr>
        <w:t xml:space="preserve">Pre-Trial Chamber I, ICC-01/04-01/10, </w:t>
      </w:r>
      <w:r w:rsidRPr="00135614">
        <w:rPr>
          <w:rFonts w:ascii="Times New Roman" w:hAnsi="Times New Roman" w:cs="Times New Roman"/>
          <w:sz w:val="20"/>
          <w:szCs w:val="20"/>
          <w:lang w:val="en-US"/>
        </w:rPr>
        <w:t>Decision on the Prosecutor's Application for a Warrant of Arrest against Callixte Mbarushimana</w:t>
      </w:r>
      <w:r w:rsidRPr="00135614">
        <w:rPr>
          <w:rFonts w:ascii="Times New Roman" w:hAnsi="Times New Roman" w:cs="Times New Roman"/>
          <w:sz w:val="20"/>
          <w:szCs w:val="20"/>
        </w:rPr>
        <w:t>, 28 September 2010</w:t>
      </w:r>
      <w:r w:rsidR="009B3C19">
        <w:rPr>
          <w:rFonts w:ascii="Times New Roman" w:hAnsi="Times New Roman" w:cs="Times New Roman"/>
          <w:sz w:val="20"/>
          <w:szCs w:val="20"/>
        </w:rPr>
        <w:t xml:space="preserve">, </w:t>
      </w:r>
      <w:r w:rsidRPr="00135614">
        <w:rPr>
          <w:rFonts w:ascii="Times New Roman" w:hAnsi="Times New Roman" w:cs="Times New Roman"/>
          <w:sz w:val="20"/>
          <w:szCs w:val="20"/>
        </w:rPr>
        <w:t xml:space="preserve">para. 39; </w:t>
      </w:r>
      <w:r w:rsidRPr="00135614">
        <w:rPr>
          <w:rFonts w:ascii="Times New Roman" w:eastAsia="Times New Roman" w:hAnsi="Times New Roman" w:cs="Times New Roman"/>
          <w:sz w:val="20"/>
          <w:szCs w:val="20"/>
          <w:lang w:eastAsia="en-GB"/>
        </w:rPr>
        <w:t xml:space="preserve">Prosecutor v. </w:t>
      </w:r>
      <w:r w:rsidRPr="00135614">
        <w:rPr>
          <w:rFonts w:ascii="Times New Roman" w:hAnsi="Times New Roman" w:cs="Times New Roman"/>
          <w:i/>
          <w:sz w:val="20"/>
          <w:szCs w:val="20"/>
        </w:rPr>
        <w:t xml:space="preserve">Muthuara et al, </w:t>
      </w:r>
      <w:r w:rsidRPr="00135614">
        <w:rPr>
          <w:rFonts w:ascii="Times New Roman" w:eastAsia="Times New Roman" w:hAnsi="Times New Roman" w:cs="Times New Roman"/>
          <w:sz w:val="20"/>
          <w:szCs w:val="20"/>
          <w:lang w:eastAsia="en-GB"/>
        </w:rPr>
        <w:t>ICC-01/09-02/11, Pre-Trial II, Decision on the Confirmation of Charges Pursuant to Article 61(7)(a) and (b) of the Rome Statute, 23 January 2012</w:t>
      </w:r>
      <w:r w:rsidRPr="00135614">
        <w:rPr>
          <w:rFonts w:ascii="Times New Roman" w:hAnsi="Times New Roman" w:cs="Times New Roman"/>
          <w:sz w:val="20"/>
          <w:szCs w:val="20"/>
        </w:rPr>
        <w:t xml:space="preserve">  (‘</w:t>
      </w:r>
      <w:r w:rsidRPr="00135614">
        <w:rPr>
          <w:rFonts w:ascii="Times New Roman" w:hAnsi="Times New Roman" w:cs="Times New Roman"/>
          <w:i/>
          <w:sz w:val="20"/>
          <w:szCs w:val="20"/>
        </w:rPr>
        <w:t>Muthuara</w:t>
      </w:r>
      <w:r w:rsidRPr="00135614">
        <w:rPr>
          <w:rFonts w:ascii="Times New Roman" w:hAnsi="Times New Roman" w:cs="Times New Roman"/>
          <w:sz w:val="20"/>
          <w:szCs w:val="20"/>
        </w:rPr>
        <w:t xml:space="preserve"> Decision’), para. 421.</w:t>
      </w:r>
    </w:p>
  </w:footnote>
  <w:footnote w:id="109">
    <w:p w14:paraId="2F860060" w14:textId="52A6EC27" w:rsidR="0079099C" w:rsidRPr="00135614" w:rsidRDefault="0079099C" w:rsidP="00A818E2">
      <w:pPr>
        <w:widowControl w:val="0"/>
        <w:autoSpaceDE w:val="0"/>
        <w:autoSpaceDN w:val="0"/>
        <w:adjustRightInd w:val="0"/>
        <w:spacing w:after="0" w:line="240" w:lineRule="auto"/>
        <w:jc w:val="both"/>
        <w:rPr>
          <w:rFonts w:ascii="Times New Roman" w:hAnsi="Times New Roman" w:cs="Times New Roman"/>
          <w:sz w:val="20"/>
          <w:szCs w:val="20"/>
          <w:lang w:val="en-US"/>
        </w:rPr>
      </w:pPr>
      <w:r w:rsidRPr="00135614">
        <w:rPr>
          <w:rStyle w:val="FootnoteReference"/>
          <w:rFonts w:ascii="Times New Roman" w:eastAsiaTheme="majorEastAsia" w:hAnsi="Times New Roman" w:cs="Times New Roman"/>
          <w:sz w:val="20"/>
          <w:szCs w:val="20"/>
        </w:rPr>
        <w:footnoteRef/>
      </w:r>
      <w:r w:rsidRPr="00135614">
        <w:rPr>
          <w:rFonts w:ascii="Times New Roman" w:hAnsi="Times New Roman" w:cs="Times New Roman"/>
          <w:sz w:val="20"/>
          <w:szCs w:val="20"/>
        </w:rPr>
        <w:t xml:space="preserve"> </w:t>
      </w:r>
      <w:r w:rsidRPr="00135614">
        <w:rPr>
          <w:rFonts w:ascii="Times New Roman" w:hAnsi="Times New Roman" w:cs="Times New Roman"/>
          <w:i/>
          <w:sz w:val="20"/>
          <w:szCs w:val="20"/>
        </w:rPr>
        <w:t>Ibid,</w:t>
      </w:r>
      <w:r w:rsidRPr="00135614">
        <w:rPr>
          <w:rFonts w:ascii="Times New Roman" w:hAnsi="Times New Roman" w:cs="Times New Roman"/>
          <w:sz w:val="20"/>
          <w:szCs w:val="20"/>
        </w:rPr>
        <w:t xml:space="preserve"> para. 1625.</w:t>
      </w:r>
    </w:p>
  </w:footnote>
  <w:footnote w:id="110">
    <w:p w14:paraId="42C929AF" w14:textId="39321BF6" w:rsidR="0079099C" w:rsidRPr="00135614" w:rsidRDefault="0079099C" w:rsidP="00A818E2">
      <w:pPr>
        <w:pStyle w:val="FootnoteText"/>
        <w:spacing w:after="0" w:line="240" w:lineRule="auto"/>
        <w:jc w:val="both"/>
        <w:rPr>
          <w:rFonts w:ascii="Times New Roman" w:hAnsi="Times New Roman" w:cs="Times New Roman"/>
          <w:sz w:val="20"/>
          <w:szCs w:val="20"/>
          <w:lang w:val="en-US"/>
        </w:rPr>
      </w:pPr>
      <w:r w:rsidRPr="00135614">
        <w:rPr>
          <w:rStyle w:val="FootnoteReference"/>
          <w:rFonts w:ascii="Times New Roman" w:hAnsi="Times New Roman" w:cs="Times New Roman"/>
          <w:sz w:val="20"/>
          <w:szCs w:val="20"/>
        </w:rPr>
        <w:footnoteRef/>
      </w:r>
      <w:r w:rsidRPr="00135614">
        <w:rPr>
          <w:rFonts w:ascii="Times New Roman" w:hAnsi="Times New Roman" w:cs="Times New Roman"/>
          <w:sz w:val="20"/>
          <w:szCs w:val="20"/>
        </w:rPr>
        <w:t xml:space="preserve"> </w:t>
      </w:r>
      <w:r w:rsidRPr="00135614">
        <w:rPr>
          <w:rFonts w:ascii="Times New Roman" w:hAnsi="Times New Roman" w:cs="Times New Roman"/>
          <w:i/>
          <w:sz w:val="20"/>
          <w:szCs w:val="20"/>
        </w:rPr>
        <w:t>Ibid,</w:t>
      </w:r>
      <w:r w:rsidRPr="00135614">
        <w:rPr>
          <w:rFonts w:ascii="Times New Roman" w:hAnsi="Times New Roman" w:cs="Times New Roman"/>
          <w:sz w:val="20"/>
          <w:szCs w:val="20"/>
        </w:rPr>
        <w:t xml:space="preserve"> para.1627; Minority Opinion of Judge van den Wyngaert, </w:t>
      </w:r>
      <w:r w:rsidRPr="00C35F07">
        <w:rPr>
          <w:rFonts w:ascii="Times New Roman" w:hAnsi="Times New Roman" w:cs="Times New Roman"/>
          <w:i/>
          <w:sz w:val="20"/>
          <w:szCs w:val="20"/>
        </w:rPr>
        <w:t>supra</w:t>
      </w:r>
      <w:r>
        <w:rPr>
          <w:rFonts w:ascii="Times New Roman" w:hAnsi="Times New Roman" w:cs="Times New Roman"/>
          <w:sz w:val="20"/>
          <w:szCs w:val="20"/>
        </w:rPr>
        <w:t xml:space="preserve"> note 8, </w:t>
      </w:r>
      <w:r w:rsidRPr="00135614">
        <w:rPr>
          <w:rFonts w:ascii="Times New Roman" w:hAnsi="Times New Roman" w:cs="Times New Roman"/>
          <w:sz w:val="20"/>
          <w:szCs w:val="20"/>
        </w:rPr>
        <w:t>para. 286.</w:t>
      </w:r>
    </w:p>
  </w:footnote>
  <w:footnote w:id="111">
    <w:p w14:paraId="3A50EB00" w14:textId="3B665643" w:rsidR="0079099C" w:rsidRPr="00135614" w:rsidRDefault="0079099C" w:rsidP="00A818E2">
      <w:pPr>
        <w:widowControl w:val="0"/>
        <w:autoSpaceDE w:val="0"/>
        <w:autoSpaceDN w:val="0"/>
        <w:adjustRightInd w:val="0"/>
        <w:spacing w:after="0" w:line="240" w:lineRule="auto"/>
        <w:jc w:val="both"/>
        <w:rPr>
          <w:rFonts w:ascii="Times New Roman" w:hAnsi="Times New Roman" w:cs="Times New Roman"/>
          <w:sz w:val="20"/>
          <w:szCs w:val="20"/>
          <w:lang w:val="en-US"/>
        </w:rPr>
      </w:pPr>
      <w:r w:rsidRPr="00135614">
        <w:rPr>
          <w:rStyle w:val="FootnoteReference"/>
          <w:rFonts w:ascii="Times New Roman" w:eastAsiaTheme="majorEastAsia" w:hAnsi="Times New Roman" w:cs="Times New Roman"/>
          <w:sz w:val="20"/>
          <w:szCs w:val="20"/>
        </w:rPr>
        <w:footnoteRef/>
      </w:r>
      <w:r w:rsidRPr="00135614">
        <w:rPr>
          <w:rFonts w:ascii="Times New Roman" w:hAnsi="Times New Roman" w:cs="Times New Roman"/>
          <w:sz w:val="20"/>
          <w:szCs w:val="20"/>
        </w:rPr>
        <w:t xml:space="preserve"> </w:t>
      </w:r>
      <w:r w:rsidRPr="00135614">
        <w:rPr>
          <w:rFonts w:ascii="Times New Roman" w:hAnsi="Times New Roman" w:cs="Times New Roman"/>
          <w:i/>
          <w:sz w:val="20"/>
          <w:szCs w:val="20"/>
        </w:rPr>
        <w:t>Katanga</w:t>
      </w:r>
      <w:r w:rsidRPr="00135614">
        <w:rPr>
          <w:rFonts w:ascii="Times New Roman" w:hAnsi="Times New Roman" w:cs="Times New Roman"/>
          <w:sz w:val="20"/>
          <w:szCs w:val="20"/>
        </w:rPr>
        <w:t xml:space="preserve"> Judgement, </w:t>
      </w:r>
      <w:r w:rsidRPr="002C4E23">
        <w:rPr>
          <w:rFonts w:ascii="Times New Roman" w:hAnsi="Times New Roman" w:cs="Times New Roman"/>
          <w:i/>
          <w:sz w:val="20"/>
          <w:szCs w:val="20"/>
        </w:rPr>
        <w:t>supra</w:t>
      </w:r>
      <w:r>
        <w:rPr>
          <w:rFonts w:ascii="Times New Roman" w:hAnsi="Times New Roman" w:cs="Times New Roman"/>
          <w:sz w:val="20"/>
          <w:szCs w:val="20"/>
        </w:rPr>
        <w:t xml:space="preserve"> note 8, </w:t>
      </w:r>
      <w:r w:rsidRPr="00135614">
        <w:rPr>
          <w:rFonts w:ascii="Times New Roman" w:hAnsi="Times New Roman" w:cs="Times New Roman"/>
          <w:sz w:val="20"/>
          <w:szCs w:val="20"/>
        </w:rPr>
        <w:t>paras. 1654 – 1659.</w:t>
      </w:r>
    </w:p>
  </w:footnote>
  <w:footnote w:id="112">
    <w:p w14:paraId="4D544354" w14:textId="77777777" w:rsidR="0079099C" w:rsidRPr="00135614" w:rsidRDefault="0079099C" w:rsidP="00A818E2">
      <w:pPr>
        <w:widowControl w:val="0"/>
        <w:autoSpaceDE w:val="0"/>
        <w:autoSpaceDN w:val="0"/>
        <w:adjustRightInd w:val="0"/>
        <w:spacing w:after="0" w:line="240" w:lineRule="auto"/>
        <w:jc w:val="both"/>
        <w:rPr>
          <w:rFonts w:ascii="Times New Roman" w:hAnsi="Times New Roman" w:cs="Times New Roman"/>
          <w:sz w:val="20"/>
          <w:szCs w:val="20"/>
          <w:lang w:val="en-US"/>
        </w:rPr>
      </w:pPr>
      <w:r w:rsidRPr="00135614">
        <w:rPr>
          <w:rStyle w:val="FootnoteReference"/>
          <w:rFonts w:ascii="Times New Roman" w:eastAsiaTheme="majorEastAsia" w:hAnsi="Times New Roman" w:cs="Times New Roman"/>
          <w:sz w:val="20"/>
          <w:szCs w:val="20"/>
        </w:rPr>
        <w:footnoteRef/>
      </w:r>
      <w:r w:rsidRPr="00135614">
        <w:rPr>
          <w:rFonts w:ascii="Times New Roman" w:hAnsi="Times New Roman" w:cs="Times New Roman"/>
          <w:sz w:val="20"/>
          <w:szCs w:val="20"/>
        </w:rPr>
        <w:t xml:space="preserve"> </w:t>
      </w:r>
      <w:r w:rsidRPr="00135614">
        <w:rPr>
          <w:rFonts w:ascii="Times New Roman" w:hAnsi="Times New Roman" w:cs="Times New Roman"/>
          <w:i/>
          <w:sz w:val="20"/>
          <w:szCs w:val="20"/>
        </w:rPr>
        <w:t>Ibid.</w:t>
      </w:r>
    </w:p>
  </w:footnote>
  <w:footnote w:id="113">
    <w:p w14:paraId="34A7CFAC" w14:textId="67C29A5D" w:rsidR="0079099C" w:rsidRPr="00135614" w:rsidRDefault="0079099C" w:rsidP="00A818E2">
      <w:pPr>
        <w:pStyle w:val="FootnoteText"/>
        <w:spacing w:after="0" w:line="240" w:lineRule="auto"/>
        <w:jc w:val="both"/>
        <w:rPr>
          <w:rFonts w:ascii="Times New Roman" w:hAnsi="Times New Roman" w:cs="Times New Roman"/>
          <w:sz w:val="20"/>
          <w:szCs w:val="20"/>
          <w:lang w:val="en-US"/>
        </w:rPr>
      </w:pPr>
      <w:r w:rsidRPr="00135614">
        <w:rPr>
          <w:rStyle w:val="FootnoteReference"/>
          <w:rFonts w:ascii="Times New Roman" w:hAnsi="Times New Roman" w:cs="Times New Roman"/>
          <w:sz w:val="20"/>
          <w:szCs w:val="20"/>
        </w:rPr>
        <w:footnoteRef/>
      </w:r>
      <w:r w:rsidRPr="00135614">
        <w:rPr>
          <w:rFonts w:ascii="Times New Roman" w:hAnsi="Times New Roman" w:cs="Times New Roman"/>
          <w:sz w:val="20"/>
          <w:szCs w:val="20"/>
        </w:rPr>
        <w:t xml:space="preserve"> Minority Opinion of Judge van den Wyngaert, </w:t>
      </w:r>
      <w:r w:rsidRPr="00C35F07">
        <w:rPr>
          <w:rFonts w:ascii="Times New Roman" w:hAnsi="Times New Roman" w:cs="Times New Roman"/>
          <w:i/>
          <w:sz w:val="20"/>
          <w:szCs w:val="20"/>
        </w:rPr>
        <w:t>supra</w:t>
      </w:r>
      <w:r>
        <w:rPr>
          <w:rFonts w:ascii="Times New Roman" w:hAnsi="Times New Roman" w:cs="Times New Roman"/>
          <w:sz w:val="20"/>
          <w:szCs w:val="20"/>
        </w:rPr>
        <w:t xml:space="preserve"> note 8, </w:t>
      </w:r>
      <w:r w:rsidRPr="00135614">
        <w:rPr>
          <w:rFonts w:ascii="Times New Roman" w:hAnsi="Times New Roman" w:cs="Times New Roman"/>
          <w:sz w:val="20"/>
          <w:szCs w:val="20"/>
        </w:rPr>
        <w:t>para. 208.</w:t>
      </w:r>
    </w:p>
  </w:footnote>
  <w:footnote w:id="114">
    <w:p w14:paraId="24D6D161" w14:textId="7E49BA2E" w:rsidR="0079099C" w:rsidRPr="00135614" w:rsidRDefault="0079099C" w:rsidP="00A818E2">
      <w:pPr>
        <w:pStyle w:val="FootnoteText"/>
        <w:spacing w:after="0" w:line="240" w:lineRule="auto"/>
        <w:jc w:val="both"/>
        <w:rPr>
          <w:rFonts w:ascii="Times New Roman" w:hAnsi="Times New Roman" w:cs="Times New Roman"/>
          <w:sz w:val="20"/>
          <w:szCs w:val="20"/>
          <w:lang w:val="en-US"/>
        </w:rPr>
      </w:pPr>
      <w:r w:rsidRPr="00135614">
        <w:rPr>
          <w:rStyle w:val="FootnoteReference"/>
          <w:rFonts w:ascii="Times New Roman" w:hAnsi="Times New Roman" w:cs="Times New Roman"/>
          <w:sz w:val="20"/>
          <w:szCs w:val="20"/>
        </w:rPr>
        <w:footnoteRef/>
      </w:r>
      <w:r w:rsidRPr="00135614">
        <w:rPr>
          <w:rFonts w:ascii="Times New Roman" w:hAnsi="Times New Roman" w:cs="Times New Roman"/>
          <w:sz w:val="20"/>
          <w:szCs w:val="20"/>
        </w:rPr>
        <w:t xml:space="preserve"> </w:t>
      </w:r>
      <w:r w:rsidRPr="00135614">
        <w:rPr>
          <w:rFonts w:ascii="Times New Roman" w:hAnsi="Times New Roman" w:cs="Times New Roman"/>
          <w:i/>
          <w:sz w:val="20"/>
          <w:szCs w:val="20"/>
        </w:rPr>
        <w:t>Ibid,</w:t>
      </w:r>
      <w:r w:rsidRPr="00135614">
        <w:rPr>
          <w:rFonts w:ascii="Times New Roman" w:hAnsi="Times New Roman" w:cs="Times New Roman"/>
          <w:sz w:val="20"/>
          <w:szCs w:val="20"/>
        </w:rPr>
        <w:t xml:space="preserve"> para. 225.</w:t>
      </w:r>
    </w:p>
  </w:footnote>
  <w:footnote w:id="115">
    <w:p w14:paraId="602B2C2F" w14:textId="7B9F05F7" w:rsidR="0079099C" w:rsidRPr="00135614" w:rsidRDefault="0079099C" w:rsidP="00A818E2">
      <w:pPr>
        <w:pStyle w:val="FootnoteText"/>
        <w:spacing w:after="0" w:line="240" w:lineRule="auto"/>
        <w:jc w:val="both"/>
        <w:rPr>
          <w:rFonts w:ascii="Times New Roman" w:hAnsi="Times New Roman" w:cs="Times New Roman"/>
          <w:sz w:val="20"/>
          <w:szCs w:val="20"/>
          <w:lang w:val="en-US"/>
        </w:rPr>
      </w:pPr>
      <w:r w:rsidRPr="00135614">
        <w:rPr>
          <w:rStyle w:val="FootnoteReference"/>
          <w:rFonts w:ascii="Times New Roman" w:hAnsi="Times New Roman" w:cs="Times New Roman"/>
          <w:sz w:val="20"/>
          <w:szCs w:val="20"/>
        </w:rPr>
        <w:footnoteRef/>
      </w:r>
      <w:r w:rsidRPr="00135614">
        <w:rPr>
          <w:rFonts w:ascii="Times New Roman" w:hAnsi="Times New Roman" w:cs="Times New Roman"/>
          <w:sz w:val="20"/>
          <w:szCs w:val="20"/>
        </w:rPr>
        <w:t xml:space="preserve"> </w:t>
      </w:r>
      <w:r w:rsidRPr="00135614">
        <w:rPr>
          <w:rFonts w:ascii="Times New Roman" w:hAnsi="Times New Roman" w:cs="Times New Roman"/>
          <w:i/>
          <w:sz w:val="20"/>
          <w:szCs w:val="20"/>
        </w:rPr>
        <w:t>Ibid,</w:t>
      </w:r>
      <w:r w:rsidRPr="00135614">
        <w:rPr>
          <w:rFonts w:ascii="Times New Roman" w:hAnsi="Times New Roman" w:cs="Times New Roman"/>
          <w:sz w:val="20"/>
          <w:szCs w:val="20"/>
        </w:rPr>
        <w:t xml:space="preserve"> paras. 255-256</w:t>
      </w:r>
    </w:p>
  </w:footnote>
  <w:footnote w:id="116">
    <w:p w14:paraId="734AFEE2" w14:textId="43F2DF32" w:rsidR="0079099C" w:rsidRPr="00135614" w:rsidRDefault="0079099C" w:rsidP="00A818E2">
      <w:pPr>
        <w:pStyle w:val="FootnoteText"/>
        <w:spacing w:after="0" w:line="240" w:lineRule="auto"/>
        <w:jc w:val="both"/>
        <w:rPr>
          <w:rFonts w:ascii="Times New Roman" w:hAnsi="Times New Roman" w:cs="Times New Roman"/>
          <w:sz w:val="20"/>
          <w:szCs w:val="20"/>
        </w:rPr>
      </w:pPr>
      <w:r w:rsidRPr="00135614">
        <w:rPr>
          <w:rStyle w:val="FootnoteReference"/>
          <w:rFonts w:ascii="Times New Roman" w:eastAsiaTheme="majorEastAsia" w:hAnsi="Times New Roman" w:cs="Times New Roman"/>
          <w:sz w:val="20"/>
          <w:szCs w:val="20"/>
        </w:rPr>
        <w:footnoteRef/>
      </w:r>
      <w:r w:rsidRPr="006307AA">
        <w:rPr>
          <w:rFonts w:ascii="Times New Roman" w:hAnsi="Times New Roman" w:cs="Times New Roman"/>
          <w:sz w:val="20"/>
          <w:szCs w:val="20"/>
          <w:lang w:val="es-ES"/>
        </w:rPr>
        <w:t xml:space="preserve"> </w:t>
      </w:r>
      <w:r w:rsidRPr="006307AA">
        <w:rPr>
          <w:rFonts w:ascii="Times New Roman" w:hAnsi="Times New Roman" w:cs="Times New Roman"/>
          <w:i/>
          <w:sz w:val="20"/>
          <w:szCs w:val="20"/>
          <w:lang w:val="es-ES"/>
        </w:rPr>
        <w:t>Muthuara</w:t>
      </w:r>
      <w:r w:rsidRPr="006307AA">
        <w:rPr>
          <w:rFonts w:ascii="Times New Roman" w:hAnsi="Times New Roman" w:cs="Times New Roman"/>
          <w:sz w:val="20"/>
          <w:szCs w:val="20"/>
          <w:lang w:val="es-ES"/>
        </w:rPr>
        <w:t xml:space="preserve"> Decision,</w:t>
      </w:r>
      <w:r w:rsidR="009B3C19" w:rsidRPr="006307AA">
        <w:rPr>
          <w:rFonts w:ascii="Times New Roman" w:hAnsi="Times New Roman" w:cs="Times New Roman"/>
          <w:sz w:val="20"/>
          <w:szCs w:val="20"/>
          <w:lang w:val="es-ES"/>
        </w:rPr>
        <w:t xml:space="preserve"> supra note 107,</w:t>
      </w:r>
      <w:r w:rsidRPr="006307AA">
        <w:rPr>
          <w:rFonts w:ascii="Times New Roman" w:hAnsi="Times New Roman" w:cs="Times New Roman"/>
          <w:sz w:val="20"/>
          <w:szCs w:val="20"/>
          <w:lang w:val="es-ES"/>
        </w:rPr>
        <w:t xml:space="preserve"> para. </w:t>
      </w:r>
      <w:r w:rsidRPr="00135614">
        <w:rPr>
          <w:rFonts w:ascii="Times New Roman" w:hAnsi="Times New Roman" w:cs="Times New Roman"/>
          <w:sz w:val="20"/>
          <w:szCs w:val="20"/>
        </w:rPr>
        <w:t>422.</w:t>
      </w:r>
    </w:p>
  </w:footnote>
  <w:footnote w:id="117">
    <w:p w14:paraId="1F210EF4" w14:textId="1C50B004" w:rsidR="0079099C" w:rsidRPr="00135614" w:rsidRDefault="0079099C" w:rsidP="00A818E2">
      <w:pPr>
        <w:pStyle w:val="FootnoteText"/>
        <w:spacing w:after="0" w:line="240" w:lineRule="auto"/>
        <w:jc w:val="both"/>
        <w:rPr>
          <w:rFonts w:ascii="Times New Roman" w:hAnsi="Times New Roman" w:cs="Times New Roman"/>
          <w:sz w:val="20"/>
          <w:szCs w:val="20"/>
        </w:rPr>
      </w:pPr>
      <w:r w:rsidRPr="00135614">
        <w:rPr>
          <w:rStyle w:val="FootnoteReference"/>
          <w:rFonts w:ascii="Times New Roman" w:eastAsiaTheme="majorEastAsia" w:hAnsi="Times New Roman" w:cs="Times New Roman"/>
          <w:sz w:val="20"/>
          <w:szCs w:val="20"/>
        </w:rPr>
        <w:footnoteRef/>
      </w:r>
      <w:r w:rsidRPr="00135614">
        <w:rPr>
          <w:rFonts w:ascii="Times New Roman" w:hAnsi="Times New Roman" w:cs="Times New Roman"/>
          <w:sz w:val="20"/>
          <w:szCs w:val="20"/>
        </w:rPr>
        <w:t xml:space="preserve"> </w:t>
      </w:r>
      <w:r w:rsidRPr="00135614">
        <w:rPr>
          <w:rFonts w:ascii="Times New Roman" w:hAnsi="Times New Roman" w:cs="Times New Roman"/>
          <w:i/>
          <w:sz w:val="20"/>
          <w:szCs w:val="20"/>
        </w:rPr>
        <w:t>Ibid,</w:t>
      </w:r>
      <w:r w:rsidRPr="00135614">
        <w:rPr>
          <w:rFonts w:ascii="Times New Roman" w:hAnsi="Times New Roman" w:cs="Times New Roman"/>
          <w:sz w:val="20"/>
          <w:szCs w:val="20"/>
        </w:rPr>
        <w:t xml:space="preserve"> paras. 424- 426.</w:t>
      </w:r>
    </w:p>
  </w:footnote>
  <w:footnote w:id="118">
    <w:p w14:paraId="52475B04" w14:textId="50AEE547" w:rsidR="0079099C" w:rsidRPr="00135614" w:rsidRDefault="0079099C" w:rsidP="00A818E2">
      <w:pPr>
        <w:pStyle w:val="FootnoteText"/>
        <w:spacing w:after="0" w:line="240" w:lineRule="auto"/>
        <w:jc w:val="both"/>
        <w:rPr>
          <w:rFonts w:ascii="Times New Roman" w:hAnsi="Times New Roman" w:cs="Times New Roman"/>
          <w:sz w:val="20"/>
          <w:szCs w:val="20"/>
        </w:rPr>
      </w:pPr>
      <w:r w:rsidRPr="00135614">
        <w:rPr>
          <w:rStyle w:val="FootnoteReference"/>
          <w:rFonts w:ascii="Times New Roman" w:eastAsiaTheme="majorEastAsia" w:hAnsi="Times New Roman" w:cs="Times New Roman"/>
          <w:sz w:val="20"/>
          <w:szCs w:val="20"/>
        </w:rPr>
        <w:footnoteRef/>
      </w:r>
      <w:r w:rsidRPr="00135614">
        <w:rPr>
          <w:rFonts w:ascii="Times New Roman" w:hAnsi="Times New Roman" w:cs="Times New Roman"/>
          <w:sz w:val="20"/>
          <w:szCs w:val="20"/>
        </w:rPr>
        <w:t xml:space="preserve"> </w:t>
      </w:r>
      <w:r w:rsidRPr="00135614">
        <w:rPr>
          <w:rFonts w:ascii="Times New Roman" w:hAnsi="Times New Roman" w:cs="Times New Roman"/>
          <w:i/>
          <w:sz w:val="20"/>
          <w:szCs w:val="20"/>
        </w:rPr>
        <w:t xml:space="preserve">Mbarushimana </w:t>
      </w:r>
      <w:r w:rsidRPr="00135614">
        <w:rPr>
          <w:rFonts w:ascii="Times New Roman" w:hAnsi="Times New Roman" w:cs="Times New Roman"/>
          <w:sz w:val="20"/>
          <w:szCs w:val="20"/>
        </w:rPr>
        <w:t xml:space="preserve">Decision, </w:t>
      </w:r>
      <w:r w:rsidRPr="002C4E23">
        <w:rPr>
          <w:rFonts w:ascii="Times New Roman" w:hAnsi="Times New Roman" w:cs="Times New Roman"/>
          <w:i/>
          <w:sz w:val="20"/>
          <w:szCs w:val="20"/>
        </w:rPr>
        <w:t>supra</w:t>
      </w:r>
      <w:r>
        <w:rPr>
          <w:rFonts w:ascii="Times New Roman" w:hAnsi="Times New Roman" w:cs="Times New Roman"/>
          <w:sz w:val="20"/>
          <w:szCs w:val="20"/>
        </w:rPr>
        <w:t xml:space="preserve"> note 8, </w:t>
      </w:r>
      <w:r w:rsidRPr="00135614">
        <w:rPr>
          <w:rFonts w:ascii="Times New Roman" w:hAnsi="Times New Roman" w:cs="Times New Roman"/>
          <w:sz w:val="20"/>
          <w:szCs w:val="20"/>
        </w:rPr>
        <w:t>para. 291.</w:t>
      </w:r>
    </w:p>
  </w:footnote>
  <w:footnote w:id="119">
    <w:p w14:paraId="167B8105" w14:textId="77777777" w:rsidR="0079099C" w:rsidRPr="00135614" w:rsidRDefault="0079099C" w:rsidP="00A818E2">
      <w:pPr>
        <w:pStyle w:val="FootnoteText"/>
        <w:spacing w:after="0" w:line="240" w:lineRule="auto"/>
        <w:jc w:val="both"/>
        <w:rPr>
          <w:rFonts w:ascii="Times New Roman" w:hAnsi="Times New Roman" w:cs="Times New Roman"/>
          <w:sz w:val="20"/>
          <w:szCs w:val="20"/>
        </w:rPr>
      </w:pPr>
      <w:r w:rsidRPr="00135614">
        <w:rPr>
          <w:rStyle w:val="FootnoteReference"/>
          <w:rFonts w:ascii="Times New Roman" w:eastAsiaTheme="majorEastAsia" w:hAnsi="Times New Roman" w:cs="Times New Roman"/>
          <w:sz w:val="20"/>
          <w:szCs w:val="20"/>
        </w:rPr>
        <w:footnoteRef/>
      </w:r>
      <w:r w:rsidRPr="00135614">
        <w:rPr>
          <w:rFonts w:ascii="Times New Roman" w:hAnsi="Times New Roman" w:cs="Times New Roman"/>
          <w:sz w:val="20"/>
          <w:szCs w:val="20"/>
        </w:rPr>
        <w:t xml:space="preserve"> </w:t>
      </w:r>
      <w:r w:rsidRPr="00135614">
        <w:rPr>
          <w:rFonts w:ascii="Times New Roman" w:hAnsi="Times New Roman" w:cs="Times New Roman"/>
          <w:i/>
          <w:sz w:val="20"/>
          <w:szCs w:val="20"/>
        </w:rPr>
        <w:t>Ibid.</w:t>
      </w:r>
    </w:p>
  </w:footnote>
  <w:footnote w:id="120">
    <w:p w14:paraId="74210B9D" w14:textId="08C4C38A" w:rsidR="0079099C" w:rsidRPr="00135614" w:rsidRDefault="0079099C" w:rsidP="00A818E2">
      <w:pPr>
        <w:pStyle w:val="FootnoteText"/>
        <w:spacing w:after="0" w:line="240" w:lineRule="auto"/>
        <w:jc w:val="both"/>
        <w:rPr>
          <w:rFonts w:ascii="Times New Roman" w:hAnsi="Times New Roman" w:cs="Times New Roman"/>
          <w:sz w:val="20"/>
          <w:szCs w:val="20"/>
        </w:rPr>
      </w:pPr>
      <w:r w:rsidRPr="00135614">
        <w:rPr>
          <w:rStyle w:val="FootnoteReference"/>
          <w:rFonts w:ascii="Times New Roman" w:eastAsiaTheme="majorEastAsia" w:hAnsi="Times New Roman" w:cs="Times New Roman"/>
          <w:sz w:val="20"/>
          <w:szCs w:val="20"/>
        </w:rPr>
        <w:footnoteRef/>
      </w:r>
      <w:r w:rsidRPr="00135614">
        <w:rPr>
          <w:rFonts w:ascii="Times New Roman" w:hAnsi="Times New Roman" w:cs="Times New Roman"/>
          <w:sz w:val="20"/>
          <w:szCs w:val="20"/>
        </w:rPr>
        <w:t xml:space="preserve"> </w:t>
      </w:r>
      <w:r w:rsidRPr="00135614">
        <w:rPr>
          <w:rFonts w:ascii="Times New Roman" w:hAnsi="Times New Roman" w:cs="Times New Roman"/>
          <w:i/>
          <w:sz w:val="20"/>
          <w:szCs w:val="20"/>
        </w:rPr>
        <w:t>Ibid,</w:t>
      </w:r>
      <w:r w:rsidRPr="00135614">
        <w:rPr>
          <w:rFonts w:ascii="Times New Roman" w:hAnsi="Times New Roman" w:cs="Times New Roman"/>
          <w:sz w:val="20"/>
          <w:szCs w:val="20"/>
        </w:rPr>
        <w:t xml:space="preserve"> paras. 276-277.</w:t>
      </w:r>
    </w:p>
  </w:footnote>
  <w:footnote w:id="121">
    <w:p w14:paraId="32C78DA8" w14:textId="0BC005A3" w:rsidR="0079099C" w:rsidRPr="00135614" w:rsidRDefault="0079099C" w:rsidP="00A818E2">
      <w:pPr>
        <w:pStyle w:val="FootnoteText"/>
        <w:spacing w:after="0" w:line="240" w:lineRule="auto"/>
        <w:jc w:val="both"/>
        <w:rPr>
          <w:rFonts w:ascii="Times New Roman" w:hAnsi="Times New Roman" w:cs="Times New Roman"/>
          <w:sz w:val="20"/>
          <w:szCs w:val="20"/>
          <w:lang w:val="en-US"/>
        </w:rPr>
      </w:pPr>
      <w:r w:rsidRPr="00135614">
        <w:rPr>
          <w:rStyle w:val="FootnoteReference"/>
          <w:rFonts w:ascii="Times New Roman" w:hAnsi="Times New Roman" w:cs="Times New Roman"/>
          <w:sz w:val="20"/>
          <w:szCs w:val="20"/>
        </w:rPr>
        <w:footnoteRef/>
      </w:r>
      <w:r w:rsidRPr="00135614">
        <w:rPr>
          <w:rFonts w:ascii="Times New Roman" w:hAnsi="Times New Roman" w:cs="Times New Roman"/>
          <w:sz w:val="20"/>
          <w:szCs w:val="20"/>
        </w:rPr>
        <w:t xml:space="preserve"> </w:t>
      </w:r>
      <w:r w:rsidRPr="00135614">
        <w:rPr>
          <w:rFonts w:ascii="Times New Roman" w:hAnsi="Times New Roman" w:cs="Times New Roman"/>
          <w:i/>
          <w:sz w:val="20"/>
          <w:szCs w:val="20"/>
          <w:lang w:val="en-US"/>
        </w:rPr>
        <w:t>Ibid,</w:t>
      </w:r>
      <w:r w:rsidRPr="00135614">
        <w:rPr>
          <w:rFonts w:ascii="Times New Roman" w:hAnsi="Times New Roman" w:cs="Times New Roman"/>
          <w:sz w:val="20"/>
          <w:szCs w:val="20"/>
          <w:lang w:val="en-US"/>
        </w:rPr>
        <w:t xml:space="preserve"> </w:t>
      </w:r>
      <w:r w:rsidRPr="00135614">
        <w:rPr>
          <w:rFonts w:ascii="Times New Roman" w:hAnsi="Times New Roman" w:cs="Times New Roman"/>
          <w:sz w:val="20"/>
          <w:szCs w:val="20"/>
        </w:rPr>
        <w:t xml:space="preserve">paras. </w:t>
      </w:r>
      <w:r w:rsidRPr="00135614">
        <w:rPr>
          <w:rFonts w:ascii="Times New Roman" w:hAnsi="Times New Roman" w:cs="Times New Roman"/>
          <w:sz w:val="20"/>
          <w:szCs w:val="20"/>
          <w:lang w:val="en-US"/>
        </w:rPr>
        <w:t>278-279.</w:t>
      </w:r>
    </w:p>
  </w:footnote>
  <w:footnote w:id="122">
    <w:p w14:paraId="2C92372E" w14:textId="77777777" w:rsidR="0079099C" w:rsidRPr="00135614" w:rsidRDefault="0079099C" w:rsidP="00A818E2">
      <w:pPr>
        <w:pStyle w:val="FootnoteText"/>
        <w:spacing w:after="0" w:line="240" w:lineRule="auto"/>
        <w:jc w:val="both"/>
        <w:rPr>
          <w:rFonts w:ascii="Times New Roman" w:hAnsi="Times New Roman" w:cs="Times New Roman"/>
          <w:sz w:val="20"/>
          <w:szCs w:val="20"/>
        </w:rPr>
      </w:pPr>
      <w:r w:rsidRPr="00135614">
        <w:rPr>
          <w:rStyle w:val="FootnoteReference"/>
          <w:rFonts w:ascii="Times New Roman" w:eastAsiaTheme="majorEastAsia" w:hAnsi="Times New Roman" w:cs="Times New Roman"/>
          <w:sz w:val="20"/>
          <w:szCs w:val="20"/>
        </w:rPr>
        <w:footnoteRef/>
      </w:r>
      <w:r w:rsidRPr="00135614">
        <w:rPr>
          <w:rFonts w:ascii="Times New Roman" w:hAnsi="Times New Roman" w:cs="Times New Roman"/>
          <w:sz w:val="20"/>
          <w:szCs w:val="20"/>
        </w:rPr>
        <w:t xml:space="preserve"> </w:t>
      </w:r>
      <w:r w:rsidRPr="00135614">
        <w:rPr>
          <w:rFonts w:ascii="Times New Roman" w:hAnsi="Times New Roman" w:cs="Times New Roman"/>
          <w:i/>
          <w:sz w:val="20"/>
          <w:szCs w:val="20"/>
        </w:rPr>
        <w:t>Ibid.</w:t>
      </w:r>
    </w:p>
  </w:footnote>
  <w:footnote w:id="123">
    <w:p w14:paraId="005BAEB1" w14:textId="2AD92969" w:rsidR="0079099C" w:rsidRPr="00135614" w:rsidRDefault="0079099C" w:rsidP="00A818E2">
      <w:pPr>
        <w:pStyle w:val="FootnoteText"/>
        <w:spacing w:after="0" w:line="240" w:lineRule="auto"/>
        <w:jc w:val="both"/>
        <w:rPr>
          <w:rFonts w:ascii="Times New Roman" w:hAnsi="Times New Roman" w:cs="Times New Roman"/>
          <w:sz w:val="20"/>
          <w:szCs w:val="20"/>
        </w:rPr>
      </w:pPr>
      <w:r w:rsidRPr="00135614">
        <w:rPr>
          <w:rStyle w:val="FootnoteReference"/>
          <w:rFonts w:ascii="Times New Roman" w:eastAsiaTheme="majorEastAsia" w:hAnsi="Times New Roman" w:cs="Times New Roman"/>
          <w:sz w:val="20"/>
          <w:szCs w:val="20"/>
        </w:rPr>
        <w:footnoteRef/>
      </w:r>
      <w:r w:rsidRPr="00135614">
        <w:rPr>
          <w:rFonts w:ascii="Times New Roman" w:hAnsi="Times New Roman" w:cs="Times New Roman"/>
          <w:sz w:val="20"/>
          <w:szCs w:val="20"/>
        </w:rPr>
        <w:t xml:space="preserve"> </w:t>
      </w:r>
      <w:r w:rsidRPr="00135614">
        <w:rPr>
          <w:rFonts w:ascii="Times New Roman" w:hAnsi="Times New Roman" w:cs="Times New Roman"/>
          <w:i/>
          <w:sz w:val="20"/>
          <w:szCs w:val="20"/>
        </w:rPr>
        <w:t>Ibid,</w:t>
      </w:r>
      <w:r w:rsidRPr="00135614">
        <w:rPr>
          <w:rFonts w:ascii="Times New Roman" w:hAnsi="Times New Roman" w:cs="Times New Roman"/>
          <w:sz w:val="20"/>
          <w:szCs w:val="20"/>
        </w:rPr>
        <w:t xml:space="preserve"> para. 283.</w:t>
      </w:r>
    </w:p>
  </w:footnote>
  <w:footnote w:id="124">
    <w:p w14:paraId="58495AA5" w14:textId="2D759C6F" w:rsidR="0079099C" w:rsidRPr="00135614" w:rsidRDefault="0079099C" w:rsidP="00A818E2">
      <w:pPr>
        <w:spacing w:after="0" w:line="240" w:lineRule="auto"/>
        <w:jc w:val="both"/>
        <w:rPr>
          <w:rFonts w:ascii="Times New Roman" w:hAnsi="Times New Roman" w:cs="Times New Roman"/>
          <w:sz w:val="20"/>
          <w:szCs w:val="20"/>
        </w:rPr>
      </w:pPr>
      <w:r w:rsidRPr="00135614">
        <w:rPr>
          <w:rStyle w:val="FootnoteReference"/>
          <w:rFonts w:ascii="Times New Roman" w:eastAsiaTheme="majorEastAsia" w:hAnsi="Times New Roman" w:cs="Times New Roman"/>
          <w:sz w:val="20"/>
          <w:szCs w:val="20"/>
        </w:rPr>
        <w:footnoteRef/>
      </w:r>
      <w:r w:rsidRPr="00135614">
        <w:rPr>
          <w:rFonts w:ascii="Times New Roman" w:hAnsi="Times New Roman" w:cs="Times New Roman"/>
          <w:sz w:val="20"/>
          <w:szCs w:val="20"/>
        </w:rPr>
        <w:t xml:space="preserve"> See </w:t>
      </w:r>
      <w:r w:rsidRPr="00135614">
        <w:rPr>
          <w:rFonts w:ascii="Times New Roman" w:hAnsi="Times New Roman" w:cs="Times New Roman"/>
          <w:i/>
          <w:sz w:val="20"/>
          <w:szCs w:val="20"/>
        </w:rPr>
        <w:t xml:space="preserve">Mbarushimana </w:t>
      </w:r>
      <w:r w:rsidRPr="00135614">
        <w:rPr>
          <w:rFonts w:ascii="Times New Roman" w:hAnsi="Times New Roman" w:cs="Times New Roman"/>
          <w:sz w:val="20"/>
          <w:szCs w:val="20"/>
        </w:rPr>
        <w:t xml:space="preserve">Decision, </w:t>
      </w:r>
      <w:r w:rsidRPr="002C4E23">
        <w:rPr>
          <w:rFonts w:ascii="Times New Roman" w:hAnsi="Times New Roman" w:cs="Times New Roman"/>
          <w:i/>
          <w:sz w:val="20"/>
          <w:szCs w:val="20"/>
        </w:rPr>
        <w:t>supra</w:t>
      </w:r>
      <w:r>
        <w:rPr>
          <w:rFonts w:ascii="Times New Roman" w:hAnsi="Times New Roman" w:cs="Times New Roman"/>
          <w:sz w:val="20"/>
          <w:szCs w:val="20"/>
        </w:rPr>
        <w:t xml:space="preserve"> note 8, </w:t>
      </w:r>
      <w:r w:rsidRPr="00135614">
        <w:rPr>
          <w:rFonts w:ascii="Times New Roman" w:hAnsi="Times New Roman" w:cs="Times New Roman"/>
          <w:sz w:val="20"/>
          <w:szCs w:val="20"/>
        </w:rPr>
        <w:t xml:space="preserve">para. 280. </w:t>
      </w:r>
      <w:r w:rsidRPr="00135614">
        <w:rPr>
          <w:rFonts w:ascii="Times New Roman" w:hAnsi="Times New Roman" w:cs="Times New Roman"/>
          <w:i/>
          <w:sz w:val="20"/>
          <w:szCs w:val="20"/>
        </w:rPr>
        <w:t>Cf.</w:t>
      </w:r>
      <w:r w:rsidRPr="00135614">
        <w:rPr>
          <w:rFonts w:ascii="Times New Roman" w:hAnsi="Times New Roman" w:cs="Times New Roman"/>
          <w:sz w:val="20"/>
          <w:szCs w:val="20"/>
        </w:rPr>
        <w:t xml:space="preserve"> Views have been expressed that Article 25(3)(d) explicitly addresses the concept of the joint criminal enterprise. See A. Cassese, </w:t>
      </w:r>
      <w:r w:rsidRPr="00135614">
        <w:rPr>
          <w:rFonts w:ascii="Times New Roman" w:hAnsi="Times New Roman" w:cs="Times New Roman"/>
          <w:i/>
          <w:sz w:val="20"/>
          <w:szCs w:val="20"/>
        </w:rPr>
        <w:t>International Criminal Law</w:t>
      </w:r>
      <w:r w:rsidRPr="00135614">
        <w:rPr>
          <w:rFonts w:ascii="Times New Roman" w:hAnsi="Times New Roman" w:cs="Times New Roman"/>
          <w:sz w:val="20"/>
          <w:szCs w:val="20"/>
        </w:rPr>
        <w:t xml:space="preserve"> (Oxford University Press,</w:t>
      </w:r>
      <w:r>
        <w:rPr>
          <w:rFonts w:ascii="Times New Roman" w:hAnsi="Times New Roman" w:cs="Times New Roman"/>
          <w:sz w:val="20"/>
          <w:szCs w:val="20"/>
        </w:rPr>
        <w:t xml:space="preserve"> Oxford, 2</w:t>
      </w:r>
      <w:r w:rsidRPr="003C1920">
        <w:rPr>
          <w:rFonts w:ascii="Times New Roman" w:hAnsi="Times New Roman" w:cs="Times New Roman"/>
          <w:sz w:val="20"/>
          <w:szCs w:val="20"/>
          <w:vertAlign w:val="superscript"/>
        </w:rPr>
        <w:t>nd</w:t>
      </w:r>
      <w:r>
        <w:rPr>
          <w:rFonts w:ascii="Times New Roman" w:hAnsi="Times New Roman" w:cs="Times New Roman"/>
          <w:sz w:val="20"/>
          <w:szCs w:val="20"/>
        </w:rPr>
        <w:t xml:space="preserve"> ed.,</w:t>
      </w:r>
      <w:r w:rsidRPr="00135614">
        <w:rPr>
          <w:rFonts w:ascii="Times New Roman" w:hAnsi="Times New Roman" w:cs="Times New Roman"/>
          <w:sz w:val="20"/>
          <w:szCs w:val="20"/>
        </w:rPr>
        <w:t xml:space="preserve"> 2008), pp. 211-213.</w:t>
      </w:r>
    </w:p>
  </w:footnote>
  <w:footnote w:id="125">
    <w:p w14:paraId="11275B70" w14:textId="5F617627" w:rsidR="0079099C" w:rsidRPr="00135614" w:rsidRDefault="0079099C" w:rsidP="00A818E2">
      <w:pPr>
        <w:pStyle w:val="FootnoteText"/>
        <w:spacing w:after="0" w:line="240" w:lineRule="auto"/>
        <w:jc w:val="both"/>
        <w:rPr>
          <w:rFonts w:ascii="Times New Roman" w:hAnsi="Times New Roman" w:cs="Times New Roman"/>
          <w:sz w:val="20"/>
          <w:szCs w:val="20"/>
        </w:rPr>
      </w:pPr>
      <w:r w:rsidRPr="00135614">
        <w:rPr>
          <w:rStyle w:val="FootnoteReference"/>
          <w:rFonts w:ascii="Times New Roman" w:eastAsiaTheme="majorEastAsia" w:hAnsi="Times New Roman" w:cs="Times New Roman"/>
          <w:sz w:val="20"/>
          <w:szCs w:val="20"/>
        </w:rPr>
        <w:footnoteRef/>
      </w:r>
      <w:r w:rsidRPr="00135614">
        <w:rPr>
          <w:rFonts w:ascii="Times New Roman" w:hAnsi="Times New Roman" w:cs="Times New Roman"/>
          <w:sz w:val="20"/>
          <w:szCs w:val="20"/>
        </w:rPr>
        <w:t xml:space="preserve"> </w:t>
      </w:r>
      <w:r w:rsidRPr="00135614">
        <w:rPr>
          <w:rFonts w:ascii="Times New Roman" w:hAnsi="Times New Roman" w:cs="Times New Roman"/>
          <w:i/>
          <w:sz w:val="20"/>
          <w:szCs w:val="20"/>
        </w:rPr>
        <w:t>Katanga</w:t>
      </w:r>
      <w:r w:rsidRPr="00135614">
        <w:rPr>
          <w:rFonts w:ascii="Times New Roman" w:hAnsi="Times New Roman" w:cs="Times New Roman"/>
          <w:sz w:val="20"/>
          <w:szCs w:val="20"/>
        </w:rPr>
        <w:t xml:space="preserve"> Judgement,</w:t>
      </w:r>
      <w:r>
        <w:rPr>
          <w:rFonts w:ascii="Times New Roman" w:hAnsi="Times New Roman" w:cs="Times New Roman"/>
          <w:sz w:val="20"/>
          <w:szCs w:val="20"/>
        </w:rPr>
        <w:t xml:space="preserve"> </w:t>
      </w:r>
      <w:r w:rsidRPr="002C4E23">
        <w:rPr>
          <w:rFonts w:ascii="Times New Roman" w:hAnsi="Times New Roman" w:cs="Times New Roman"/>
          <w:i/>
          <w:sz w:val="20"/>
          <w:szCs w:val="20"/>
        </w:rPr>
        <w:t>supra</w:t>
      </w:r>
      <w:r>
        <w:rPr>
          <w:rFonts w:ascii="Times New Roman" w:hAnsi="Times New Roman" w:cs="Times New Roman"/>
          <w:sz w:val="20"/>
          <w:szCs w:val="20"/>
        </w:rPr>
        <w:t xml:space="preserve"> note 8,</w:t>
      </w:r>
      <w:r w:rsidRPr="00135614">
        <w:rPr>
          <w:rFonts w:ascii="Times New Roman" w:hAnsi="Times New Roman" w:cs="Times New Roman"/>
          <w:sz w:val="20"/>
          <w:szCs w:val="20"/>
        </w:rPr>
        <w:t xml:space="preserve"> para. 1633.</w:t>
      </w:r>
    </w:p>
  </w:footnote>
  <w:footnote w:id="126">
    <w:p w14:paraId="2DEBA457" w14:textId="1868F417" w:rsidR="0079099C" w:rsidRPr="00135614" w:rsidRDefault="0079099C" w:rsidP="00A818E2">
      <w:pPr>
        <w:pStyle w:val="FootnoteText"/>
        <w:spacing w:after="0" w:line="240" w:lineRule="auto"/>
        <w:jc w:val="both"/>
        <w:rPr>
          <w:rFonts w:ascii="Times New Roman" w:hAnsi="Times New Roman" w:cs="Times New Roman"/>
          <w:sz w:val="20"/>
          <w:szCs w:val="20"/>
          <w:lang w:val="en-US"/>
        </w:rPr>
      </w:pPr>
      <w:r w:rsidRPr="00135614">
        <w:rPr>
          <w:rStyle w:val="FootnoteReference"/>
          <w:rFonts w:ascii="Times New Roman" w:hAnsi="Times New Roman" w:cs="Times New Roman"/>
          <w:sz w:val="20"/>
          <w:szCs w:val="20"/>
        </w:rPr>
        <w:footnoteRef/>
      </w:r>
      <w:r w:rsidRPr="00135614">
        <w:rPr>
          <w:rFonts w:ascii="Times New Roman" w:hAnsi="Times New Roman" w:cs="Times New Roman"/>
          <w:sz w:val="20"/>
          <w:szCs w:val="20"/>
        </w:rPr>
        <w:t xml:space="preserve"> </w:t>
      </w:r>
      <w:r w:rsidRPr="00135614">
        <w:rPr>
          <w:rFonts w:ascii="Times New Roman" w:hAnsi="Times New Roman" w:cs="Times New Roman"/>
          <w:i/>
          <w:sz w:val="20"/>
          <w:szCs w:val="20"/>
        </w:rPr>
        <w:t xml:space="preserve">Mbarushimana </w:t>
      </w:r>
      <w:r w:rsidRPr="00135614">
        <w:rPr>
          <w:rFonts w:ascii="Times New Roman" w:hAnsi="Times New Roman" w:cs="Times New Roman"/>
          <w:sz w:val="20"/>
          <w:szCs w:val="20"/>
        </w:rPr>
        <w:t xml:space="preserve">Decision, </w:t>
      </w:r>
      <w:r w:rsidRPr="002C4E23">
        <w:rPr>
          <w:rFonts w:ascii="Times New Roman" w:hAnsi="Times New Roman" w:cs="Times New Roman"/>
          <w:i/>
          <w:sz w:val="20"/>
          <w:szCs w:val="20"/>
        </w:rPr>
        <w:t>supra</w:t>
      </w:r>
      <w:r>
        <w:rPr>
          <w:rFonts w:ascii="Times New Roman" w:hAnsi="Times New Roman" w:cs="Times New Roman"/>
          <w:sz w:val="20"/>
          <w:szCs w:val="20"/>
        </w:rPr>
        <w:t xml:space="preserve"> note 8, </w:t>
      </w:r>
      <w:r w:rsidRPr="00135614">
        <w:rPr>
          <w:rFonts w:ascii="Times New Roman" w:hAnsi="Times New Roman" w:cs="Times New Roman"/>
          <w:sz w:val="20"/>
          <w:szCs w:val="20"/>
        </w:rPr>
        <w:t xml:space="preserve">para. 284. See also </w:t>
      </w:r>
      <w:r w:rsidRPr="00135614">
        <w:rPr>
          <w:rFonts w:ascii="Times New Roman" w:hAnsi="Times New Roman" w:cs="Times New Roman"/>
          <w:i/>
          <w:sz w:val="20"/>
          <w:szCs w:val="20"/>
        </w:rPr>
        <w:t xml:space="preserve">Katanga </w:t>
      </w:r>
      <w:r w:rsidRPr="00135614">
        <w:rPr>
          <w:rFonts w:ascii="Times New Roman" w:hAnsi="Times New Roman" w:cs="Times New Roman"/>
          <w:sz w:val="20"/>
          <w:szCs w:val="20"/>
        </w:rPr>
        <w:t xml:space="preserve">Judgement, </w:t>
      </w:r>
      <w:r w:rsidRPr="002C4E23">
        <w:rPr>
          <w:rFonts w:ascii="Times New Roman" w:hAnsi="Times New Roman" w:cs="Times New Roman"/>
          <w:i/>
          <w:sz w:val="20"/>
          <w:szCs w:val="20"/>
        </w:rPr>
        <w:t>supra</w:t>
      </w:r>
      <w:r>
        <w:rPr>
          <w:rFonts w:ascii="Times New Roman" w:hAnsi="Times New Roman" w:cs="Times New Roman"/>
          <w:sz w:val="20"/>
          <w:szCs w:val="20"/>
        </w:rPr>
        <w:t xml:space="preserve"> note 8, </w:t>
      </w:r>
      <w:r w:rsidRPr="00135614">
        <w:rPr>
          <w:rFonts w:ascii="Times New Roman" w:hAnsi="Times New Roman" w:cs="Times New Roman"/>
          <w:sz w:val="20"/>
          <w:szCs w:val="20"/>
        </w:rPr>
        <w:t>para. 634.</w:t>
      </w:r>
    </w:p>
  </w:footnote>
  <w:footnote w:id="127">
    <w:p w14:paraId="440C707A" w14:textId="30DEFBBC" w:rsidR="0079099C" w:rsidRPr="00135614" w:rsidRDefault="0079099C" w:rsidP="00A818E2">
      <w:pPr>
        <w:pStyle w:val="FootnoteText"/>
        <w:spacing w:after="0" w:line="240" w:lineRule="auto"/>
        <w:jc w:val="both"/>
        <w:rPr>
          <w:rFonts w:ascii="Times New Roman" w:hAnsi="Times New Roman" w:cs="Times New Roman"/>
          <w:sz w:val="20"/>
          <w:szCs w:val="20"/>
        </w:rPr>
      </w:pPr>
      <w:r w:rsidRPr="00135614">
        <w:rPr>
          <w:rStyle w:val="FootnoteReference"/>
          <w:rFonts w:ascii="Times New Roman" w:eastAsiaTheme="majorEastAsia" w:hAnsi="Times New Roman" w:cs="Times New Roman"/>
          <w:sz w:val="20"/>
          <w:szCs w:val="20"/>
        </w:rPr>
        <w:footnoteRef/>
      </w:r>
      <w:r w:rsidRPr="00135614">
        <w:rPr>
          <w:rFonts w:ascii="Times New Roman" w:hAnsi="Times New Roman" w:cs="Times New Roman"/>
          <w:sz w:val="20"/>
          <w:szCs w:val="20"/>
        </w:rPr>
        <w:t xml:space="preserve"> </w:t>
      </w:r>
      <w:r w:rsidRPr="00135614">
        <w:rPr>
          <w:rFonts w:ascii="Times New Roman" w:hAnsi="Times New Roman" w:cs="Times New Roman"/>
          <w:i/>
          <w:sz w:val="20"/>
          <w:szCs w:val="20"/>
        </w:rPr>
        <w:t>Ibid,</w:t>
      </w:r>
      <w:r w:rsidRPr="00135614">
        <w:rPr>
          <w:rFonts w:ascii="Times New Roman" w:hAnsi="Times New Roman" w:cs="Times New Roman"/>
          <w:sz w:val="20"/>
          <w:szCs w:val="20"/>
        </w:rPr>
        <w:t xml:space="preserve"> paras. 1671, 1679.</w:t>
      </w:r>
    </w:p>
  </w:footnote>
  <w:footnote w:id="128">
    <w:p w14:paraId="2C43CE1D" w14:textId="6351841C" w:rsidR="0079099C" w:rsidRPr="00135614" w:rsidRDefault="0079099C" w:rsidP="00A818E2">
      <w:pPr>
        <w:pStyle w:val="FootnoteText"/>
        <w:spacing w:after="0" w:line="240" w:lineRule="auto"/>
        <w:jc w:val="both"/>
        <w:rPr>
          <w:rFonts w:ascii="Times New Roman" w:hAnsi="Times New Roman" w:cs="Times New Roman"/>
          <w:sz w:val="20"/>
          <w:szCs w:val="20"/>
        </w:rPr>
      </w:pPr>
      <w:r w:rsidRPr="00135614">
        <w:rPr>
          <w:rStyle w:val="FootnoteReference"/>
          <w:rFonts w:ascii="Times New Roman" w:eastAsiaTheme="majorEastAsia" w:hAnsi="Times New Roman" w:cs="Times New Roman"/>
          <w:sz w:val="20"/>
          <w:szCs w:val="20"/>
        </w:rPr>
        <w:footnoteRef/>
      </w:r>
      <w:r w:rsidRPr="00135614">
        <w:rPr>
          <w:rFonts w:ascii="Times New Roman" w:hAnsi="Times New Roman" w:cs="Times New Roman"/>
          <w:sz w:val="20"/>
          <w:szCs w:val="20"/>
        </w:rPr>
        <w:t xml:space="preserve"> </w:t>
      </w:r>
      <w:r w:rsidRPr="00135614">
        <w:rPr>
          <w:rFonts w:ascii="Times New Roman" w:hAnsi="Times New Roman" w:cs="Times New Roman"/>
          <w:i/>
          <w:sz w:val="20"/>
          <w:szCs w:val="20"/>
        </w:rPr>
        <w:t>Ibid,</w:t>
      </w:r>
      <w:r w:rsidRPr="00135614">
        <w:rPr>
          <w:rFonts w:ascii="Times New Roman" w:hAnsi="Times New Roman" w:cs="Times New Roman"/>
          <w:sz w:val="20"/>
          <w:szCs w:val="20"/>
        </w:rPr>
        <w:t xml:space="preserve"> para. 1676.</w:t>
      </w:r>
    </w:p>
  </w:footnote>
  <w:footnote w:id="129">
    <w:p w14:paraId="4047078D" w14:textId="52A4185F" w:rsidR="0079099C" w:rsidRPr="00135614" w:rsidRDefault="0079099C" w:rsidP="00A818E2">
      <w:pPr>
        <w:pStyle w:val="FootnoteText"/>
        <w:spacing w:after="0" w:line="240" w:lineRule="auto"/>
        <w:jc w:val="both"/>
        <w:rPr>
          <w:rFonts w:ascii="Times New Roman" w:hAnsi="Times New Roman" w:cs="Times New Roman"/>
          <w:sz w:val="20"/>
          <w:szCs w:val="20"/>
          <w:lang w:val="en-US"/>
        </w:rPr>
      </w:pPr>
      <w:r w:rsidRPr="00135614">
        <w:rPr>
          <w:rStyle w:val="FootnoteReference"/>
          <w:rFonts w:ascii="Times New Roman" w:hAnsi="Times New Roman" w:cs="Times New Roman"/>
          <w:sz w:val="20"/>
          <w:szCs w:val="20"/>
        </w:rPr>
        <w:footnoteRef/>
      </w:r>
      <w:r w:rsidRPr="00135614">
        <w:rPr>
          <w:rFonts w:ascii="Times New Roman" w:hAnsi="Times New Roman" w:cs="Times New Roman"/>
          <w:sz w:val="20"/>
          <w:szCs w:val="20"/>
        </w:rPr>
        <w:t xml:space="preserve"> </w:t>
      </w:r>
      <w:r w:rsidRPr="00135614">
        <w:rPr>
          <w:rFonts w:ascii="Times New Roman" w:hAnsi="Times New Roman" w:cs="Times New Roman"/>
          <w:i/>
          <w:sz w:val="20"/>
          <w:szCs w:val="20"/>
        </w:rPr>
        <w:t>Ibid</w:t>
      </w:r>
      <w:r w:rsidRPr="00135614">
        <w:rPr>
          <w:rFonts w:ascii="Times New Roman" w:hAnsi="Times New Roman" w:cs="Times New Roman"/>
          <w:sz w:val="20"/>
          <w:szCs w:val="20"/>
        </w:rPr>
        <w:t>, paras. 292, 295, 299. Emphasis added</w:t>
      </w:r>
    </w:p>
  </w:footnote>
  <w:footnote w:id="130">
    <w:p w14:paraId="7FF97DF7" w14:textId="0C4ACEA2" w:rsidR="0079099C" w:rsidRPr="00135614" w:rsidRDefault="0079099C" w:rsidP="00A818E2">
      <w:pPr>
        <w:widowControl w:val="0"/>
        <w:autoSpaceDE w:val="0"/>
        <w:autoSpaceDN w:val="0"/>
        <w:adjustRightInd w:val="0"/>
        <w:spacing w:after="0" w:line="240" w:lineRule="auto"/>
        <w:jc w:val="both"/>
        <w:rPr>
          <w:rFonts w:ascii="Times New Roman" w:eastAsiaTheme="minorEastAsia" w:hAnsi="Times New Roman" w:cs="Times New Roman"/>
          <w:sz w:val="20"/>
          <w:szCs w:val="20"/>
          <w:lang w:val="en-US"/>
        </w:rPr>
      </w:pPr>
      <w:r w:rsidRPr="00135614">
        <w:rPr>
          <w:rStyle w:val="FootnoteReference"/>
          <w:rFonts w:ascii="Times New Roman" w:hAnsi="Times New Roman" w:cs="Times New Roman"/>
          <w:sz w:val="20"/>
          <w:szCs w:val="20"/>
        </w:rPr>
        <w:footnoteRef/>
      </w:r>
      <w:r w:rsidRPr="00135614">
        <w:rPr>
          <w:rFonts w:ascii="Times New Roman" w:hAnsi="Times New Roman" w:cs="Times New Roman"/>
          <w:sz w:val="20"/>
          <w:szCs w:val="20"/>
        </w:rPr>
        <w:t xml:space="preserve"> </w:t>
      </w:r>
      <w:r w:rsidRPr="00135614">
        <w:rPr>
          <w:rFonts w:ascii="Times New Roman" w:eastAsia="Times New Roman" w:hAnsi="Times New Roman" w:cs="Times New Roman"/>
          <w:sz w:val="20"/>
          <w:szCs w:val="20"/>
          <w:lang w:eastAsia="en-GB"/>
        </w:rPr>
        <w:t xml:space="preserve">Prosecutor v. </w:t>
      </w:r>
      <w:r w:rsidRPr="00135614">
        <w:rPr>
          <w:rFonts w:ascii="Times New Roman" w:hAnsi="Times New Roman" w:cs="Times New Roman"/>
          <w:i/>
          <w:sz w:val="20"/>
          <w:szCs w:val="20"/>
          <w:lang w:val="en-US"/>
        </w:rPr>
        <w:t>Mbarushimana</w:t>
      </w:r>
      <w:r w:rsidRPr="00135614">
        <w:rPr>
          <w:rFonts w:ascii="Times New Roman" w:hAnsi="Times New Roman" w:cs="Times New Roman"/>
          <w:sz w:val="20"/>
          <w:szCs w:val="20"/>
          <w:lang w:val="en-US"/>
        </w:rPr>
        <w:t xml:space="preserve">, </w:t>
      </w:r>
      <w:r w:rsidRPr="00135614">
        <w:rPr>
          <w:rFonts w:ascii="Times New Roman" w:hAnsi="Times New Roman" w:cs="Times New Roman"/>
          <w:sz w:val="20"/>
          <w:szCs w:val="20"/>
        </w:rPr>
        <w:t xml:space="preserve">Appeals Chamber, ICC-01/04-01/10 OA4, </w:t>
      </w:r>
      <w:r w:rsidRPr="00135614">
        <w:rPr>
          <w:rFonts w:ascii="Times New Roman" w:eastAsiaTheme="minorEastAsia" w:hAnsi="Times New Roman" w:cs="Times New Roman"/>
          <w:sz w:val="20"/>
          <w:szCs w:val="20"/>
          <w:lang w:val="en-US"/>
        </w:rPr>
        <w:t>Judgment on the appeal of the Prosecutor against the decision of Pre-Trial Chamber I of 16 December 2011 entitled “Decision on the confirmation of charges”</w:t>
      </w:r>
      <w:r w:rsidRPr="00135614">
        <w:rPr>
          <w:rFonts w:ascii="Times New Roman" w:hAnsi="Times New Roman" w:cs="Times New Roman"/>
          <w:sz w:val="20"/>
          <w:szCs w:val="20"/>
        </w:rPr>
        <w:t>, 30 May 2012</w:t>
      </w:r>
      <w:r w:rsidR="008834A2">
        <w:rPr>
          <w:rFonts w:ascii="Times New Roman" w:hAnsi="Times New Roman" w:cs="Times New Roman"/>
          <w:sz w:val="20"/>
          <w:szCs w:val="20"/>
        </w:rPr>
        <w:t xml:space="preserve">, </w:t>
      </w:r>
      <w:r w:rsidRPr="00135614">
        <w:rPr>
          <w:rFonts w:ascii="Times New Roman" w:hAnsi="Times New Roman" w:cs="Times New Roman"/>
          <w:sz w:val="20"/>
          <w:szCs w:val="20"/>
        </w:rPr>
        <w:t>paras. 68, 70.</w:t>
      </w:r>
    </w:p>
  </w:footnote>
  <w:footnote w:id="131">
    <w:p w14:paraId="21627374" w14:textId="77777777" w:rsidR="0079099C" w:rsidRPr="00135614" w:rsidRDefault="0079099C" w:rsidP="00A818E2">
      <w:pPr>
        <w:pStyle w:val="FootnoteText"/>
        <w:spacing w:after="0" w:line="240" w:lineRule="auto"/>
        <w:jc w:val="both"/>
        <w:rPr>
          <w:rFonts w:ascii="Times New Roman" w:hAnsi="Times New Roman" w:cs="Times New Roman"/>
          <w:sz w:val="20"/>
          <w:szCs w:val="20"/>
          <w:lang w:val="en-US"/>
        </w:rPr>
      </w:pPr>
      <w:r w:rsidRPr="00135614">
        <w:rPr>
          <w:rStyle w:val="FootnoteReference"/>
          <w:rFonts w:ascii="Times New Roman" w:hAnsi="Times New Roman" w:cs="Times New Roman"/>
          <w:sz w:val="20"/>
          <w:szCs w:val="20"/>
        </w:rPr>
        <w:footnoteRef/>
      </w:r>
      <w:r w:rsidRPr="00135614">
        <w:rPr>
          <w:rFonts w:ascii="Times New Roman" w:hAnsi="Times New Roman" w:cs="Times New Roman"/>
          <w:sz w:val="20"/>
          <w:szCs w:val="20"/>
        </w:rPr>
        <w:t xml:space="preserve"> </w:t>
      </w:r>
      <w:r w:rsidRPr="00135614">
        <w:rPr>
          <w:rFonts w:ascii="Times New Roman" w:eastAsia="Times New Roman" w:hAnsi="Times New Roman" w:cs="Times New Roman"/>
          <w:sz w:val="20"/>
          <w:szCs w:val="20"/>
          <w:lang w:eastAsia="en-GB"/>
        </w:rPr>
        <w:t xml:space="preserve">Prosecutor v. </w:t>
      </w:r>
      <w:r w:rsidRPr="00135614">
        <w:rPr>
          <w:rFonts w:ascii="Times New Roman" w:hAnsi="Times New Roman" w:cs="Times New Roman"/>
          <w:i/>
          <w:sz w:val="20"/>
          <w:szCs w:val="20"/>
          <w:lang w:val="en-US"/>
        </w:rPr>
        <w:t>Mbarushimana</w:t>
      </w:r>
      <w:r w:rsidRPr="00135614">
        <w:rPr>
          <w:rFonts w:ascii="Times New Roman" w:hAnsi="Times New Roman" w:cs="Times New Roman"/>
          <w:sz w:val="20"/>
          <w:szCs w:val="20"/>
          <w:lang w:val="en-US"/>
        </w:rPr>
        <w:t xml:space="preserve">, </w:t>
      </w:r>
      <w:r w:rsidRPr="00135614">
        <w:rPr>
          <w:rFonts w:ascii="Times New Roman" w:hAnsi="Times New Roman" w:cs="Times New Roman"/>
          <w:sz w:val="20"/>
          <w:szCs w:val="20"/>
        </w:rPr>
        <w:t>Appeals Chamber, ICC-01/04-01/10 OA4, Separate Opinion of Judge Silvia Fern</w:t>
      </w:r>
      <w:r w:rsidRPr="00135614">
        <w:rPr>
          <w:rFonts w:ascii="Times New Roman" w:eastAsiaTheme="minorEastAsia" w:hAnsi="Times New Roman" w:cs="Times New Roman"/>
          <w:sz w:val="20"/>
          <w:szCs w:val="20"/>
          <w:lang w:val="en-US"/>
        </w:rPr>
        <w:t>á</w:t>
      </w:r>
      <w:r w:rsidRPr="00135614">
        <w:rPr>
          <w:rFonts w:ascii="Times New Roman" w:hAnsi="Times New Roman" w:cs="Times New Roman"/>
          <w:sz w:val="20"/>
          <w:szCs w:val="20"/>
        </w:rPr>
        <w:t>ndez de Gurmendi, 30 May 2012 (‘</w:t>
      </w:r>
      <w:r w:rsidRPr="00135614">
        <w:rPr>
          <w:rFonts w:ascii="Times New Roman" w:hAnsi="Times New Roman" w:cs="Times New Roman"/>
          <w:sz w:val="20"/>
          <w:szCs w:val="20"/>
          <w:lang w:val="en-US"/>
        </w:rPr>
        <w:t xml:space="preserve">Separate Opinion of Judge </w:t>
      </w:r>
      <w:r w:rsidRPr="00135614">
        <w:rPr>
          <w:rFonts w:ascii="Times New Roman" w:hAnsi="Times New Roman" w:cs="Times New Roman"/>
          <w:sz w:val="20"/>
          <w:szCs w:val="20"/>
        </w:rPr>
        <w:t>Fern</w:t>
      </w:r>
      <w:r w:rsidRPr="00135614">
        <w:rPr>
          <w:rFonts w:ascii="Times New Roman" w:eastAsiaTheme="minorEastAsia" w:hAnsi="Times New Roman" w:cs="Times New Roman"/>
          <w:sz w:val="20"/>
          <w:szCs w:val="20"/>
          <w:lang w:val="en-US"/>
        </w:rPr>
        <w:t>á</w:t>
      </w:r>
      <w:r w:rsidRPr="00135614">
        <w:rPr>
          <w:rFonts w:ascii="Times New Roman" w:hAnsi="Times New Roman" w:cs="Times New Roman"/>
          <w:sz w:val="20"/>
          <w:szCs w:val="20"/>
        </w:rPr>
        <w:t>ndez de Gurmendi</w:t>
      </w:r>
      <w:r w:rsidRPr="00135614">
        <w:rPr>
          <w:rFonts w:ascii="Times New Roman" w:hAnsi="Times New Roman" w:cs="Times New Roman"/>
          <w:sz w:val="20"/>
          <w:szCs w:val="20"/>
          <w:lang w:val="en-US"/>
        </w:rPr>
        <w:t>’).</w:t>
      </w:r>
    </w:p>
  </w:footnote>
  <w:footnote w:id="132">
    <w:p w14:paraId="58F3F365" w14:textId="38B9B4A6" w:rsidR="0079099C" w:rsidRPr="00135614" w:rsidRDefault="0079099C" w:rsidP="00A818E2">
      <w:pPr>
        <w:pStyle w:val="FootnoteText"/>
        <w:spacing w:after="0" w:line="240" w:lineRule="auto"/>
        <w:jc w:val="both"/>
        <w:rPr>
          <w:rFonts w:ascii="Times New Roman" w:hAnsi="Times New Roman" w:cs="Times New Roman"/>
          <w:sz w:val="20"/>
          <w:szCs w:val="20"/>
        </w:rPr>
      </w:pPr>
      <w:r w:rsidRPr="00135614">
        <w:rPr>
          <w:rStyle w:val="FootnoteReference"/>
          <w:rFonts w:ascii="Times New Roman" w:eastAsiaTheme="majorEastAsia" w:hAnsi="Times New Roman" w:cs="Times New Roman"/>
          <w:sz w:val="20"/>
          <w:szCs w:val="20"/>
        </w:rPr>
        <w:footnoteRef/>
      </w:r>
      <w:r w:rsidRPr="00135614">
        <w:rPr>
          <w:rFonts w:ascii="Times New Roman" w:hAnsi="Times New Roman" w:cs="Times New Roman"/>
          <w:sz w:val="20"/>
          <w:szCs w:val="20"/>
        </w:rPr>
        <w:t xml:space="preserve"> </w:t>
      </w:r>
      <w:r w:rsidRPr="00135614">
        <w:rPr>
          <w:rFonts w:ascii="Times New Roman" w:hAnsi="Times New Roman" w:cs="Times New Roman"/>
          <w:i/>
          <w:sz w:val="20"/>
          <w:szCs w:val="20"/>
        </w:rPr>
        <w:t xml:space="preserve">Ibid, </w:t>
      </w:r>
      <w:r w:rsidRPr="00135614">
        <w:rPr>
          <w:rFonts w:ascii="Times New Roman" w:hAnsi="Times New Roman" w:cs="Times New Roman"/>
          <w:sz w:val="20"/>
          <w:szCs w:val="20"/>
        </w:rPr>
        <w:t>para. 9.</w:t>
      </w:r>
    </w:p>
  </w:footnote>
  <w:footnote w:id="133">
    <w:p w14:paraId="21CD43C2" w14:textId="44CC7D33" w:rsidR="0079099C" w:rsidRPr="00135614" w:rsidRDefault="0079099C" w:rsidP="00A818E2">
      <w:pPr>
        <w:pStyle w:val="FootnoteText"/>
        <w:spacing w:after="0" w:line="240" w:lineRule="auto"/>
        <w:jc w:val="both"/>
        <w:rPr>
          <w:rFonts w:ascii="Times New Roman" w:hAnsi="Times New Roman" w:cs="Times New Roman"/>
          <w:sz w:val="20"/>
          <w:szCs w:val="20"/>
        </w:rPr>
      </w:pPr>
      <w:r w:rsidRPr="00135614">
        <w:rPr>
          <w:rStyle w:val="FootnoteReference"/>
          <w:rFonts w:ascii="Times New Roman" w:eastAsiaTheme="majorEastAsia" w:hAnsi="Times New Roman" w:cs="Times New Roman"/>
          <w:sz w:val="20"/>
          <w:szCs w:val="20"/>
        </w:rPr>
        <w:footnoteRef/>
      </w:r>
      <w:r w:rsidRPr="00135614">
        <w:rPr>
          <w:rFonts w:ascii="Times New Roman" w:hAnsi="Times New Roman" w:cs="Times New Roman"/>
          <w:sz w:val="20"/>
          <w:szCs w:val="20"/>
        </w:rPr>
        <w:t xml:space="preserve"> </w:t>
      </w:r>
      <w:r w:rsidRPr="00135614">
        <w:rPr>
          <w:rFonts w:ascii="Times New Roman" w:hAnsi="Times New Roman" w:cs="Times New Roman"/>
          <w:i/>
          <w:sz w:val="20"/>
          <w:szCs w:val="20"/>
        </w:rPr>
        <w:t xml:space="preserve">Ibid, </w:t>
      </w:r>
      <w:r w:rsidRPr="00135614">
        <w:rPr>
          <w:rFonts w:ascii="Times New Roman" w:hAnsi="Times New Roman" w:cs="Times New Roman"/>
          <w:sz w:val="20"/>
          <w:szCs w:val="20"/>
        </w:rPr>
        <w:t>paras. 13, 14.</w:t>
      </w:r>
    </w:p>
  </w:footnote>
  <w:footnote w:id="134">
    <w:p w14:paraId="5AAD29B0" w14:textId="69862729" w:rsidR="0079099C" w:rsidRPr="00135614" w:rsidRDefault="0079099C" w:rsidP="00A818E2">
      <w:pPr>
        <w:pStyle w:val="FootnoteText"/>
        <w:spacing w:after="0" w:line="240" w:lineRule="auto"/>
        <w:jc w:val="both"/>
        <w:rPr>
          <w:rFonts w:ascii="Times New Roman" w:hAnsi="Times New Roman" w:cs="Times New Roman"/>
          <w:sz w:val="20"/>
          <w:szCs w:val="20"/>
          <w:lang w:val="en-US"/>
        </w:rPr>
      </w:pPr>
      <w:r w:rsidRPr="00135614">
        <w:rPr>
          <w:rStyle w:val="FootnoteReference"/>
          <w:rFonts w:ascii="Times New Roman" w:hAnsi="Times New Roman" w:cs="Times New Roman"/>
          <w:sz w:val="20"/>
          <w:szCs w:val="20"/>
        </w:rPr>
        <w:footnoteRef/>
      </w:r>
      <w:r w:rsidRPr="00135614">
        <w:rPr>
          <w:rFonts w:ascii="Times New Roman" w:hAnsi="Times New Roman" w:cs="Times New Roman"/>
          <w:sz w:val="20"/>
          <w:szCs w:val="20"/>
        </w:rPr>
        <w:t xml:space="preserve"> </w:t>
      </w:r>
      <w:r w:rsidRPr="00135614">
        <w:rPr>
          <w:rFonts w:ascii="Times New Roman" w:hAnsi="Times New Roman" w:cs="Times New Roman"/>
          <w:i/>
          <w:sz w:val="20"/>
          <w:szCs w:val="20"/>
        </w:rPr>
        <w:t xml:space="preserve">Ibid, </w:t>
      </w:r>
      <w:r w:rsidRPr="00135614">
        <w:rPr>
          <w:rFonts w:ascii="Times New Roman" w:hAnsi="Times New Roman" w:cs="Times New Roman"/>
          <w:sz w:val="20"/>
          <w:szCs w:val="20"/>
        </w:rPr>
        <w:t>para. 12.</w:t>
      </w:r>
    </w:p>
  </w:footnote>
  <w:footnote w:id="135">
    <w:p w14:paraId="703D315E" w14:textId="094387B4" w:rsidR="0079099C" w:rsidRPr="00135614" w:rsidRDefault="0079099C" w:rsidP="00A818E2">
      <w:pPr>
        <w:pStyle w:val="FootnoteText"/>
        <w:spacing w:after="0" w:line="240" w:lineRule="auto"/>
        <w:jc w:val="both"/>
        <w:rPr>
          <w:rFonts w:ascii="Times New Roman" w:hAnsi="Times New Roman" w:cs="Times New Roman"/>
          <w:sz w:val="20"/>
          <w:szCs w:val="20"/>
          <w:lang w:val="en-US"/>
        </w:rPr>
      </w:pPr>
      <w:r w:rsidRPr="00135614">
        <w:rPr>
          <w:rStyle w:val="FootnoteReference"/>
          <w:rFonts w:ascii="Times New Roman" w:hAnsi="Times New Roman" w:cs="Times New Roman"/>
          <w:sz w:val="20"/>
          <w:szCs w:val="20"/>
        </w:rPr>
        <w:footnoteRef/>
      </w:r>
      <w:r w:rsidRPr="00135614">
        <w:rPr>
          <w:rFonts w:ascii="Times New Roman" w:hAnsi="Times New Roman" w:cs="Times New Roman"/>
          <w:sz w:val="20"/>
          <w:szCs w:val="20"/>
        </w:rPr>
        <w:t xml:space="preserve"> </w:t>
      </w:r>
      <w:r w:rsidRPr="00135614">
        <w:rPr>
          <w:rFonts w:ascii="Times New Roman" w:hAnsi="Times New Roman" w:cs="Times New Roman"/>
          <w:i/>
          <w:sz w:val="20"/>
          <w:szCs w:val="20"/>
        </w:rPr>
        <w:t>Ibid.</w:t>
      </w:r>
    </w:p>
  </w:footnote>
  <w:footnote w:id="136">
    <w:p w14:paraId="57F6AED6" w14:textId="1B6D2627" w:rsidR="0079099C" w:rsidRPr="00135614" w:rsidRDefault="0079099C" w:rsidP="00A818E2">
      <w:pPr>
        <w:pStyle w:val="FootnoteText"/>
        <w:spacing w:after="0" w:line="240" w:lineRule="auto"/>
        <w:jc w:val="both"/>
        <w:rPr>
          <w:rFonts w:ascii="Times New Roman" w:hAnsi="Times New Roman" w:cs="Times New Roman"/>
          <w:sz w:val="20"/>
          <w:szCs w:val="20"/>
          <w:lang w:val="en-US"/>
        </w:rPr>
      </w:pPr>
      <w:r w:rsidRPr="00135614">
        <w:rPr>
          <w:rStyle w:val="FootnoteReference"/>
          <w:rFonts w:ascii="Times New Roman" w:hAnsi="Times New Roman" w:cs="Times New Roman"/>
          <w:sz w:val="20"/>
          <w:szCs w:val="20"/>
        </w:rPr>
        <w:footnoteRef/>
      </w:r>
      <w:r w:rsidRPr="00135614">
        <w:rPr>
          <w:rFonts w:ascii="Times New Roman" w:hAnsi="Times New Roman" w:cs="Times New Roman"/>
          <w:sz w:val="20"/>
          <w:szCs w:val="20"/>
        </w:rPr>
        <w:t xml:space="preserve"> Minority Opinion of Judge van den Wyngaert, </w:t>
      </w:r>
      <w:r w:rsidRPr="00C35F07">
        <w:rPr>
          <w:rFonts w:ascii="Times New Roman" w:hAnsi="Times New Roman" w:cs="Times New Roman"/>
          <w:i/>
          <w:sz w:val="20"/>
          <w:szCs w:val="20"/>
        </w:rPr>
        <w:t>supra</w:t>
      </w:r>
      <w:r>
        <w:rPr>
          <w:rFonts w:ascii="Times New Roman" w:hAnsi="Times New Roman" w:cs="Times New Roman"/>
          <w:sz w:val="20"/>
          <w:szCs w:val="20"/>
        </w:rPr>
        <w:t xml:space="preserve"> note 8, </w:t>
      </w:r>
      <w:r w:rsidRPr="00135614">
        <w:rPr>
          <w:rFonts w:ascii="Times New Roman" w:hAnsi="Times New Roman" w:cs="Times New Roman"/>
          <w:sz w:val="20"/>
          <w:szCs w:val="20"/>
        </w:rPr>
        <w:t>para. 287.</w:t>
      </w:r>
    </w:p>
  </w:footnote>
  <w:footnote w:id="137">
    <w:p w14:paraId="41598A1D" w14:textId="0C2FD2B9" w:rsidR="0079099C" w:rsidRPr="00135614" w:rsidRDefault="0079099C" w:rsidP="00A818E2">
      <w:pPr>
        <w:pStyle w:val="FootnoteText"/>
        <w:spacing w:after="0" w:line="240" w:lineRule="auto"/>
        <w:jc w:val="both"/>
        <w:rPr>
          <w:rFonts w:ascii="Times New Roman" w:hAnsi="Times New Roman" w:cs="Times New Roman"/>
          <w:sz w:val="20"/>
          <w:szCs w:val="20"/>
        </w:rPr>
      </w:pPr>
      <w:r w:rsidRPr="00135614">
        <w:rPr>
          <w:rStyle w:val="FootnoteReference"/>
          <w:rFonts w:ascii="Times New Roman" w:eastAsiaTheme="majorEastAsia" w:hAnsi="Times New Roman" w:cs="Times New Roman"/>
          <w:sz w:val="20"/>
          <w:szCs w:val="20"/>
        </w:rPr>
        <w:footnoteRef/>
      </w:r>
      <w:r w:rsidRPr="00135614">
        <w:rPr>
          <w:rFonts w:ascii="Times New Roman" w:hAnsi="Times New Roman" w:cs="Times New Roman"/>
          <w:sz w:val="20"/>
          <w:szCs w:val="20"/>
        </w:rPr>
        <w:t xml:space="preserve"> </w:t>
      </w:r>
      <w:r w:rsidRPr="00135614">
        <w:rPr>
          <w:rFonts w:ascii="Times New Roman" w:hAnsi="Times New Roman" w:cs="Times New Roman"/>
          <w:i/>
          <w:sz w:val="20"/>
          <w:szCs w:val="20"/>
        </w:rPr>
        <w:t>Katanga</w:t>
      </w:r>
      <w:r w:rsidRPr="00135614">
        <w:rPr>
          <w:rFonts w:ascii="Times New Roman" w:hAnsi="Times New Roman" w:cs="Times New Roman"/>
          <w:sz w:val="20"/>
          <w:szCs w:val="20"/>
        </w:rPr>
        <w:t xml:space="preserve"> Judgement, </w:t>
      </w:r>
      <w:r w:rsidRPr="002C4E23">
        <w:rPr>
          <w:rFonts w:ascii="Times New Roman" w:hAnsi="Times New Roman" w:cs="Times New Roman"/>
          <w:i/>
          <w:sz w:val="20"/>
          <w:szCs w:val="20"/>
        </w:rPr>
        <w:t>supra</w:t>
      </w:r>
      <w:r>
        <w:rPr>
          <w:rFonts w:ascii="Times New Roman" w:hAnsi="Times New Roman" w:cs="Times New Roman"/>
          <w:sz w:val="20"/>
          <w:szCs w:val="20"/>
        </w:rPr>
        <w:t xml:space="preserve"> note 8, </w:t>
      </w:r>
      <w:r w:rsidRPr="00135614">
        <w:rPr>
          <w:rFonts w:ascii="Times New Roman" w:hAnsi="Times New Roman" w:cs="Times New Roman"/>
          <w:sz w:val="20"/>
          <w:szCs w:val="20"/>
        </w:rPr>
        <w:t>paras. 1635, 1636.</w:t>
      </w:r>
    </w:p>
  </w:footnote>
  <w:footnote w:id="138">
    <w:p w14:paraId="23144EC2" w14:textId="75F794E3" w:rsidR="0079099C" w:rsidRPr="00135614" w:rsidRDefault="0079099C" w:rsidP="00A818E2">
      <w:pPr>
        <w:pStyle w:val="FootnoteText"/>
        <w:spacing w:after="0" w:line="240" w:lineRule="auto"/>
        <w:jc w:val="both"/>
        <w:rPr>
          <w:rFonts w:ascii="Times New Roman" w:hAnsi="Times New Roman" w:cs="Times New Roman"/>
          <w:sz w:val="20"/>
          <w:szCs w:val="20"/>
        </w:rPr>
      </w:pPr>
      <w:r w:rsidRPr="00135614">
        <w:rPr>
          <w:rStyle w:val="FootnoteReference"/>
          <w:rFonts w:ascii="Times New Roman" w:eastAsiaTheme="majorEastAsia" w:hAnsi="Times New Roman" w:cs="Times New Roman"/>
          <w:sz w:val="20"/>
          <w:szCs w:val="20"/>
        </w:rPr>
        <w:footnoteRef/>
      </w:r>
      <w:r w:rsidRPr="00135614">
        <w:rPr>
          <w:rFonts w:ascii="Times New Roman" w:hAnsi="Times New Roman" w:cs="Times New Roman"/>
          <w:i/>
          <w:sz w:val="20"/>
          <w:szCs w:val="20"/>
        </w:rPr>
        <w:t xml:space="preserve"> Ibid,</w:t>
      </w:r>
      <w:r w:rsidRPr="00135614">
        <w:rPr>
          <w:rFonts w:ascii="Times New Roman" w:hAnsi="Times New Roman" w:cs="Times New Roman"/>
          <w:sz w:val="20"/>
          <w:szCs w:val="20"/>
        </w:rPr>
        <w:t xml:space="preserve"> para.1637.</w:t>
      </w:r>
    </w:p>
  </w:footnote>
  <w:footnote w:id="139">
    <w:p w14:paraId="6814A672" w14:textId="0190E2F5" w:rsidR="0079099C" w:rsidRPr="00135614" w:rsidRDefault="0079099C" w:rsidP="00A818E2">
      <w:pPr>
        <w:pStyle w:val="FootnoteText"/>
        <w:spacing w:after="0" w:line="240" w:lineRule="auto"/>
        <w:jc w:val="both"/>
        <w:rPr>
          <w:rFonts w:ascii="Times New Roman" w:hAnsi="Times New Roman" w:cs="Times New Roman"/>
          <w:sz w:val="20"/>
          <w:szCs w:val="20"/>
        </w:rPr>
      </w:pPr>
      <w:r w:rsidRPr="00135614">
        <w:rPr>
          <w:rStyle w:val="FootnoteReference"/>
          <w:rFonts w:ascii="Times New Roman" w:eastAsiaTheme="majorEastAsia" w:hAnsi="Times New Roman" w:cs="Times New Roman"/>
          <w:sz w:val="20"/>
          <w:szCs w:val="20"/>
        </w:rPr>
        <w:footnoteRef/>
      </w:r>
      <w:r w:rsidRPr="00135614">
        <w:rPr>
          <w:rFonts w:ascii="Times New Roman" w:hAnsi="Times New Roman" w:cs="Times New Roman"/>
          <w:sz w:val="20"/>
          <w:szCs w:val="20"/>
        </w:rPr>
        <w:t xml:space="preserve"> </w:t>
      </w:r>
      <w:r>
        <w:rPr>
          <w:rFonts w:ascii="Times New Roman" w:hAnsi="Times New Roman" w:cs="Times New Roman"/>
          <w:i/>
          <w:sz w:val="20"/>
          <w:szCs w:val="20"/>
        </w:rPr>
        <w:t>Ibid</w:t>
      </w:r>
      <w:r>
        <w:rPr>
          <w:rFonts w:ascii="Times New Roman" w:hAnsi="Times New Roman" w:cs="Times New Roman"/>
          <w:sz w:val="20"/>
          <w:szCs w:val="20"/>
        </w:rPr>
        <w:t xml:space="preserve">, </w:t>
      </w:r>
      <w:r w:rsidRPr="00135614">
        <w:rPr>
          <w:rFonts w:ascii="Times New Roman" w:hAnsi="Times New Roman" w:cs="Times New Roman"/>
          <w:sz w:val="20"/>
          <w:szCs w:val="20"/>
        </w:rPr>
        <w:t>para. 1639.</w:t>
      </w:r>
    </w:p>
  </w:footnote>
  <w:footnote w:id="140">
    <w:p w14:paraId="486EF7E5" w14:textId="6B96157F" w:rsidR="0079099C" w:rsidRPr="006307AA" w:rsidRDefault="0079099C" w:rsidP="00A818E2">
      <w:pPr>
        <w:pStyle w:val="FootnoteText"/>
        <w:spacing w:after="0" w:line="240" w:lineRule="auto"/>
        <w:jc w:val="both"/>
        <w:rPr>
          <w:rFonts w:ascii="Times New Roman" w:hAnsi="Times New Roman" w:cs="Times New Roman"/>
          <w:sz w:val="20"/>
          <w:szCs w:val="20"/>
          <w:lang w:val="es-ES"/>
        </w:rPr>
      </w:pPr>
      <w:r w:rsidRPr="00135614">
        <w:rPr>
          <w:rStyle w:val="FootnoteReference"/>
          <w:rFonts w:ascii="Times New Roman" w:eastAsiaTheme="majorEastAsia" w:hAnsi="Times New Roman" w:cs="Times New Roman"/>
          <w:sz w:val="20"/>
          <w:szCs w:val="20"/>
        </w:rPr>
        <w:footnoteRef/>
      </w:r>
      <w:r w:rsidRPr="006307AA">
        <w:rPr>
          <w:rFonts w:ascii="Times New Roman" w:hAnsi="Times New Roman" w:cs="Times New Roman"/>
          <w:sz w:val="20"/>
          <w:szCs w:val="20"/>
          <w:lang w:val="es-ES"/>
        </w:rPr>
        <w:t xml:space="preserve"> </w:t>
      </w:r>
      <w:r w:rsidRPr="006307AA">
        <w:rPr>
          <w:rFonts w:ascii="Times New Roman" w:hAnsi="Times New Roman" w:cs="Times New Roman"/>
          <w:i/>
          <w:sz w:val="20"/>
          <w:szCs w:val="20"/>
          <w:lang w:val="es-ES"/>
        </w:rPr>
        <w:t>Ibid</w:t>
      </w:r>
      <w:r w:rsidRPr="006307AA">
        <w:rPr>
          <w:rFonts w:ascii="Times New Roman" w:hAnsi="Times New Roman" w:cs="Times New Roman"/>
          <w:sz w:val="20"/>
          <w:szCs w:val="20"/>
          <w:lang w:val="es-ES"/>
        </w:rPr>
        <w:t>, paras. 1641, 1642.</w:t>
      </w:r>
    </w:p>
  </w:footnote>
  <w:footnote w:id="141">
    <w:p w14:paraId="6428FA09" w14:textId="524E2F24" w:rsidR="0079099C" w:rsidRPr="006307AA" w:rsidRDefault="0079099C" w:rsidP="00A818E2">
      <w:pPr>
        <w:pStyle w:val="FootnoteText"/>
        <w:spacing w:after="0" w:line="240" w:lineRule="auto"/>
        <w:jc w:val="both"/>
        <w:rPr>
          <w:rFonts w:ascii="Times New Roman" w:hAnsi="Times New Roman" w:cs="Times New Roman"/>
          <w:sz w:val="20"/>
          <w:szCs w:val="20"/>
          <w:lang w:val="es-ES"/>
        </w:rPr>
      </w:pPr>
      <w:r w:rsidRPr="00135614">
        <w:rPr>
          <w:rStyle w:val="FootnoteReference"/>
          <w:rFonts w:ascii="Times New Roman" w:eastAsiaTheme="majorEastAsia" w:hAnsi="Times New Roman" w:cs="Times New Roman"/>
          <w:sz w:val="20"/>
          <w:szCs w:val="20"/>
        </w:rPr>
        <w:footnoteRef/>
      </w:r>
      <w:r w:rsidRPr="006307AA">
        <w:rPr>
          <w:rFonts w:ascii="Times New Roman" w:hAnsi="Times New Roman" w:cs="Times New Roman"/>
          <w:sz w:val="20"/>
          <w:szCs w:val="20"/>
          <w:lang w:val="es-ES"/>
        </w:rPr>
        <w:t xml:space="preserve"> </w:t>
      </w:r>
      <w:r w:rsidRPr="006307AA">
        <w:rPr>
          <w:rFonts w:ascii="Times New Roman" w:hAnsi="Times New Roman" w:cs="Times New Roman"/>
          <w:i/>
          <w:sz w:val="20"/>
          <w:szCs w:val="20"/>
          <w:lang w:val="es-ES"/>
        </w:rPr>
        <w:t>Ibid,</w:t>
      </w:r>
      <w:r w:rsidRPr="006307AA">
        <w:rPr>
          <w:rFonts w:ascii="Times New Roman" w:hAnsi="Times New Roman" w:cs="Times New Roman"/>
          <w:sz w:val="20"/>
          <w:szCs w:val="20"/>
          <w:lang w:val="es-ES"/>
        </w:rPr>
        <w:t xml:space="preserve"> para.1682.</w:t>
      </w:r>
    </w:p>
  </w:footnote>
  <w:footnote w:id="142">
    <w:p w14:paraId="130D100D" w14:textId="259AFF14" w:rsidR="0079099C" w:rsidRPr="00135614" w:rsidRDefault="0079099C" w:rsidP="00A818E2">
      <w:pPr>
        <w:pStyle w:val="FootnoteText"/>
        <w:spacing w:after="0" w:line="240" w:lineRule="auto"/>
        <w:jc w:val="both"/>
        <w:rPr>
          <w:rFonts w:ascii="Times New Roman" w:hAnsi="Times New Roman" w:cs="Times New Roman"/>
          <w:sz w:val="20"/>
          <w:szCs w:val="20"/>
        </w:rPr>
      </w:pPr>
      <w:r w:rsidRPr="00135614">
        <w:rPr>
          <w:rStyle w:val="FootnoteReference"/>
          <w:rFonts w:ascii="Times New Roman" w:eastAsiaTheme="majorEastAsia" w:hAnsi="Times New Roman" w:cs="Times New Roman"/>
          <w:sz w:val="20"/>
          <w:szCs w:val="20"/>
        </w:rPr>
        <w:footnoteRef/>
      </w:r>
      <w:r w:rsidRPr="006307AA">
        <w:rPr>
          <w:rFonts w:ascii="Times New Roman" w:hAnsi="Times New Roman" w:cs="Times New Roman"/>
          <w:sz w:val="20"/>
          <w:szCs w:val="20"/>
          <w:lang w:val="es-ES"/>
        </w:rPr>
        <w:t xml:space="preserve"> </w:t>
      </w:r>
      <w:r w:rsidRPr="006307AA">
        <w:rPr>
          <w:rFonts w:ascii="Times New Roman" w:hAnsi="Times New Roman" w:cs="Times New Roman"/>
          <w:i/>
          <w:sz w:val="20"/>
          <w:szCs w:val="20"/>
          <w:lang w:val="es-ES"/>
        </w:rPr>
        <w:t>Ibid,</w:t>
      </w:r>
      <w:r w:rsidRPr="006307AA">
        <w:rPr>
          <w:rFonts w:ascii="Times New Roman" w:hAnsi="Times New Roman" w:cs="Times New Roman"/>
          <w:sz w:val="20"/>
          <w:szCs w:val="20"/>
          <w:lang w:val="es-ES"/>
        </w:rPr>
        <w:t xml:space="preserve"> paras . </w:t>
      </w:r>
      <w:r w:rsidRPr="00135614">
        <w:rPr>
          <w:rFonts w:ascii="Times New Roman" w:hAnsi="Times New Roman" w:cs="Times New Roman"/>
          <w:sz w:val="20"/>
          <w:szCs w:val="20"/>
        </w:rPr>
        <w:t>1685, 1688, 1689, emphasis added.</w:t>
      </w:r>
    </w:p>
  </w:footnote>
  <w:footnote w:id="143">
    <w:p w14:paraId="772D81F6" w14:textId="2D66B106" w:rsidR="0079099C" w:rsidRPr="00135614" w:rsidRDefault="0079099C" w:rsidP="00A818E2">
      <w:pPr>
        <w:pStyle w:val="FootnoteText"/>
        <w:spacing w:after="0" w:line="240" w:lineRule="auto"/>
        <w:jc w:val="both"/>
        <w:rPr>
          <w:rFonts w:ascii="Times New Roman" w:hAnsi="Times New Roman" w:cs="Times New Roman"/>
          <w:sz w:val="20"/>
          <w:szCs w:val="20"/>
        </w:rPr>
      </w:pPr>
      <w:r w:rsidRPr="00135614">
        <w:rPr>
          <w:rStyle w:val="FootnoteReference"/>
          <w:rFonts w:ascii="Times New Roman" w:eastAsiaTheme="majorEastAsia" w:hAnsi="Times New Roman" w:cs="Times New Roman"/>
          <w:sz w:val="20"/>
          <w:szCs w:val="20"/>
        </w:rPr>
        <w:footnoteRef/>
      </w:r>
      <w:r w:rsidRPr="00135614">
        <w:rPr>
          <w:rFonts w:ascii="Times New Roman" w:hAnsi="Times New Roman" w:cs="Times New Roman"/>
          <w:sz w:val="20"/>
          <w:szCs w:val="20"/>
        </w:rPr>
        <w:t xml:space="preserve"> Minority Opinion of Judge van den Wyngaert, </w:t>
      </w:r>
      <w:r w:rsidRPr="00C35F07">
        <w:rPr>
          <w:rFonts w:ascii="Times New Roman" w:hAnsi="Times New Roman" w:cs="Times New Roman"/>
          <w:i/>
          <w:sz w:val="20"/>
          <w:szCs w:val="20"/>
        </w:rPr>
        <w:t>supra</w:t>
      </w:r>
      <w:r>
        <w:rPr>
          <w:rFonts w:ascii="Times New Roman" w:hAnsi="Times New Roman" w:cs="Times New Roman"/>
          <w:sz w:val="20"/>
          <w:szCs w:val="20"/>
        </w:rPr>
        <w:t xml:space="preserve"> note 8, </w:t>
      </w:r>
      <w:r w:rsidRPr="00135614">
        <w:rPr>
          <w:rFonts w:ascii="Times New Roman" w:hAnsi="Times New Roman" w:cs="Times New Roman"/>
          <w:sz w:val="20"/>
          <w:szCs w:val="20"/>
        </w:rPr>
        <w:t>paras. 291, 304.</w:t>
      </w:r>
    </w:p>
  </w:footnote>
  <w:footnote w:id="144">
    <w:p w14:paraId="1D85DE93" w14:textId="382F7908" w:rsidR="0079099C" w:rsidRPr="00135614" w:rsidRDefault="0079099C" w:rsidP="00A818E2">
      <w:pPr>
        <w:pStyle w:val="FootnoteText"/>
        <w:spacing w:after="0" w:line="240" w:lineRule="auto"/>
        <w:jc w:val="both"/>
        <w:rPr>
          <w:rFonts w:ascii="Times New Roman" w:hAnsi="Times New Roman" w:cs="Times New Roman"/>
          <w:sz w:val="20"/>
          <w:szCs w:val="20"/>
          <w:lang w:val="en-US"/>
        </w:rPr>
      </w:pPr>
      <w:r w:rsidRPr="00135614">
        <w:rPr>
          <w:rStyle w:val="FootnoteReference"/>
          <w:rFonts w:ascii="Times New Roman" w:hAnsi="Times New Roman" w:cs="Times New Roman"/>
          <w:sz w:val="20"/>
          <w:szCs w:val="20"/>
        </w:rPr>
        <w:footnoteRef/>
      </w:r>
      <w:r w:rsidRPr="00135614">
        <w:rPr>
          <w:rFonts w:ascii="Times New Roman" w:hAnsi="Times New Roman" w:cs="Times New Roman"/>
          <w:sz w:val="20"/>
          <w:szCs w:val="20"/>
        </w:rPr>
        <w:t xml:space="preserve"> There is no scholarly agreement on this issue. </w:t>
      </w:r>
      <w:r w:rsidRPr="00135614">
        <w:rPr>
          <w:rFonts w:ascii="Times New Roman" w:eastAsiaTheme="majorEastAsia" w:hAnsi="Times New Roman" w:cs="Times New Roman"/>
          <w:sz w:val="20"/>
          <w:szCs w:val="20"/>
        </w:rPr>
        <w:t xml:space="preserve">See </w:t>
      </w:r>
      <w:r w:rsidRPr="00135614">
        <w:rPr>
          <w:rFonts w:ascii="Times New Roman" w:hAnsi="Times New Roman" w:cs="Times New Roman"/>
          <w:sz w:val="20"/>
          <w:szCs w:val="20"/>
        </w:rPr>
        <w:t>H. Olasolo, The Criminal Responsibility of Senior Political and Military Leaders as Principals to International Crimes (Oxfor</w:t>
      </w:r>
      <w:r>
        <w:rPr>
          <w:rFonts w:ascii="Times New Roman" w:hAnsi="Times New Roman" w:cs="Times New Roman"/>
          <w:sz w:val="20"/>
          <w:szCs w:val="20"/>
        </w:rPr>
        <w:t xml:space="preserve">d, </w:t>
      </w:r>
      <w:r w:rsidRPr="00135614">
        <w:rPr>
          <w:rFonts w:ascii="Times New Roman" w:hAnsi="Times New Roman" w:cs="Times New Roman"/>
          <w:sz w:val="20"/>
          <w:szCs w:val="20"/>
        </w:rPr>
        <w:t>Hart publishing, 2009), pp. 3-4; K. Ambos, ‘</w:t>
      </w:r>
      <w:r w:rsidRPr="00135614">
        <w:rPr>
          <w:rFonts w:ascii="Times New Roman" w:hAnsi="Times New Roman" w:cs="Times New Roman"/>
          <w:bCs/>
          <w:sz w:val="20"/>
          <w:szCs w:val="20"/>
          <w:lang w:val="en-US"/>
        </w:rPr>
        <w:t xml:space="preserve">The First Judgment of the International Criminal Court (Prosecutor v. </w:t>
      </w:r>
      <w:r w:rsidRPr="00135614">
        <w:rPr>
          <w:rFonts w:ascii="Times New Roman" w:hAnsi="Times New Roman" w:cs="Times New Roman"/>
          <w:bCs/>
          <w:i/>
          <w:iCs/>
          <w:sz w:val="20"/>
          <w:szCs w:val="20"/>
          <w:lang w:val="en-US"/>
        </w:rPr>
        <w:t xml:space="preserve">Lubanga): </w:t>
      </w:r>
      <w:r w:rsidRPr="00135614">
        <w:rPr>
          <w:rFonts w:ascii="Times New Roman" w:hAnsi="Times New Roman" w:cs="Times New Roman"/>
          <w:bCs/>
          <w:sz w:val="20"/>
          <w:szCs w:val="20"/>
          <w:lang w:val="en-US"/>
        </w:rPr>
        <w:t xml:space="preserve">A Comprehensive Analysis of the Legal Issues,’ 12 </w:t>
      </w:r>
      <w:r w:rsidRPr="00135614">
        <w:rPr>
          <w:rFonts w:ascii="Times New Roman" w:hAnsi="Times New Roman" w:cs="Times New Roman"/>
          <w:i/>
          <w:sz w:val="20"/>
          <w:szCs w:val="20"/>
        </w:rPr>
        <w:t>International</w:t>
      </w:r>
      <w:r w:rsidRPr="00135614">
        <w:rPr>
          <w:rFonts w:ascii="Times New Roman" w:hAnsi="Times New Roman" w:cs="Times New Roman"/>
          <w:i/>
          <w:iCs/>
          <w:sz w:val="20"/>
          <w:szCs w:val="20"/>
          <w:lang w:val="en-US"/>
        </w:rPr>
        <w:t xml:space="preserve"> Criminal Law Review </w:t>
      </w:r>
      <w:r w:rsidRPr="00135614">
        <w:rPr>
          <w:rFonts w:ascii="Times New Roman" w:hAnsi="Times New Roman" w:cs="Times New Roman"/>
          <w:iCs/>
          <w:sz w:val="20"/>
          <w:szCs w:val="20"/>
          <w:lang w:val="en-US"/>
        </w:rPr>
        <w:t>(</w:t>
      </w:r>
      <w:r w:rsidRPr="00135614">
        <w:rPr>
          <w:rFonts w:ascii="Times New Roman" w:hAnsi="Times New Roman" w:cs="Times New Roman"/>
          <w:sz w:val="20"/>
          <w:szCs w:val="20"/>
        </w:rPr>
        <w:t>2012) 115-153;</w:t>
      </w:r>
      <w:r w:rsidRPr="00135614">
        <w:rPr>
          <w:rFonts w:ascii="Times New Roman" w:hAnsi="Times New Roman" w:cs="Times New Roman"/>
          <w:bCs/>
          <w:sz w:val="20"/>
          <w:szCs w:val="20"/>
        </w:rPr>
        <w:t xml:space="preserve"> Ambos, </w:t>
      </w:r>
      <w:r w:rsidRPr="00135614">
        <w:rPr>
          <w:rFonts w:ascii="Times New Roman" w:hAnsi="Times New Roman" w:cs="Times New Roman"/>
          <w:bCs/>
          <w:i/>
          <w:sz w:val="20"/>
          <w:szCs w:val="20"/>
        </w:rPr>
        <w:t>supra</w:t>
      </w:r>
      <w:r w:rsidRPr="00135614">
        <w:rPr>
          <w:rFonts w:ascii="Times New Roman" w:hAnsi="Times New Roman" w:cs="Times New Roman"/>
          <w:bCs/>
          <w:sz w:val="20"/>
          <w:szCs w:val="20"/>
        </w:rPr>
        <w:t xml:space="preserve"> note 55, p. 147; G. Werle, ‘</w:t>
      </w:r>
      <w:r w:rsidRPr="00135614">
        <w:rPr>
          <w:rFonts w:ascii="Times New Roman" w:hAnsi="Times New Roman" w:cs="Times New Roman"/>
          <w:sz w:val="20"/>
          <w:szCs w:val="20"/>
        </w:rPr>
        <w:t xml:space="preserve">Individual Criminal Responsibility in Article 25 Rome Statute’ 5(4) </w:t>
      </w:r>
      <w:r w:rsidRPr="00135614">
        <w:rPr>
          <w:rFonts w:ascii="Times New Roman" w:hAnsi="Times New Roman" w:cs="Times New Roman"/>
          <w:i/>
          <w:sz w:val="20"/>
          <w:szCs w:val="20"/>
        </w:rPr>
        <w:t xml:space="preserve">Journal </w:t>
      </w:r>
      <w:r w:rsidRPr="00135614">
        <w:rPr>
          <w:rFonts w:ascii="Times New Roman" w:hAnsi="Times New Roman" w:cs="Times New Roman"/>
          <w:bCs/>
          <w:i/>
          <w:sz w:val="20"/>
          <w:szCs w:val="20"/>
        </w:rPr>
        <w:t>of</w:t>
      </w:r>
      <w:r w:rsidRPr="00135614">
        <w:rPr>
          <w:rFonts w:ascii="Times New Roman" w:hAnsi="Times New Roman" w:cs="Times New Roman"/>
          <w:i/>
          <w:sz w:val="20"/>
          <w:szCs w:val="20"/>
        </w:rPr>
        <w:t xml:space="preserve"> International </w:t>
      </w:r>
      <w:r w:rsidRPr="00135614">
        <w:rPr>
          <w:rFonts w:ascii="Times New Roman" w:hAnsi="Times New Roman" w:cs="Times New Roman"/>
          <w:bCs/>
          <w:i/>
          <w:sz w:val="20"/>
          <w:szCs w:val="20"/>
        </w:rPr>
        <w:t>Criminal</w:t>
      </w:r>
      <w:r w:rsidRPr="00135614">
        <w:rPr>
          <w:rFonts w:ascii="Times New Roman" w:hAnsi="Times New Roman" w:cs="Times New Roman"/>
          <w:i/>
          <w:sz w:val="20"/>
          <w:szCs w:val="20"/>
        </w:rPr>
        <w:t xml:space="preserve"> Justice</w:t>
      </w:r>
      <w:r w:rsidRPr="00135614">
        <w:rPr>
          <w:rFonts w:ascii="Times New Roman" w:hAnsi="Times New Roman" w:cs="Times New Roman"/>
          <w:sz w:val="20"/>
          <w:szCs w:val="20"/>
        </w:rPr>
        <w:t xml:space="preserve"> (2007)</w:t>
      </w:r>
      <w:r w:rsidRPr="00135614">
        <w:rPr>
          <w:rFonts w:ascii="Times New Roman" w:hAnsi="Times New Roman" w:cs="Times New Roman"/>
          <w:i/>
          <w:sz w:val="20"/>
          <w:szCs w:val="20"/>
        </w:rPr>
        <w:t xml:space="preserve"> </w:t>
      </w:r>
      <w:r w:rsidRPr="00135614">
        <w:rPr>
          <w:rFonts w:ascii="Times New Roman" w:hAnsi="Times New Roman" w:cs="Times New Roman"/>
          <w:sz w:val="20"/>
          <w:szCs w:val="20"/>
        </w:rPr>
        <w:t xml:space="preserve">953-975; </w:t>
      </w:r>
      <w:r w:rsidRPr="00135614">
        <w:rPr>
          <w:rFonts w:ascii="Times New Roman" w:hAnsi="Times New Roman" w:cs="Times New Roman"/>
          <w:i/>
          <w:sz w:val="20"/>
          <w:szCs w:val="20"/>
        </w:rPr>
        <w:t xml:space="preserve"> Cf.</w:t>
      </w:r>
      <w:r w:rsidRPr="00135614">
        <w:rPr>
          <w:rFonts w:ascii="Times New Roman" w:hAnsi="Times New Roman" w:cs="Times New Roman"/>
          <w:sz w:val="20"/>
          <w:szCs w:val="20"/>
        </w:rPr>
        <w:t xml:space="preserve"> Van Sliedregt, </w:t>
      </w:r>
      <w:r w:rsidRPr="00135614">
        <w:rPr>
          <w:rFonts w:ascii="Times New Roman" w:hAnsi="Times New Roman" w:cs="Times New Roman"/>
          <w:i/>
          <w:sz w:val="20"/>
          <w:szCs w:val="20"/>
        </w:rPr>
        <w:t xml:space="preserve">supra </w:t>
      </w:r>
      <w:r w:rsidRPr="00135614">
        <w:rPr>
          <w:rFonts w:ascii="Times New Roman" w:hAnsi="Times New Roman" w:cs="Times New Roman"/>
          <w:sz w:val="20"/>
          <w:szCs w:val="20"/>
        </w:rPr>
        <w:t xml:space="preserve">note 9, p. 85; Weigend, </w:t>
      </w:r>
      <w:r w:rsidRPr="00135614">
        <w:rPr>
          <w:rFonts w:ascii="Times New Roman" w:hAnsi="Times New Roman" w:cs="Times New Roman"/>
          <w:i/>
          <w:sz w:val="20"/>
          <w:szCs w:val="20"/>
        </w:rPr>
        <w:t xml:space="preserve">supra </w:t>
      </w:r>
      <w:r w:rsidRPr="00135614">
        <w:rPr>
          <w:rFonts w:ascii="Times New Roman" w:hAnsi="Times New Roman" w:cs="Times New Roman"/>
          <w:sz w:val="20"/>
          <w:szCs w:val="20"/>
        </w:rPr>
        <w:t xml:space="preserve">note 30; Schabas, </w:t>
      </w:r>
      <w:r w:rsidRPr="00135614">
        <w:rPr>
          <w:rFonts w:ascii="Times New Roman" w:hAnsi="Times New Roman" w:cs="Times New Roman"/>
          <w:i/>
          <w:sz w:val="20"/>
          <w:szCs w:val="20"/>
        </w:rPr>
        <w:t>supra</w:t>
      </w:r>
      <w:r w:rsidRPr="00135614">
        <w:rPr>
          <w:rFonts w:ascii="Times New Roman" w:hAnsi="Times New Roman" w:cs="Times New Roman"/>
          <w:sz w:val="20"/>
          <w:szCs w:val="20"/>
        </w:rPr>
        <w:t xml:space="preserve"> note 2, p. 424; Sadat and Jolly, </w:t>
      </w:r>
      <w:r w:rsidRPr="00135614">
        <w:rPr>
          <w:rFonts w:ascii="Times New Roman" w:hAnsi="Times New Roman" w:cs="Times New Roman"/>
          <w:i/>
          <w:sz w:val="20"/>
          <w:szCs w:val="20"/>
        </w:rPr>
        <w:t>supra</w:t>
      </w:r>
      <w:r w:rsidRPr="00135614">
        <w:rPr>
          <w:rFonts w:ascii="Times New Roman" w:hAnsi="Times New Roman" w:cs="Times New Roman"/>
          <w:sz w:val="20"/>
          <w:szCs w:val="20"/>
        </w:rPr>
        <w:t xml:space="preserve"> note 4, p. 758.</w:t>
      </w:r>
    </w:p>
  </w:footnote>
  <w:footnote w:id="145">
    <w:p w14:paraId="1DD6B49D" w14:textId="09AEEFA9" w:rsidR="0079099C" w:rsidRPr="00135614" w:rsidRDefault="0079099C" w:rsidP="00A818E2">
      <w:pPr>
        <w:pStyle w:val="FootnoteText"/>
        <w:spacing w:after="0" w:line="240" w:lineRule="auto"/>
        <w:jc w:val="both"/>
        <w:rPr>
          <w:rFonts w:ascii="Times New Roman" w:hAnsi="Times New Roman" w:cs="Times New Roman"/>
          <w:sz w:val="20"/>
          <w:szCs w:val="20"/>
        </w:rPr>
      </w:pPr>
      <w:r w:rsidRPr="00135614">
        <w:rPr>
          <w:rStyle w:val="FootnoteReference"/>
          <w:rFonts w:ascii="Times New Roman" w:eastAsiaTheme="majorEastAsia" w:hAnsi="Times New Roman" w:cs="Times New Roman"/>
          <w:sz w:val="20"/>
          <w:szCs w:val="20"/>
        </w:rPr>
        <w:footnoteRef/>
      </w:r>
      <w:r w:rsidRPr="00135614">
        <w:rPr>
          <w:rFonts w:ascii="Times New Roman" w:hAnsi="Times New Roman" w:cs="Times New Roman"/>
          <w:sz w:val="20"/>
          <w:szCs w:val="20"/>
        </w:rPr>
        <w:t xml:space="preserve"> Eg. </w:t>
      </w:r>
      <w:r w:rsidRPr="00135614">
        <w:rPr>
          <w:rFonts w:ascii="Times New Roman" w:hAnsi="Times New Roman" w:cs="Times New Roman"/>
          <w:i/>
          <w:sz w:val="20"/>
          <w:szCs w:val="20"/>
        </w:rPr>
        <w:t>Mbarushimana</w:t>
      </w:r>
      <w:r w:rsidRPr="00135614">
        <w:rPr>
          <w:rFonts w:ascii="Times New Roman" w:hAnsi="Times New Roman" w:cs="Times New Roman"/>
          <w:sz w:val="20"/>
          <w:szCs w:val="20"/>
        </w:rPr>
        <w:t xml:space="preserve">, Decision, </w:t>
      </w:r>
      <w:r w:rsidR="008834A2" w:rsidRPr="008834A2">
        <w:rPr>
          <w:rFonts w:ascii="Times New Roman" w:hAnsi="Times New Roman" w:cs="Times New Roman"/>
          <w:i/>
          <w:sz w:val="20"/>
          <w:szCs w:val="20"/>
        </w:rPr>
        <w:t>supra</w:t>
      </w:r>
      <w:r w:rsidR="008834A2">
        <w:rPr>
          <w:rFonts w:ascii="Times New Roman" w:hAnsi="Times New Roman" w:cs="Times New Roman"/>
          <w:sz w:val="20"/>
          <w:szCs w:val="20"/>
        </w:rPr>
        <w:t xml:space="preserve"> note 8, </w:t>
      </w:r>
      <w:r w:rsidRPr="00135614">
        <w:rPr>
          <w:rFonts w:ascii="Times New Roman" w:hAnsi="Times New Roman" w:cs="Times New Roman"/>
          <w:sz w:val="20"/>
          <w:szCs w:val="20"/>
        </w:rPr>
        <w:t>para. 279.</w:t>
      </w:r>
    </w:p>
  </w:footnote>
  <w:footnote w:id="146">
    <w:p w14:paraId="3C48E28D" w14:textId="5D1F5761" w:rsidR="0079099C" w:rsidRPr="00135614" w:rsidRDefault="0079099C" w:rsidP="00A818E2">
      <w:pPr>
        <w:pStyle w:val="FootnoteText"/>
        <w:spacing w:after="0" w:line="240" w:lineRule="auto"/>
        <w:jc w:val="both"/>
        <w:rPr>
          <w:rFonts w:ascii="Times New Roman" w:hAnsi="Times New Roman" w:cs="Times New Roman"/>
          <w:sz w:val="20"/>
          <w:szCs w:val="20"/>
        </w:rPr>
      </w:pPr>
      <w:r w:rsidRPr="00135614">
        <w:rPr>
          <w:rStyle w:val="FootnoteReference"/>
          <w:rFonts w:ascii="Times New Roman" w:eastAsiaTheme="majorEastAsia" w:hAnsi="Times New Roman" w:cs="Times New Roman"/>
          <w:sz w:val="20"/>
          <w:szCs w:val="20"/>
        </w:rPr>
        <w:footnoteRef/>
      </w:r>
      <w:r w:rsidRPr="00135614">
        <w:rPr>
          <w:rFonts w:ascii="Times New Roman" w:hAnsi="Times New Roman" w:cs="Times New Roman"/>
          <w:sz w:val="20"/>
          <w:szCs w:val="20"/>
        </w:rPr>
        <w:t xml:space="preserve"> </w:t>
      </w:r>
      <w:r w:rsidRPr="00135614">
        <w:rPr>
          <w:rFonts w:ascii="Times New Roman" w:hAnsi="Times New Roman" w:cs="Times New Roman"/>
          <w:i/>
          <w:sz w:val="20"/>
          <w:szCs w:val="20"/>
        </w:rPr>
        <w:t xml:space="preserve">Katanga </w:t>
      </w:r>
      <w:r w:rsidRPr="00135614">
        <w:rPr>
          <w:rFonts w:ascii="Times New Roman" w:hAnsi="Times New Roman" w:cs="Times New Roman"/>
          <w:sz w:val="20"/>
          <w:szCs w:val="20"/>
        </w:rPr>
        <w:t xml:space="preserve">Confirmation of Charges, paras. 469-471. </w:t>
      </w:r>
      <w:r w:rsidRPr="00135614">
        <w:rPr>
          <w:rFonts w:ascii="Times New Roman" w:eastAsiaTheme="majorEastAsia" w:hAnsi="Times New Roman" w:cs="Times New Roman"/>
          <w:i/>
          <w:sz w:val="20"/>
          <w:szCs w:val="20"/>
        </w:rPr>
        <w:t>Cf.</w:t>
      </w:r>
      <w:r w:rsidRPr="00135614">
        <w:rPr>
          <w:rFonts w:ascii="Times New Roman" w:eastAsiaTheme="majorEastAsia" w:hAnsi="Times New Roman" w:cs="Times New Roman"/>
          <w:sz w:val="20"/>
          <w:szCs w:val="20"/>
        </w:rPr>
        <w:t xml:space="preserve"> </w:t>
      </w:r>
      <w:r w:rsidRPr="00135614">
        <w:rPr>
          <w:rFonts w:ascii="Times New Roman" w:hAnsi="Times New Roman" w:cs="Times New Roman"/>
          <w:i/>
          <w:sz w:val="20"/>
          <w:szCs w:val="20"/>
        </w:rPr>
        <w:t xml:space="preserve">Katanga </w:t>
      </w:r>
      <w:r w:rsidRPr="00135614">
        <w:rPr>
          <w:rFonts w:ascii="Times New Roman" w:hAnsi="Times New Roman" w:cs="Times New Roman"/>
          <w:sz w:val="20"/>
          <w:szCs w:val="20"/>
        </w:rPr>
        <w:t xml:space="preserve">Judgement, </w:t>
      </w:r>
      <w:r w:rsidRPr="002C4E23">
        <w:rPr>
          <w:rFonts w:ascii="Times New Roman" w:hAnsi="Times New Roman" w:cs="Times New Roman"/>
          <w:i/>
          <w:sz w:val="20"/>
          <w:szCs w:val="20"/>
        </w:rPr>
        <w:t>supra</w:t>
      </w:r>
      <w:r>
        <w:rPr>
          <w:rFonts w:ascii="Times New Roman" w:hAnsi="Times New Roman" w:cs="Times New Roman"/>
          <w:sz w:val="20"/>
          <w:szCs w:val="20"/>
        </w:rPr>
        <w:t xml:space="preserve"> note 8, </w:t>
      </w:r>
      <w:r w:rsidRPr="00135614">
        <w:rPr>
          <w:rFonts w:ascii="Times New Roman" w:hAnsi="Times New Roman" w:cs="Times New Roman"/>
          <w:sz w:val="20"/>
          <w:szCs w:val="20"/>
        </w:rPr>
        <w:t>para. 1387.</w:t>
      </w:r>
    </w:p>
  </w:footnote>
  <w:footnote w:id="147">
    <w:p w14:paraId="5327FC7C" w14:textId="33AF8B36" w:rsidR="0079099C" w:rsidRPr="00135614" w:rsidRDefault="0079099C" w:rsidP="00A818E2">
      <w:pPr>
        <w:pStyle w:val="FootnoteText"/>
        <w:spacing w:after="0" w:line="240" w:lineRule="auto"/>
        <w:jc w:val="both"/>
        <w:rPr>
          <w:rFonts w:ascii="Times New Roman" w:hAnsi="Times New Roman" w:cs="Times New Roman"/>
          <w:sz w:val="20"/>
          <w:szCs w:val="20"/>
        </w:rPr>
      </w:pPr>
      <w:r w:rsidRPr="00135614">
        <w:rPr>
          <w:rStyle w:val="FootnoteReference"/>
          <w:rFonts w:ascii="Times New Roman" w:eastAsiaTheme="majorEastAsia" w:hAnsi="Times New Roman" w:cs="Times New Roman"/>
          <w:sz w:val="20"/>
          <w:szCs w:val="20"/>
        </w:rPr>
        <w:footnoteRef/>
      </w:r>
      <w:r w:rsidRPr="00135614">
        <w:rPr>
          <w:rFonts w:ascii="Times New Roman" w:hAnsi="Times New Roman" w:cs="Times New Roman"/>
          <w:sz w:val="20"/>
          <w:szCs w:val="20"/>
        </w:rPr>
        <w:t xml:space="preserve"> </w:t>
      </w:r>
      <w:r w:rsidRPr="00135614">
        <w:rPr>
          <w:rFonts w:ascii="Times New Roman" w:hAnsi="Times New Roman" w:cs="Times New Roman"/>
          <w:i/>
          <w:sz w:val="20"/>
          <w:szCs w:val="20"/>
        </w:rPr>
        <w:t>Katanga</w:t>
      </w:r>
      <w:r w:rsidRPr="00135614">
        <w:rPr>
          <w:rFonts w:ascii="Times New Roman" w:hAnsi="Times New Roman" w:cs="Times New Roman"/>
          <w:sz w:val="20"/>
          <w:szCs w:val="20"/>
        </w:rPr>
        <w:t xml:space="preserve"> Severance Decision, </w:t>
      </w:r>
      <w:r w:rsidRPr="001A359E">
        <w:rPr>
          <w:rFonts w:ascii="Times New Roman" w:hAnsi="Times New Roman" w:cs="Times New Roman"/>
          <w:i/>
          <w:sz w:val="20"/>
          <w:szCs w:val="20"/>
        </w:rPr>
        <w:t>supra</w:t>
      </w:r>
      <w:r>
        <w:rPr>
          <w:rFonts w:ascii="Times New Roman" w:hAnsi="Times New Roman" w:cs="Times New Roman"/>
          <w:sz w:val="20"/>
          <w:szCs w:val="20"/>
        </w:rPr>
        <w:t xml:space="preserve"> note 14, </w:t>
      </w:r>
      <w:r w:rsidRPr="00135614">
        <w:rPr>
          <w:rFonts w:ascii="Times New Roman" w:hAnsi="Times New Roman" w:cs="Times New Roman"/>
          <w:sz w:val="20"/>
          <w:szCs w:val="20"/>
        </w:rPr>
        <w:t>para. 33. Emphasis added.</w:t>
      </w:r>
    </w:p>
  </w:footnote>
  <w:footnote w:id="148">
    <w:p w14:paraId="400E02E7" w14:textId="0BF9460A" w:rsidR="0079099C" w:rsidRPr="00135614" w:rsidRDefault="0079099C" w:rsidP="00A818E2">
      <w:pPr>
        <w:pStyle w:val="FootnoteText"/>
        <w:spacing w:after="0" w:line="240" w:lineRule="auto"/>
        <w:jc w:val="both"/>
        <w:rPr>
          <w:rFonts w:ascii="Times New Roman" w:hAnsi="Times New Roman" w:cs="Times New Roman"/>
          <w:sz w:val="20"/>
          <w:szCs w:val="20"/>
        </w:rPr>
      </w:pPr>
      <w:r w:rsidRPr="00135614">
        <w:rPr>
          <w:rStyle w:val="FootnoteReference"/>
          <w:rFonts w:ascii="Times New Roman" w:eastAsiaTheme="majorEastAsia" w:hAnsi="Times New Roman" w:cs="Times New Roman"/>
          <w:sz w:val="20"/>
          <w:szCs w:val="20"/>
        </w:rPr>
        <w:footnoteRef/>
      </w:r>
      <w:r w:rsidRPr="00135614">
        <w:rPr>
          <w:rFonts w:ascii="Times New Roman" w:hAnsi="Times New Roman" w:cs="Times New Roman"/>
          <w:sz w:val="20"/>
          <w:szCs w:val="20"/>
        </w:rPr>
        <w:t xml:space="preserve"> </w:t>
      </w:r>
      <w:r w:rsidRPr="00135614">
        <w:rPr>
          <w:rFonts w:ascii="Times New Roman" w:hAnsi="Times New Roman" w:cs="Times New Roman"/>
          <w:i/>
          <w:sz w:val="20"/>
          <w:szCs w:val="20"/>
        </w:rPr>
        <w:t>Cf.</w:t>
      </w:r>
      <w:r w:rsidRPr="00135614">
        <w:rPr>
          <w:rFonts w:ascii="Times New Roman" w:hAnsi="Times New Roman" w:cs="Times New Roman"/>
          <w:sz w:val="20"/>
          <w:szCs w:val="20"/>
        </w:rPr>
        <w:t xml:space="preserve"> Dissenting Opinion of Judge van den Wyngaert,</w:t>
      </w:r>
      <w:r w:rsidR="000B0D3A">
        <w:rPr>
          <w:rFonts w:ascii="Times New Roman" w:hAnsi="Times New Roman" w:cs="Times New Roman"/>
          <w:sz w:val="20"/>
          <w:szCs w:val="20"/>
        </w:rPr>
        <w:t xml:space="preserve"> </w:t>
      </w:r>
      <w:r w:rsidR="000B0D3A" w:rsidRPr="000B0D3A">
        <w:rPr>
          <w:rFonts w:ascii="Times New Roman" w:hAnsi="Times New Roman" w:cs="Times New Roman"/>
          <w:i/>
          <w:sz w:val="20"/>
          <w:szCs w:val="20"/>
        </w:rPr>
        <w:t>supra</w:t>
      </w:r>
      <w:r w:rsidR="000B0D3A">
        <w:rPr>
          <w:rFonts w:ascii="Times New Roman" w:hAnsi="Times New Roman" w:cs="Times New Roman"/>
          <w:sz w:val="20"/>
          <w:szCs w:val="20"/>
        </w:rPr>
        <w:t xml:space="preserve"> note 85,</w:t>
      </w:r>
      <w:r w:rsidRPr="00135614">
        <w:rPr>
          <w:rFonts w:ascii="Times New Roman" w:hAnsi="Times New Roman" w:cs="Times New Roman"/>
          <w:sz w:val="20"/>
          <w:szCs w:val="20"/>
        </w:rPr>
        <w:t xml:space="preserve"> para. 42, 43. </w:t>
      </w:r>
    </w:p>
  </w:footnote>
  <w:footnote w:id="149">
    <w:p w14:paraId="28D36268" w14:textId="7265F497" w:rsidR="0079099C" w:rsidRPr="00135614" w:rsidRDefault="0079099C" w:rsidP="00A818E2">
      <w:pPr>
        <w:pStyle w:val="FootnoteText"/>
        <w:spacing w:after="0" w:line="240" w:lineRule="auto"/>
        <w:jc w:val="both"/>
        <w:rPr>
          <w:rFonts w:ascii="Times New Roman" w:hAnsi="Times New Roman" w:cs="Times New Roman"/>
          <w:sz w:val="20"/>
          <w:szCs w:val="20"/>
        </w:rPr>
      </w:pPr>
      <w:r w:rsidRPr="00135614">
        <w:rPr>
          <w:rStyle w:val="FootnoteReference"/>
          <w:rFonts w:ascii="Times New Roman" w:eastAsiaTheme="majorEastAsia" w:hAnsi="Times New Roman" w:cs="Times New Roman"/>
          <w:sz w:val="20"/>
          <w:szCs w:val="20"/>
        </w:rPr>
        <w:footnoteRef/>
      </w:r>
      <w:r w:rsidRPr="00135614">
        <w:rPr>
          <w:rFonts w:ascii="Times New Roman" w:hAnsi="Times New Roman" w:cs="Times New Roman"/>
          <w:sz w:val="20"/>
          <w:szCs w:val="20"/>
        </w:rPr>
        <w:t xml:space="preserve"> </w:t>
      </w:r>
      <w:r w:rsidRPr="00135614">
        <w:rPr>
          <w:rFonts w:ascii="Times New Roman" w:hAnsi="Times New Roman" w:cs="Times New Roman"/>
          <w:i/>
          <w:sz w:val="20"/>
          <w:szCs w:val="20"/>
        </w:rPr>
        <w:t>Lubanga</w:t>
      </w:r>
      <w:r w:rsidRPr="00135614">
        <w:rPr>
          <w:rFonts w:ascii="Times New Roman" w:hAnsi="Times New Roman" w:cs="Times New Roman"/>
          <w:sz w:val="20"/>
          <w:szCs w:val="20"/>
        </w:rPr>
        <w:t xml:space="preserve"> Judgement, </w:t>
      </w:r>
      <w:r>
        <w:rPr>
          <w:rFonts w:ascii="Times New Roman" w:hAnsi="Times New Roman" w:cs="Times New Roman"/>
          <w:i/>
          <w:sz w:val="20"/>
          <w:szCs w:val="20"/>
        </w:rPr>
        <w:t xml:space="preserve">supra </w:t>
      </w:r>
      <w:r w:rsidRPr="00924358">
        <w:rPr>
          <w:rFonts w:ascii="Times New Roman" w:hAnsi="Times New Roman" w:cs="Times New Roman"/>
          <w:sz w:val="20"/>
          <w:szCs w:val="20"/>
        </w:rPr>
        <w:t>note 8,</w:t>
      </w:r>
      <w:r w:rsidRPr="00135614">
        <w:rPr>
          <w:rFonts w:ascii="Times New Roman" w:hAnsi="Times New Roman" w:cs="Times New Roman"/>
          <w:sz w:val="20"/>
          <w:szCs w:val="20"/>
        </w:rPr>
        <w:t xml:space="preserve"> paras. 917-1018.</w:t>
      </w:r>
    </w:p>
  </w:footnote>
  <w:footnote w:id="150">
    <w:p w14:paraId="5072FFBB" w14:textId="6D4E991E" w:rsidR="0079099C" w:rsidRPr="00135614" w:rsidRDefault="0079099C" w:rsidP="00A818E2">
      <w:pPr>
        <w:pStyle w:val="FootnoteText"/>
        <w:spacing w:after="0" w:line="240" w:lineRule="auto"/>
        <w:jc w:val="both"/>
        <w:rPr>
          <w:rFonts w:ascii="Times New Roman" w:hAnsi="Times New Roman" w:cs="Times New Roman"/>
          <w:sz w:val="20"/>
          <w:szCs w:val="20"/>
        </w:rPr>
      </w:pPr>
      <w:r w:rsidRPr="00135614">
        <w:rPr>
          <w:rStyle w:val="FootnoteReference"/>
          <w:rFonts w:ascii="Times New Roman" w:eastAsiaTheme="majorEastAsia" w:hAnsi="Times New Roman" w:cs="Times New Roman"/>
          <w:sz w:val="20"/>
          <w:szCs w:val="20"/>
        </w:rPr>
        <w:footnoteRef/>
      </w:r>
      <w:r w:rsidRPr="00135614">
        <w:rPr>
          <w:rFonts w:ascii="Times New Roman" w:hAnsi="Times New Roman" w:cs="Times New Roman"/>
          <w:sz w:val="20"/>
          <w:szCs w:val="20"/>
        </w:rPr>
        <w:t xml:space="preserve"> </w:t>
      </w:r>
      <w:r w:rsidRPr="00135614">
        <w:rPr>
          <w:rFonts w:ascii="Times New Roman" w:hAnsi="Times New Roman" w:cs="Times New Roman"/>
          <w:i/>
          <w:sz w:val="20"/>
          <w:szCs w:val="20"/>
        </w:rPr>
        <w:t xml:space="preserve">Ibid, </w:t>
      </w:r>
      <w:r w:rsidRPr="00135614">
        <w:rPr>
          <w:rFonts w:ascii="Times New Roman" w:hAnsi="Times New Roman" w:cs="Times New Roman"/>
          <w:sz w:val="20"/>
          <w:szCs w:val="20"/>
        </w:rPr>
        <w:t>para. 998.</w:t>
      </w:r>
    </w:p>
  </w:footnote>
  <w:footnote w:id="151">
    <w:p w14:paraId="5A93E425" w14:textId="0617077B" w:rsidR="0079099C" w:rsidRPr="00135614" w:rsidRDefault="0079099C" w:rsidP="00A818E2">
      <w:pPr>
        <w:pStyle w:val="FootnoteText"/>
        <w:spacing w:after="0" w:line="240" w:lineRule="auto"/>
        <w:jc w:val="both"/>
        <w:rPr>
          <w:rFonts w:ascii="Times New Roman" w:hAnsi="Times New Roman" w:cs="Times New Roman"/>
          <w:sz w:val="20"/>
          <w:szCs w:val="20"/>
        </w:rPr>
      </w:pPr>
      <w:r w:rsidRPr="00135614">
        <w:rPr>
          <w:rStyle w:val="FootnoteReference"/>
          <w:rFonts w:ascii="Times New Roman" w:eastAsiaTheme="majorEastAsia" w:hAnsi="Times New Roman" w:cs="Times New Roman"/>
          <w:sz w:val="20"/>
          <w:szCs w:val="20"/>
        </w:rPr>
        <w:footnoteRef/>
      </w:r>
      <w:r w:rsidRPr="00135614">
        <w:rPr>
          <w:rFonts w:ascii="Times New Roman" w:hAnsi="Times New Roman" w:cs="Times New Roman"/>
          <w:sz w:val="20"/>
          <w:szCs w:val="20"/>
        </w:rPr>
        <w:t xml:space="preserve"> </w:t>
      </w:r>
      <w:r w:rsidRPr="00135614">
        <w:rPr>
          <w:rFonts w:ascii="Times New Roman" w:hAnsi="Times New Roman" w:cs="Times New Roman"/>
          <w:i/>
          <w:sz w:val="20"/>
          <w:szCs w:val="20"/>
        </w:rPr>
        <w:t xml:space="preserve">Ibid, </w:t>
      </w:r>
      <w:r w:rsidRPr="00135614">
        <w:rPr>
          <w:rFonts w:ascii="Times New Roman" w:hAnsi="Times New Roman" w:cs="Times New Roman"/>
          <w:sz w:val="20"/>
          <w:szCs w:val="20"/>
        </w:rPr>
        <w:t>para. 999.</w:t>
      </w:r>
    </w:p>
  </w:footnote>
  <w:footnote w:id="152">
    <w:p w14:paraId="3C5EF41D" w14:textId="3C72E75C" w:rsidR="0079099C" w:rsidRPr="00135614" w:rsidRDefault="0079099C" w:rsidP="00A818E2">
      <w:pPr>
        <w:pStyle w:val="FootnoteText"/>
        <w:spacing w:after="0" w:line="240" w:lineRule="auto"/>
        <w:jc w:val="both"/>
        <w:rPr>
          <w:rFonts w:ascii="Times New Roman" w:hAnsi="Times New Roman" w:cs="Times New Roman"/>
          <w:sz w:val="20"/>
          <w:szCs w:val="20"/>
        </w:rPr>
      </w:pPr>
      <w:r w:rsidRPr="00135614">
        <w:rPr>
          <w:rStyle w:val="FootnoteReference"/>
          <w:rFonts w:ascii="Times New Roman" w:eastAsiaTheme="majorEastAsia" w:hAnsi="Times New Roman" w:cs="Times New Roman"/>
          <w:sz w:val="20"/>
          <w:szCs w:val="20"/>
        </w:rPr>
        <w:footnoteRef/>
      </w:r>
      <w:r w:rsidRPr="006307AA">
        <w:rPr>
          <w:rFonts w:ascii="Times New Roman" w:hAnsi="Times New Roman" w:cs="Times New Roman"/>
          <w:sz w:val="20"/>
          <w:szCs w:val="20"/>
          <w:lang w:val="es-ES"/>
        </w:rPr>
        <w:t xml:space="preserve"> </w:t>
      </w:r>
      <w:r w:rsidRPr="006307AA">
        <w:rPr>
          <w:rFonts w:ascii="Times New Roman" w:hAnsi="Times New Roman" w:cs="Times New Roman"/>
          <w:i/>
          <w:sz w:val="20"/>
          <w:szCs w:val="20"/>
          <w:lang w:val="es-ES"/>
        </w:rPr>
        <w:t>Lubanga</w:t>
      </w:r>
      <w:r w:rsidRPr="006307AA">
        <w:rPr>
          <w:rFonts w:ascii="Times New Roman" w:hAnsi="Times New Roman" w:cs="Times New Roman"/>
          <w:sz w:val="20"/>
          <w:szCs w:val="20"/>
          <w:lang w:val="es-ES"/>
        </w:rPr>
        <w:t xml:space="preserve"> Decision, </w:t>
      </w:r>
      <w:r w:rsidRPr="006307AA">
        <w:rPr>
          <w:rFonts w:ascii="Times New Roman" w:eastAsia="Times New Roman" w:hAnsi="Times New Roman" w:cs="Times New Roman"/>
          <w:i/>
          <w:sz w:val="20"/>
          <w:szCs w:val="20"/>
          <w:lang w:val="es-ES" w:eastAsia="en-GB"/>
        </w:rPr>
        <w:t>supra</w:t>
      </w:r>
      <w:r w:rsidRPr="006307AA">
        <w:rPr>
          <w:rFonts w:ascii="Times New Roman" w:eastAsia="Times New Roman" w:hAnsi="Times New Roman" w:cs="Times New Roman"/>
          <w:sz w:val="20"/>
          <w:szCs w:val="20"/>
          <w:lang w:val="es-ES" w:eastAsia="en-GB"/>
        </w:rPr>
        <w:t xml:space="preserve"> note 3, </w:t>
      </w:r>
      <w:r w:rsidRPr="006307AA">
        <w:rPr>
          <w:rFonts w:ascii="Times New Roman" w:hAnsi="Times New Roman" w:cs="Times New Roman"/>
          <w:sz w:val="20"/>
          <w:szCs w:val="20"/>
          <w:lang w:val="es-ES"/>
        </w:rPr>
        <w:t xml:space="preserve">para. 337. See also </w:t>
      </w:r>
      <w:r w:rsidRPr="006307AA">
        <w:rPr>
          <w:rFonts w:ascii="Times New Roman" w:hAnsi="Times New Roman" w:cs="Times New Roman"/>
          <w:i/>
          <w:sz w:val="20"/>
          <w:szCs w:val="20"/>
          <w:lang w:val="es-ES"/>
        </w:rPr>
        <w:t>Katanga</w:t>
      </w:r>
      <w:r w:rsidRPr="006307AA">
        <w:rPr>
          <w:rFonts w:ascii="Times New Roman" w:hAnsi="Times New Roman" w:cs="Times New Roman"/>
          <w:sz w:val="20"/>
          <w:szCs w:val="20"/>
          <w:lang w:val="es-ES"/>
        </w:rPr>
        <w:t xml:space="preserve"> Decision, </w:t>
      </w:r>
      <w:r w:rsidRPr="006307AA">
        <w:rPr>
          <w:rFonts w:ascii="Times New Roman" w:eastAsia="Times New Roman" w:hAnsi="Times New Roman" w:cs="Times New Roman"/>
          <w:i/>
          <w:sz w:val="20"/>
          <w:szCs w:val="20"/>
          <w:lang w:val="es-ES" w:eastAsia="en-GB"/>
        </w:rPr>
        <w:t>supra</w:t>
      </w:r>
      <w:r w:rsidRPr="006307AA">
        <w:rPr>
          <w:rFonts w:ascii="Times New Roman" w:eastAsia="Times New Roman" w:hAnsi="Times New Roman" w:cs="Times New Roman"/>
          <w:sz w:val="20"/>
          <w:szCs w:val="20"/>
          <w:lang w:val="es-ES" w:eastAsia="en-GB"/>
        </w:rPr>
        <w:t xml:space="preserve"> note 3, </w:t>
      </w:r>
      <w:r w:rsidRPr="006307AA">
        <w:rPr>
          <w:rFonts w:ascii="Times New Roman" w:hAnsi="Times New Roman" w:cs="Times New Roman"/>
          <w:sz w:val="20"/>
          <w:szCs w:val="20"/>
          <w:lang w:val="es-ES"/>
        </w:rPr>
        <w:t xml:space="preserve">para. </w:t>
      </w:r>
      <w:r w:rsidRPr="00135614">
        <w:rPr>
          <w:rFonts w:ascii="Times New Roman" w:hAnsi="Times New Roman" w:cs="Times New Roman"/>
          <w:sz w:val="20"/>
          <w:szCs w:val="20"/>
        </w:rPr>
        <w:t xml:space="preserve">483, ‘degrading’ responsibility in Article 25(3)(d) </w:t>
      </w:r>
      <w:proofErr w:type="gramStart"/>
      <w:r w:rsidRPr="00135614">
        <w:rPr>
          <w:rFonts w:ascii="Times New Roman" w:hAnsi="Times New Roman" w:cs="Times New Roman"/>
          <w:sz w:val="20"/>
          <w:szCs w:val="20"/>
        </w:rPr>
        <w:t>on the basis of</w:t>
      </w:r>
      <w:proofErr w:type="gramEnd"/>
      <w:r w:rsidRPr="00135614">
        <w:rPr>
          <w:rFonts w:ascii="Times New Roman" w:hAnsi="Times New Roman" w:cs="Times New Roman"/>
          <w:sz w:val="20"/>
          <w:szCs w:val="20"/>
        </w:rPr>
        <w:t xml:space="preserve"> its accessory nature. </w:t>
      </w:r>
    </w:p>
  </w:footnote>
  <w:footnote w:id="153">
    <w:p w14:paraId="7DB57190" w14:textId="22AF4D73" w:rsidR="0079099C" w:rsidRPr="00135614" w:rsidRDefault="0079099C" w:rsidP="00A818E2">
      <w:pPr>
        <w:pStyle w:val="FootnoteText"/>
        <w:spacing w:after="0" w:line="240" w:lineRule="auto"/>
        <w:jc w:val="both"/>
        <w:rPr>
          <w:rFonts w:ascii="Times New Roman" w:hAnsi="Times New Roman" w:cs="Times New Roman"/>
          <w:sz w:val="20"/>
          <w:szCs w:val="20"/>
          <w:lang w:val="en-US"/>
        </w:rPr>
      </w:pPr>
      <w:r w:rsidRPr="00135614">
        <w:rPr>
          <w:rStyle w:val="FootnoteReference"/>
          <w:rFonts w:ascii="Times New Roman" w:hAnsi="Times New Roman" w:cs="Times New Roman"/>
          <w:sz w:val="20"/>
          <w:szCs w:val="20"/>
        </w:rPr>
        <w:footnoteRef/>
      </w:r>
      <w:r w:rsidRPr="00135614">
        <w:rPr>
          <w:rFonts w:ascii="Times New Roman" w:hAnsi="Times New Roman" w:cs="Times New Roman"/>
          <w:sz w:val="20"/>
          <w:szCs w:val="20"/>
        </w:rPr>
        <w:t xml:space="preserve"> </w:t>
      </w:r>
      <w:r w:rsidRPr="008F26AF">
        <w:rPr>
          <w:rFonts w:ascii="Times New Roman" w:hAnsi="Times New Roman" w:cs="Times New Roman"/>
          <w:i/>
          <w:sz w:val="20"/>
          <w:szCs w:val="20"/>
          <w:lang w:val="en-US"/>
        </w:rPr>
        <w:t>Lubanga</w:t>
      </w:r>
      <w:r w:rsidRPr="00135614">
        <w:rPr>
          <w:rFonts w:ascii="Times New Roman" w:hAnsi="Times New Roman" w:cs="Times New Roman"/>
          <w:sz w:val="20"/>
          <w:szCs w:val="20"/>
          <w:lang w:val="en-US"/>
        </w:rPr>
        <w:t xml:space="preserve"> Appeal Judgment, </w:t>
      </w:r>
      <w:r w:rsidRPr="001A359E">
        <w:rPr>
          <w:rFonts w:ascii="Times New Roman" w:hAnsi="Times New Roman" w:cs="Times New Roman"/>
          <w:i/>
          <w:sz w:val="20"/>
          <w:szCs w:val="20"/>
        </w:rPr>
        <w:t>supra</w:t>
      </w:r>
      <w:r>
        <w:rPr>
          <w:rFonts w:ascii="Times New Roman" w:hAnsi="Times New Roman" w:cs="Times New Roman"/>
          <w:sz w:val="20"/>
          <w:szCs w:val="20"/>
        </w:rPr>
        <w:t xml:space="preserve"> note 11, </w:t>
      </w:r>
      <w:r w:rsidRPr="00135614">
        <w:rPr>
          <w:rFonts w:ascii="Times New Roman" w:hAnsi="Times New Roman" w:cs="Times New Roman"/>
          <w:sz w:val="20"/>
          <w:szCs w:val="20"/>
        </w:rPr>
        <w:t xml:space="preserve">para. 462; Ambos, </w:t>
      </w:r>
      <w:r w:rsidRPr="00135614">
        <w:rPr>
          <w:rFonts w:ascii="Times New Roman" w:hAnsi="Times New Roman" w:cs="Times New Roman"/>
          <w:i/>
          <w:sz w:val="20"/>
          <w:szCs w:val="20"/>
        </w:rPr>
        <w:t>supra</w:t>
      </w:r>
      <w:r w:rsidRPr="00135614">
        <w:rPr>
          <w:rFonts w:ascii="Times New Roman" w:hAnsi="Times New Roman" w:cs="Times New Roman"/>
          <w:sz w:val="20"/>
          <w:szCs w:val="20"/>
        </w:rPr>
        <w:t xml:space="preserve"> note 55, pp. 146 -147.</w:t>
      </w:r>
    </w:p>
  </w:footnote>
  <w:footnote w:id="154">
    <w:p w14:paraId="1FBE286F" w14:textId="5D33D5AC" w:rsidR="0079099C" w:rsidRPr="00135614" w:rsidRDefault="0079099C" w:rsidP="00A818E2">
      <w:pPr>
        <w:pStyle w:val="FootnoteText"/>
        <w:spacing w:after="0" w:line="240" w:lineRule="auto"/>
        <w:jc w:val="both"/>
        <w:rPr>
          <w:rFonts w:ascii="Times New Roman" w:hAnsi="Times New Roman" w:cs="Times New Roman"/>
          <w:sz w:val="20"/>
          <w:szCs w:val="20"/>
        </w:rPr>
      </w:pPr>
      <w:r w:rsidRPr="00135614">
        <w:rPr>
          <w:rStyle w:val="FootnoteReference"/>
          <w:rFonts w:ascii="Times New Roman" w:eastAsiaTheme="majorEastAsia" w:hAnsi="Times New Roman" w:cs="Times New Roman"/>
          <w:sz w:val="20"/>
          <w:szCs w:val="20"/>
        </w:rPr>
        <w:footnoteRef/>
      </w:r>
      <w:r w:rsidRPr="00135614">
        <w:rPr>
          <w:rFonts w:ascii="Times New Roman" w:hAnsi="Times New Roman" w:cs="Times New Roman"/>
          <w:sz w:val="20"/>
          <w:szCs w:val="20"/>
        </w:rPr>
        <w:t xml:space="preserve"> </w:t>
      </w:r>
      <w:r w:rsidRPr="00135614">
        <w:rPr>
          <w:rFonts w:ascii="Times New Roman" w:hAnsi="Times New Roman" w:cs="Times New Roman"/>
          <w:i/>
          <w:sz w:val="20"/>
          <w:szCs w:val="20"/>
        </w:rPr>
        <w:t>Katanga</w:t>
      </w:r>
      <w:r w:rsidRPr="00135614">
        <w:rPr>
          <w:rFonts w:ascii="Times New Roman" w:hAnsi="Times New Roman" w:cs="Times New Roman"/>
          <w:sz w:val="20"/>
          <w:szCs w:val="20"/>
        </w:rPr>
        <w:t xml:space="preserve"> Judgement, </w:t>
      </w:r>
      <w:r w:rsidRPr="002C4E23">
        <w:rPr>
          <w:rFonts w:ascii="Times New Roman" w:hAnsi="Times New Roman" w:cs="Times New Roman"/>
          <w:i/>
          <w:sz w:val="20"/>
          <w:szCs w:val="20"/>
        </w:rPr>
        <w:t>supra</w:t>
      </w:r>
      <w:r>
        <w:rPr>
          <w:rFonts w:ascii="Times New Roman" w:hAnsi="Times New Roman" w:cs="Times New Roman"/>
          <w:sz w:val="20"/>
          <w:szCs w:val="20"/>
        </w:rPr>
        <w:t xml:space="preserve"> note 8, </w:t>
      </w:r>
      <w:r w:rsidRPr="00135614">
        <w:rPr>
          <w:rFonts w:ascii="Times New Roman" w:hAnsi="Times New Roman" w:cs="Times New Roman"/>
          <w:sz w:val="20"/>
          <w:szCs w:val="20"/>
        </w:rPr>
        <w:t xml:space="preserve">paras. 1387, 1393. </w:t>
      </w:r>
    </w:p>
  </w:footnote>
  <w:footnote w:id="155">
    <w:p w14:paraId="4A1465FD" w14:textId="00ED80DD" w:rsidR="0079099C" w:rsidRPr="00135614" w:rsidRDefault="0079099C" w:rsidP="00A818E2">
      <w:pPr>
        <w:pStyle w:val="FootnoteText"/>
        <w:spacing w:after="0" w:line="240" w:lineRule="auto"/>
        <w:jc w:val="both"/>
        <w:rPr>
          <w:rFonts w:ascii="Times New Roman" w:hAnsi="Times New Roman" w:cs="Times New Roman"/>
          <w:sz w:val="20"/>
          <w:szCs w:val="20"/>
        </w:rPr>
      </w:pPr>
      <w:r w:rsidRPr="00135614">
        <w:rPr>
          <w:rStyle w:val="FootnoteReference"/>
          <w:rFonts w:ascii="Times New Roman" w:eastAsiaTheme="majorEastAsia" w:hAnsi="Times New Roman" w:cs="Times New Roman"/>
          <w:sz w:val="20"/>
          <w:szCs w:val="20"/>
        </w:rPr>
        <w:footnoteRef/>
      </w:r>
      <w:r w:rsidRPr="00135614">
        <w:rPr>
          <w:rFonts w:ascii="Times New Roman" w:hAnsi="Times New Roman" w:cs="Times New Roman"/>
          <w:sz w:val="20"/>
          <w:szCs w:val="20"/>
        </w:rPr>
        <w:t xml:space="preserve"> Se</w:t>
      </w:r>
      <w:r>
        <w:rPr>
          <w:rFonts w:ascii="Times New Roman" w:hAnsi="Times New Roman" w:cs="Times New Roman"/>
          <w:sz w:val="20"/>
          <w:szCs w:val="20"/>
        </w:rPr>
        <w:t xml:space="preserve">parate Opinion of Judge Fulford, </w:t>
      </w:r>
      <w:r w:rsidRPr="001A359E">
        <w:rPr>
          <w:rFonts w:ascii="Times New Roman" w:hAnsi="Times New Roman" w:cs="Times New Roman"/>
          <w:i/>
          <w:sz w:val="20"/>
          <w:szCs w:val="20"/>
        </w:rPr>
        <w:t>supra</w:t>
      </w:r>
      <w:r>
        <w:rPr>
          <w:rFonts w:ascii="Times New Roman" w:hAnsi="Times New Roman" w:cs="Times New Roman"/>
          <w:sz w:val="20"/>
          <w:szCs w:val="20"/>
        </w:rPr>
        <w:t xml:space="preserve"> note 13.</w:t>
      </w:r>
    </w:p>
  </w:footnote>
  <w:footnote w:id="156">
    <w:p w14:paraId="0B99737B" w14:textId="16C7A6A1" w:rsidR="0079099C" w:rsidRPr="00135614" w:rsidRDefault="0079099C" w:rsidP="00A818E2">
      <w:pPr>
        <w:pStyle w:val="FootnoteText"/>
        <w:spacing w:after="0" w:line="240" w:lineRule="auto"/>
        <w:jc w:val="both"/>
        <w:rPr>
          <w:rFonts w:ascii="Times New Roman" w:hAnsi="Times New Roman" w:cs="Times New Roman"/>
          <w:sz w:val="20"/>
          <w:szCs w:val="20"/>
        </w:rPr>
      </w:pPr>
      <w:r w:rsidRPr="00135614">
        <w:rPr>
          <w:rStyle w:val="FootnoteReference"/>
          <w:rFonts w:ascii="Times New Roman" w:eastAsiaTheme="majorEastAsia" w:hAnsi="Times New Roman" w:cs="Times New Roman"/>
          <w:sz w:val="20"/>
          <w:szCs w:val="20"/>
        </w:rPr>
        <w:footnoteRef/>
      </w:r>
      <w:r w:rsidRPr="00135614">
        <w:rPr>
          <w:rFonts w:ascii="Times New Roman" w:hAnsi="Times New Roman" w:cs="Times New Roman"/>
          <w:sz w:val="20"/>
          <w:szCs w:val="20"/>
        </w:rPr>
        <w:t xml:space="preserve"> </w:t>
      </w:r>
      <w:r w:rsidRPr="00135614">
        <w:rPr>
          <w:rFonts w:ascii="Times New Roman" w:hAnsi="Times New Roman" w:cs="Times New Roman"/>
          <w:i/>
          <w:sz w:val="20"/>
          <w:szCs w:val="20"/>
        </w:rPr>
        <w:t>Ibid,</w:t>
      </w:r>
      <w:r w:rsidRPr="00135614">
        <w:rPr>
          <w:rFonts w:ascii="Times New Roman" w:hAnsi="Times New Roman" w:cs="Times New Roman"/>
          <w:sz w:val="20"/>
          <w:szCs w:val="20"/>
        </w:rPr>
        <w:t xml:space="preserve"> para. 6. </w:t>
      </w:r>
    </w:p>
  </w:footnote>
  <w:footnote w:id="157">
    <w:p w14:paraId="353EC450" w14:textId="2D66C61C" w:rsidR="0079099C" w:rsidRPr="00135614" w:rsidRDefault="0079099C" w:rsidP="00A818E2">
      <w:pPr>
        <w:pStyle w:val="FootnoteText"/>
        <w:spacing w:after="0" w:line="240" w:lineRule="auto"/>
        <w:jc w:val="both"/>
        <w:rPr>
          <w:rFonts w:ascii="Times New Roman" w:hAnsi="Times New Roman" w:cs="Times New Roman"/>
          <w:sz w:val="20"/>
          <w:szCs w:val="20"/>
        </w:rPr>
      </w:pPr>
      <w:r w:rsidRPr="00135614">
        <w:rPr>
          <w:rStyle w:val="FootnoteReference"/>
          <w:rFonts w:ascii="Times New Roman" w:eastAsiaTheme="majorEastAsia" w:hAnsi="Times New Roman" w:cs="Times New Roman"/>
          <w:sz w:val="20"/>
          <w:szCs w:val="20"/>
        </w:rPr>
        <w:footnoteRef/>
      </w:r>
      <w:r w:rsidRPr="00135614">
        <w:rPr>
          <w:rFonts w:ascii="Times New Roman" w:hAnsi="Times New Roman" w:cs="Times New Roman"/>
          <w:sz w:val="20"/>
          <w:szCs w:val="20"/>
        </w:rPr>
        <w:t xml:space="preserve"> Separate Opinion of Judge Fulford, </w:t>
      </w:r>
      <w:r w:rsidRPr="001A359E">
        <w:rPr>
          <w:rFonts w:ascii="Times New Roman" w:hAnsi="Times New Roman" w:cs="Times New Roman"/>
          <w:i/>
          <w:sz w:val="20"/>
          <w:szCs w:val="20"/>
        </w:rPr>
        <w:t>supra</w:t>
      </w:r>
      <w:r>
        <w:rPr>
          <w:rFonts w:ascii="Times New Roman" w:hAnsi="Times New Roman" w:cs="Times New Roman"/>
          <w:sz w:val="20"/>
          <w:szCs w:val="20"/>
        </w:rPr>
        <w:t xml:space="preserve"> note 13, </w:t>
      </w:r>
      <w:r w:rsidRPr="00135614">
        <w:rPr>
          <w:rFonts w:ascii="Times New Roman" w:hAnsi="Times New Roman" w:cs="Times New Roman"/>
          <w:sz w:val="20"/>
          <w:szCs w:val="20"/>
        </w:rPr>
        <w:t>para. 8.</w:t>
      </w:r>
    </w:p>
  </w:footnote>
  <w:footnote w:id="158">
    <w:p w14:paraId="18EFDDA0" w14:textId="5C766267" w:rsidR="0079099C" w:rsidRPr="00135614" w:rsidRDefault="0079099C" w:rsidP="00A818E2">
      <w:pPr>
        <w:pStyle w:val="FootnoteText"/>
        <w:spacing w:after="0" w:line="240" w:lineRule="auto"/>
        <w:jc w:val="both"/>
        <w:rPr>
          <w:rFonts w:ascii="Times New Roman" w:hAnsi="Times New Roman" w:cs="Times New Roman"/>
          <w:sz w:val="20"/>
          <w:szCs w:val="20"/>
        </w:rPr>
      </w:pPr>
      <w:r w:rsidRPr="00135614">
        <w:rPr>
          <w:rStyle w:val="FootnoteReference"/>
          <w:rFonts w:ascii="Times New Roman" w:eastAsiaTheme="majorEastAsia" w:hAnsi="Times New Roman" w:cs="Times New Roman"/>
          <w:sz w:val="20"/>
          <w:szCs w:val="20"/>
        </w:rPr>
        <w:footnoteRef/>
      </w:r>
      <w:r w:rsidRPr="00135614">
        <w:rPr>
          <w:rFonts w:ascii="Times New Roman" w:hAnsi="Times New Roman" w:cs="Times New Roman"/>
          <w:sz w:val="20"/>
          <w:szCs w:val="20"/>
        </w:rPr>
        <w:t xml:space="preserve"> Concurring Op</w:t>
      </w:r>
      <w:r>
        <w:rPr>
          <w:rFonts w:ascii="Times New Roman" w:hAnsi="Times New Roman" w:cs="Times New Roman"/>
          <w:sz w:val="20"/>
          <w:szCs w:val="20"/>
        </w:rPr>
        <w:t xml:space="preserve">inion of Judge van den Wyngaert, </w:t>
      </w:r>
      <w:r w:rsidRPr="0079099C">
        <w:rPr>
          <w:rFonts w:ascii="Times New Roman" w:hAnsi="Times New Roman" w:cs="Times New Roman"/>
          <w:i/>
          <w:sz w:val="20"/>
          <w:szCs w:val="20"/>
        </w:rPr>
        <w:t xml:space="preserve">supra </w:t>
      </w:r>
      <w:r>
        <w:rPr>
          <w:rFonts w:ascii="Times New Roman" w:hAnsi="Times New Roman" w:cs="Times New Roman"/>
          <w:sz w:val="20"/>
          <w:szCs w:val="20"/>
        </w:rPr>
        <w:t>note 18.</w:t>
      </w:r>
    </w:p>
  </w:footnote>
  <w:footnote w:id="159">
    <w:p w14:paraId="4515EF7C" w14:textId="0C7311F8" w:rsidR="0079099C" w:rsidRPr="00135614" w:rsidRDefault="0079099C" w:rsidP="00A818E2">
      <w:pPr>
        <w:pStyle w:val="FootnoteText"/>
        <w:spacing w:after="0" w:line="240" w:lineRule="auto"/>
        <w:jc w:val="both"/>
        <w:rPr>
          <w:rFonts w:ascii="Times New Roman" w:hAnsi="Times New Roman" w:cs="Times New Roman"/>
          <w:sz w:val="20"/>
          <w:szCs w:val="20"/>
        </w:rPr>
      </w:pPr>
      <w:r w:rsidRPr="00135614">
        <w:rPr>
          <w:rStyle w:val="FootnoteReference"/>
          <w:rFonts w:ascii="Times New Roman" w:eastAsiaTheme="majorEastAsia" w:hAnsi="Times New Roman" w:cs="Times New Roman"/>
          <w:sz w:val="20"/>
          <w:szCs w:val="20"/>
        </w:rPr>
        <w:footnoteRef/>
      </w:r>
      <w:r w:rsidRPr="00135614">
        <w:rPr>
          <w:rFonts w:ascii="Times New Roman" w:hAnsi="Times New Roman" w:cs="Times New Roman"/>
          <w:sz w:val="20"/>
          <w:szCs w:val="20"/>
        </w:rPr>
        <w:t xml:space="preserve"> </w:t>
      </w:r>
      <w:r w:rsidRPr="00135614">
        <w:rPr>
          <w:rFonts w:ascii="Times New Roman" w:hAnsi="Times New Roman" w:cs="Times New Roman"/>
          <w:i/>
          <w:sz w:val="20"/>
          <w:szCs w:val="20"/>
        </w:rPr>
        <w:t xml:space="preserve">Ibid </w:t>
      </w:r>
      <w:r w:rsidRPr="00135614">
        <w:rPr>
          <w:rFonts w:ascii="Times New Roman" w:hAnsi="Times New Roman" w:cs="Times New Roman"/>
          <w:sz w:val="20"/>
          <w:szCs w:val="20"/>
        </w:rPr>
        <w:t xml:space="preserve">paras. 22, 24. </w:t>
      </w:r>
    </w:p>
  </w:footnote>
  <w:footnote w:id="160">
    <w:p w14:paraId="75912FE6" w14:textId="36DF827C" w:rsidR="0079099C" w:rsidRPr="00135614" w:rsidRDefault="0079099C" w:rsidP="00A818E2">
      <w:pPr>
        <w:pStyle w:val="FootnoteText"/>
        <w:spacing w:after="0" w:line="240" w:lineRule="auto"/>
        <w:jc w:val="both"/>
        <w:rPr>
          <w:rFonts w:ascii="Times New Roman" w:hAnsi="Times New Roman" w:cs="Times New Roman"/>
          <w:sz w:val="20"/>
          <w:szCs w:val="20"/>
        </w:rPr>
      </w:pPr>
      <w:r w:rsidRPr="00135614">
        <w:rPr>
          <w:rStyle w:val="FootnoteReference"/>
          <w:rFonts w:ascii="Times New Roman" w:eastAsiaTheme="majorEastAsia" w:hAnsi="Times New Roman" w:cs="Times New Roman"/>
          <w:sz w:val="20"/>
          <w:szCs w:val="20"/>
        </w:rPr>
        <w:footnoteRef/>
      </w:r>
      <w:r w:rsidRPr="00135614">
        <w:rPr>
          <w:rFonts w:ascii="Times New Roman" w:hAnsi="Times New Roman" w:cs="Times New Roman"/>
          <w:sz w:val="20"/>
          <w:szCs w:val="20"/>
        </w:rPr>
        <w:t xml:space="preserve"> </w:t>
      </w:r>
      <w:r w:rsidRPr="00135614">
        <w:rPr>
          <w:rFonts w:ascii="Times New Roman" w:hAnsi="Times New Roman" w:cs="Times New Roman"/>
          <w:i/>
          <w:sz w:val="20"/>
          <w:szCs w:val="20"/>
        </w:rPr>
        <w:t>Ibid,</w:t>
      </w:r>
      <w:r w:rsidRPr="00135614">
        <w:rPr>
          <w:rFonts w:ascii="Times New Roman" w:hAnsi="Times New Roman" w:cs="Times New Roman"/>
          <w:sz w:val="20"/>
          <w:szCs w:val="20"/>
        </w:rPr>
        <w:t xml:space="preserve"> paras. 24, 26. </w:t>
      </w:r>
    </w:p>
  </w:footnote>
  <w:footnote w:id="161">
    <w:p w14:paraId="5560D7ED" w14:textId="10562485" w:rsidR="0079099C" w:rsidRPr="00135614" w:rsidRDefault="0079099C" w:rsidP="00A818E2">
      <w:pPr>
        <w:pStyle w:val="FootnoteText"/>
        <w:spacing w:after="0" w:line="240" w:lineRule="auto"/>
        <w:jc w:val="both"/>
        <w:rPr>
          <w:rFonts w:ascii="Times New Roman" w:hAnsi="Times New Roman" w:cs="Times New Roman"/>
          <w:sz w:val="20"/>
          <w:szCs w:val="20"/>
        </w:rPr>
      </w:pPr>
      <w:r w:rsidRPr="00135614">
        <w:rPr>
          <w:rStyle w:val="FootnoteReference"/>
          <w:rFonts w:ascii="Times New Roman" w:eastAsiaTheme="majorEastAsia" w:hAnsi="Times New Roman" w:cs="Times New Roman"/>
          <w:sz w:val="20"/>
          <w:szCs w:val="20"/>
        </w:rPr>
        <w:footnoteRef/>
      </w:r>
      <w:r w:rsidRPr="00135614">
        <w:rPr>
          <w:rFonts w:ascii="Times New Roman" w:hAnsi="Times New Roman" w:cs="Times New Roman"/>
          <w:sz w:val="20"/>
          <w:szCs w:val="20"/>
        </w:rPr>
        <w:t xml:space="preserve"> See </w:t>
      </w:r>
      <w:r w:rsidRPr="00135614">
        <w:rPr>
          <w:rFonts w:ascii="Times New Roman" w:hAnsi="Times New Roman" w:cs="Times New Roman"/>
          <w:i/>
          <w:sz w:val="20"/>
          <w:szCs w:val="20"/>
        </w:rPr>
        <w:t>Katanga</w:t>
      </w:r>
      <w:r w:rsidRPr="00135614">
        <w:rPr>
          <w:rFonts w:ascii="Times New Roman" w:hAnsi="Times New Roman" w:cs="Times New Roman"/>
          <w:sz w:val="20"/>
          <w:szCs w:val="20"/>
        </w:rPr>
        <w:t xml:space="preserve"> Judgement, </w:t>
      </w:r>
      <w:r w:rsidRPr="002C4E23">
        <w:rPr>
          <w:rFonts w:ascii="Times New Roman" w:hAnsi="Times New Roman" w:cs="Times New Roman"/>
          <w:i/>
          <w:sz w:val="20"/>
          <w:szCs w:val="20"/>
        </w:rPr>
        <w:t>supra</w:t>
      </w:r>
      <w:r>
        <w:rPr>
          <w:rFonts w:ascii="Times New Roman" w:hAnsi="Times New Roman" w:cs="Times New Roman"/>
          <w:sz w:val="20"/>
          <w:szCs w:val="20"/>
        </w:rPr>
        <w:t xml:space="preserve"> note 8, </w:t>
      </w:r>
      <w:r w:rsidRPr="00135614">
        <w:rPr>
          <w:rFonts w:ascii="Times New Roman" w:hAnsi="Times New Roman" w:cs="Times New Roman"/>
          <w:sz w:val="20"/>
          <w:szCs w:val="20"/>
        </w:rPr>
        <w:t>para. 1385.</w:t>
      </w:r>
    </w:p>
  </w:footnote>
  <w:footnote w:id="162">
    <w:p w14:paraId="69CDCAE4" w14:textId="6FD952CA" w:rsidR="0079099C" w:rsidRPr="00135614" w:rsidRDefault="0079099C" w:rsidP="00A818E2">
      <w:pPr>
        <w:pStyle w:val="FootnoteText"/>
        <w:spacing w:after="0" w:line="240" w:lineRule="auto"/>
        <w:jc w:val="both"/>
        <w:rPr>
          <w:rFonts w:ascii="Times New Roman" w:hAnsi="Times New Roman" w:cs="Times New Roman"/>
          <w:sz w:val="20"/>
          <w:szCs w:val="20"/>
          <w:lang w:val="en-US"/>
        </w:rPr>
      </w:pPr>
      <w:r w:rsidRPr="00135614">
        <w:rPr>
          <w:rStyle w:val="FootnoteReference"/>
          <w:rFonts w:ascii="Times New Roman" w:hAnsi="Times New Roman" w:cs="Times New Roman"/>
          <w:sz w:val="20"/>
          <w:szCs w:val="20"/>
        </w:rPr>
        <w:footnoteRef/>
      </w:r>
      <w:r w:rsidRPr="00135614">
        <w:rPr>
          <w:rFonts w:ascii="Times New Roman" w:hAnsi="Times New Roman" w:cs="Times New Roman"/>
          <w:sz w:val="20"/>
          <w:szCs w:val="20"/>
        </w:rPr>
        <w:t xml:space="preserve"> Roxin,</w:t>
      </w:r>
      <w:r w:rsidRPr="00135614">
        <w:rPr>
          <w:rFonts w:ascii="Times New Roman" w:hAnsi="Times New Roman" w:cs="Times New Roman"/>
          <w:i/>
          <w:sz w:val="20"/>
          <w:szCs w:val="20"/>
        </w:rPr>
        <w:t xml:space="preserve"> supra</w:t>
      </w:r>
      <w:r w:rsidRPr="00135614">
        <w:rPr>
          <w:rFonts w:ascii="Times New Roman" w:hAnsi="Times New Roman" w:cs="Times New Roman"/>
          <w:sz w:val="20"/>
          <w:szCs w:val="20"/>
        </w:rPr>
        <w:t xml:space="preserve"> note 6.</w:t>
      </w:r>
    </w:p>
  </w:footnote>
  <w:footnote w:id="163">
    <w:p w14:paraId="7F488825" w14:textId="21E92D9E" w:rsidR="0079099C" w:rsidRPr="00135614" w:rsidRDefault="0079099C" w:rsidP="00A818E2">
      <w:pPr>
        <w:pStyle w:val="FootnoteText"/>
        <w:spacing w:after="0" w:line="240" w:lineRule="auto"/>
        <w:jc w:val="both"/>
        <w:rPr>
          <w:rFonts w:ascii="Times New Roman" w:hAnsi="Times New Roman" w:cs="Times New Roman"/>
          <w:sz w:val="20"/>
          <w:szCs w:val="20"/>
        </w:rPr>
      </w:pPr>
      <w:r w:rsidRPr="00135614">
        <w:rPr>
          <w:rStyle w:val="FootnoteReference"/>
          <w:rFonts w:ascii="Times New Roman" w:eastAsiaTheme="majorEastAsia" w:hAnsi="Times New Roman" w:cs="Times New Roman"/>
          <w:sz w:val="20"/>
          <w:szCs w:val="20"/>
        </w:rPr>
        <w:footnoteRef/>
      </w:r>
      <w:r w:rsidRPr="00135614">
        <w:rPr>
          <w:rFonts w:ascii="Times New Roman" w:hAnsi="Times New Roman" w:cs="Times New Roman"/>
          <w:sz w:val="20"/>
          <w:szCs w:val="20"/>
        </w:rPr>
        <w:t xml:space="preserve"> A. Aust, </w:t>
      </w:r>
      <w:r w:rsidRPr="00135614">
        <w:rPr>
          <w:rFonts w:ascii="Times New Roman" w:hAnsi="Times New Roman" w:cs="Times New Roman"/>
          <w:i/>
          <w:sz w:val="20"/>
          <w:szCs w:val="20"/>
        </w:rPr>
        <w:t xml:space="preserve">Modern Treaty Law and Practice </w:t>
      </w:r>
      <w:r w:rsidRPr="00135614">
        <w:rPr>
          <w:rFonts w:ascii="Times New Roman" w:hAnsi="Times New Roman" w:cs="Times New Roman"/>
          <w:sz w:val="20"/>
          <w:szCs w:val="20"/>
        </w:rPr>
        <w:t>(</w:t>
      </w:r>
      <w:r>
        <w:rPr>
          <w:rFonts w:ascii="Times New Roman" w:hAnsi="Times New Roman" w:cs="Times New Roman"/>
          <w:sz w:val="20"/>
          <w:szCs w:val="20"/>
        </w:rPr>
        <w:t xml:space="preserve">Cambridge University Press, </w:t>
      </w:r>
      <w:r w:rsidRPr="00135614">
        <w:rPr>
          <w:rFonts w:ascii="Times New Roman" w:hAnsi="Times New Roman" w:cs="Times New Roman"/>
          <w:sz w:val="20"/>
          <w:szCs w:val="20"/>
        </w:rPr>
        <w:t>Cambridge, 2000), p. 187.</w:t>
      </w:r>
    </w:p>
  </w:footnote>
  <w:footnote w:id="164">
    <w:p w14:paraId="1C9BE69C" w14:textId="70FB03B3" w:rsidR="0079099C" w:rsidRPr="00135614" w:rsidRDefault="0079099C" w:rsidP="00A818E2">
      <w:pPr>
        <w:pStyle w:val="FootnoteText"/>
        <w:spacing w:after="0" w:line="240" w:lineRule="auto"/>
        <w:jc w:val="both"/>
        <w:rPr>
          <w:rFonts w:ascii="Times New Roman" w:hAnsi="Times New Roman" w:cs="Times New Roman"/>
          <w:sz w:val="20"/>
          <w:szCs w:val="20"/>
          <w:lang w:val="en-US"/>
        </w:rPr>
      </w:pPr>
      <w:r w:rsidRPr="00135614">
        <w:rPr>
          <w:rStyle w:val="FootnoteReference"/>
          <w:rFonts w:ascii="Times New Roman" w:hAnsi="Times New Roman" w:cs="Times New Roman"/>
          <w:sz w:val="20"/>
          <w:szCs w:val="20"/>
        </w:rPr>
        <w:footnoteRef/>
      </w:r>
      <w:r w:rsidRPr="00135614">
        <w:rPr>
          <w:rFonts w:ascii="Times New Roman" w:hAnsi="Times New Roman" w:cs="Times New Roman"/>
          <w:sz w:val="20"/>
          <w:szCs w:val="20"/>
          <w:lang w:val="en-US"/>
        </w:rPr>
        <w:t xml:space="preserve"> </w:t>
      </w:r>
      <w:r w:rsidRPr="00135614">
        <w:rPr>
          <w:rFonts w:ascii="Times New Roman" w:hAnsi="Times New Roman" w:cs="Times New Roman"/>
          <w:i/>
          <w:sz w:val="20"/>
          <w:szCs w:val="20"/>
          <w:lang w:val="en-US"/>
        </w:rPr>
        <w:t>Ibid,</w:t>
      </w:r>
      <w:r w:rsidRPr="00135614">
        <w:rPr>
          <w:rFonts w:ascii="Times New Roman" w:hAnsi="Times New Roman" w:cs="Times New Roman"/>
          <w:sz w:val="20"/>
          <w:szCs w:val="20"/>
          <w:lang w:val="en-US"/>
        </w:rPr>
        <w:t xml:space="preserve"> p.193.</w:t>
      </w:r>
    </w:p>
  </w:footnote>
  <w:footnote w:id="165">
    <w:p w14:paraId="23EAA931" w14:textId="0987BBAD" w:rsidR="0079099C" w:rsidRPr="00135614" w:rsidRDefault="0079099C" w:rsidP="00A818E2">
      <w:pPr>
        <w:pStyle w:val="FootnoteText"/>
        <w:spacing w:after="0" w:line="240" w:lineRule="auto"/>
        <w:jc w:val="both"/>
        <w:rPr>
          <w:rFonts w:ascii="Times New Roman" w:hAnsi="Times New Roman" w:cs="Times New Roman"/>
          <w:sz w:val="20"/>
          <w:szCs w:val="20"/>
        </w:rPr>
      </w:pPr>
      <w:r w:rsidRPr="00135614">
        <w:rPr>
          <w:rStyle w:val="FootnoteReference"/>
          <w:rFonts w:ascii="Times New Roman" w:eastAsiaTheme="majorEastAsia" w:hAnsi="Times New Roman" w:cs="Times New Roman"/>
          <w:sz w:val="20"/>
          <w:szCs w:val="20"/>
        </w:rPr>
        <w:footnoteRef/>
      </w:r>
      <w:r w:rsidRPr="00135614">
        <w:rPr>
          <w:rFonts w:ascii="Times New Roman" w:hAnsi="Times New Roman" w:cs="Times New Roman"/>
          <w:sz w:val="20"/>
          <w:szCs w:val="20"/>
        </w:rPr>
        <w:t xml:space="preserve"> I. Sinclair, </w:t>
      </w:r>
      <w:r w:rsidRPr="00135614">
        <w:rPr>
          <w:rFonts w:ascii="Times New Roman" w:hAnsi="Times New Roman" w:cs="Times New Roman"/>
          <w:i/>
          <w:sz w:val="20"/>
          <w:szCs w:val="20"/>
        </w:rPr>
        <w:t>The Vienna Convention on the Law of Treaties</w:t>
      </w:r>
      <w:r w:rsidRPr="00135614">
        <w:rPr>
          <w:rFonts w:ascii="Times New Roman" w:hAnsi="Times New Roman" w:cs="Times New Roman"/>
          <w:sz w:val="20"/>
          <w:szCs w:val="20"/>
        </w:rPr>
        <w:t xml:space="preserve"> (Manchester University Press, </w:t>
      </w:r>
      <w:r>
        <w:rPr>
          <w:rFonts w:ascii="Times New Roman" w:hAnsi="Times New Roman" w:cs="Times New Roman"/>
          <w:sz w:val="20"/>
          <w:szCs w:val="20"/>
        </w:rPr>
        <w:t xml:space="preserve">Manchester, </w:t>
      </w:r>
      <w:r w:rsidRPr="00135614">
        <w:rPr>
          <w:rFonts w:ascii="Times New Roman" w:hAnsi="Times New Roman" w:cs="Times New Roman"/>
          <w:sz w:val="20"/>
          <w:szCs w:val="20"/>
        </w:rPr>
        <w:t>1984), p. 116.</w:t>
      </w:r>
    </w:p>
  </w:footnote>
  <w:footnote w:id="166">
    <w:p w14:paraId="7C699151" w14:textId="47CD46A0" w:rsidR="0079099C" w:rsidRPr="00135614" w:rsidRDefault="0079099C" w:rsidP="00A818E2">
      <w:pPr>
        <w:pStyle w:val="FootnoteText"/>
        <w:spacing w:after="0" w:line="240" w:lineRule="auto"/>
        <w:jc w:val="both"/>
        <w:rPr>
          <w:rFonts w:ascii="Times New Roman" w:hAnsi="Times New Roman" w:cs="Times New Roman"/>
          <w:sz w:val="20"/>
          <w:szCs w:val="20"/>
        </w:rPr>
      </w:pPr>
      <w:r w:rsidRPr="00135614">
        <w:rPr>
          <w:rStyle w:val="FootnoteReference"/>
          <w:rFonts w:ascii="Times New Roman" w:eastAsiaTheme="majorEastAsia" w:hAnsi="Times New Roman" w:cs="Times New Roman"/>
          <w:sz w:val="20"/>
          <w:szCs w:val="20"/>
        </w:rPr>
        <w:footnoteRef/>
      </w:r>
      <w:r w:rsidRPr="00135614">
        <w:rPr>
          <w:rFonts w:ascii="Times New Roman" w:hAnsi="Times New Roman" w:cs="Times New Roman"/>
          <w:sz w:val="20"/>
          <w:szCs w:val="20"/>
        </w:rPr>
        <w:t xml:space="preserve"> Concurring Opinion of Judge van den Wyngaert, </w:t>
      </w:r>
      <w:r w:rsidRPr="0079099C">
        <w:rPr>
          <w:rFonts w:ascii="Times New Roman" w:hAnsi="Times New Roman" w:cs="Times New Roman"/>
          <w:i/>
          <w:sz w:val="20"/>
          <w:szCs w:val="20"/>
        </w:rPr>
        <w:t xml:space="preserve">supra </w:t>
      </w:r>
      <w:r>
        <w:rPr>
          <w:rFonts w:ascii="Times New Roman" w:hAnsi="Times New Roman" w:cs="Times New Roman"/>
          <w:sz w:val="20"/>
          <w:szCs w:val="20"/>
        </w:rPr>
        <w:t xml:space="preserve">note 18, </w:t>
      </w:r>
      <w:r w:rsidRPr="00135614">
        <w:rPr>
          <w:rFonts w:ascii="Times New Roman" w:hAnsi="Times New Roman" w:cs="Times New Roman"/>
          <w:sz w:val="20"/>
          <w:szCs w:val="20"/>
        </w:rPr>
        <w:t>para. 14.</w:t>
      </w:r>
    </w:p>
  </w:footnote>
  <w:footnote w:id="167">
    <w:p w14:paraId="1DA524CD" w14:textId="059B815C" w:rsidR="0079099C" w:rsidRPr="00135614" w:rsidRDefault="0079099C" w:rsidP="00A818E2">
      <w:pPr>
        <w:pStyle w:val="FootnoteText"/>
        <w:spacing w:after="0" w:line="240" w:lineRule="auto"/>
        <w:jc w:val="both"/>
        <w:rPr>
          <w:rFonts w:ascii="Times New Roman" w:hAnsi="Times New Roman" w:cs="Times New Roman"/>
          <w:sz w:val="20"/>
          <w:szCs w:val="20"/>
          <w:lang w:val="en-US"/>
        </w:rPr>
      </w:pPr>
      <w:r w:rsidRPr="00135614">
        <w:rPr>
          <w:rStyle w:val="FootnoteReference"/>
          <w:rFonts w:ascii="Times New Roman" w:hAnsi="Times New Roman" w:cs="Times New Roman"/>
          <w:sz w:val="20"/>
          <w:szCs w:val="20"/>
        </w:rPr>
        <w:footnoteRef/>
      </w:r>
      <w:r w:rsidRPr="00135614">
        <w:rPr>
          <w:rFonts w:ascii="Times New Roman" w:hAnsi="Times New Roman" w:cs="Times New Roman"/>
          <w:sz w:val="20"/>
          <w:szCs w:val="20"/>
        </w:rPr>
        <w:t xml:space="preserve"> </w:t>
      </w:r>
      <w:r w:rsidRPr="00135614">
        <w:rPr>
          <w:rFonts w:ascii="Times New Roman" w:hAnsi="Times New Roman" w:cs="Times New Roman"/>
          <w:i/>
          <w:sz w:val="20"/>
          <w:szCs w:val="20"/>
          <w:lang w:val="en-US"/>
        </w:rPr>
        <w:t>Lubanga</w:t>
      </w:r>
      <w:r w:rsidRPr="00135614">
        <w:rPr>
          <w:rFonts w:ascii="Times New Roman" w:hAnsi="Times New Roman" w:cs="Times New Roman"/>
          <w:sz w:val="20"/>
          <w:szCs w:val="20"/>
          <w:lang w:val="en-US"/>
        </w:rPr>
        <w:t xml:space="preserve"> Appeal Judgment, </w:t>
      </w:r>
      <w:r w:rsidRPr="001A359E">
        <w:rPr>
          <w:rFonts w:ascii="Times New Roman" w:hAnsi="Times New Roman" w:cs="Times New Roman"/>
          <w:i/>
          <w:sz w:val="20"/>
          <w:szCs w:val="20"/>
        </w:rPr>
        <w:t>supra</w:t>
      </w:r>
      <w:r>
        <w:rPr>
          <w:rFonts w:ascii="Times New Roman" w:hAnsi="Times New Roman" w:cs="Times New Roman"/>
          <w:sz w:val="20"/>
          <w:szCs w:val="20"/>
        </w:rPr>
        <w:t xml:space="preserve"> note 11, </w:t>
      </w:r>
      <w:r w:rsidRPr="00135614">
        <w:rPr>
          <w:rFonts w:ascii="Times New Roman" w:hAnsi="Times New Roman" w:cs="Times New Roman"/>
          <w:sz w:val="20"/>
          <w:szCs w:val="20"/>
        </w:rPr>
        <w:t xml:space="preserve">para. 470. See also </w:t>
      </w:r>
      <w:r w:rsidRPr="00135614">
        <w:rPr>
          <w:rFonts w:ascii="Times New Roman" w:hAnsi="Times New Roman" w:cs="Times New Roman"/>
          <w:i/>
          <w:sz w:val="20"/>
          <w:szCs w:val="20"/>
        </w:rPr>
        <w:t>Lubanga</w:t>
      </w:r>
      <w:r w:rsidRPr="00135614">
        <w:rPr>
          <w:rFonts w:ascii="Times New Roman" w:hAnsi="Times New Roman" w:cs="Times New Roman"/>
          <w:sz w:val="20"/>
          <w:szCs w:val="20"/>
        </w:rPr>
        <w:t xml:space="preserve"> Judgement, </w:t>
      </w:r>
      <w:r>
        <w:rPr>
          <w:rFonts w:ascii="Times New Roman" w:hAnsi="Times New Roman" w:cs="Times New Roman"/>
          <w:i/>
          <w:sz w:val="20"/>
          <w:szCs w:val="20"/>
        </w:rPr>
        <w:t xml:space="preserve">supra </w:t>
      </w:r>
      <w:r w:rsidRPr="00924358">
        <w:rPr>
          <w:rFonts w:ascii="Times New Roman" w:hAnsi="Times New Roman" w:cs="Times New Roman"/>
          <w:sz w:val="20"/>
          <w:szCs w:val="20"/>
        </w:rPr>
        <w:t>note 8,</w:t>
      </w:r>
      <w:r w:rsidRPr="00135614">
        <w:rPr>
          <w:rFonts w:ascii="Times New Roman" w:hAnsi="Times New Roman" w:cs="Times New Roman"/>
          <w:sz w:val="20"/>
          <w:szCs w:val="20"/>
        </w:rPr>
        <w:t xml:space="preserve"> para. 976</w:t>
      </w:r>
    </w:p>
  </w:footnote>
  <w:footnote w:id="168">
    <w:p w14:paraId="47F4F78E" w14:textId="77E30C8E" w:rsidR="0079099C" w:rsidRPr="00135614" w:rsidRDefault="0079099C" w:rsidP="00A818E2">
      <w:pPr>
        <w:pStyle w:val="FootnoteText"/>
        <w:spacing w:after="0" w:line="240" w:lineRule="auto"/>
        <w:jc w:val="both"/>
        <w:rPr>
          <w:rFonts w:ascii="Times New Roman" w:hAnsi="Times New Roman" w:cs="Times New Roman"/>
          <w:sz w:val="20"/>
          <w:szCs w:val="20"/>
          <w:lang w:val="en-US"/>
        </w:rPr>
      </w:pPr>
      <w:r w:rsidRPr="00135614">
        <w:rPr>
          <w:rStyle w:val="FootnoteReference"/>
          <w:rFonts w:ascii="Times New Roman" w:hAnsi="Times New Roman" w:cs="Times New Roman"/>
          <w:sz w:val="20"/>
          <w:szCs w:val="20"/>
        </w:rPr>
        <w:footnoteRef/>
      </w:r>
      <w:r w:rsidRPr="00135614">
        <w:rPr>
          <w:rFonts w:ascii="Times New Roman" w:hAnsi="Times New Roman" w:cs="Times New Roman"/>
          <w:sz w:val="20"/>
          <w:szCs w:val="20"/>
        </w:rPr>
        <w:t xml:space="preserve"> </w:t>
      </w:r>
      <w:r w:rsidRPr="00135614">
        <w:rPr>
          <w:rFonts w:ascii="Times New Roman" w:hAnsi="Times New Roman" w:cs="Times New Roman"/>
          <w:sz w:val="20"/>
          <w:szCs w:val="20"/>
          <w:lang w:val="en-US"/>
        </w:rPr>
        <w:t xml:space="preserve">See Sadat and Jolly, </w:t>
      </w:r>
      <w:r w:rsidRPr="00135614">
        <w:rPr>
          <w:rFonts w:ascii="Times New Roman" w:hAnsi="Times New Roman" w:cs="Times New Roman"/>
          <w:i/>
          <w:sz w:val="20"/>
          <w:szCs w:val="20"/>
          <w:lang w:val="en-US"/>
        </w:rPr>
        <w:t xml:space="preserve">supra </w:t>
      </w:r>
      <w:r w:rsidRPr="00135614">
        <w:rPr>
          <w:rFonts w:ascii="Times New Roman" w:hAnsi="Times New Roman" w:cs="Times New Roman"/>
          <w:sz w:val="20"/>
          <w:szCs w:val="20"/>
          <w:lang w:val="en-US"/>
        </w:rPr>
        <w:t>note 4.</w:t>
      </w:r>
    </w:p>
  </w:footnote>
  <w:footnote w:id="169">
    <w:p w14:paraId="78F8CC6E" w14:textId="058ACF99" w:rsidR="0079099C" w:rsidRPr="00135614" w:rsidRDefault="0079099C" w:rsidP="00A818E2">
      <w:pPr>
        <w:spacing w:after="0" w:line="240" w:lineRule="auto"/>
        <w:jc w:val="both"/>
        <w:rPr>
          <w:rFonts w:ascii="Times New Roman" w:hAnsi="Times New Roman" w:cs="Times New Roman"/>
          <w:sz w:val="20"/>
          <w:szCs w:val="20"/>
        </w:rPr>
      </w:pPr>
      <w:r w:rsidRPr="00135614">
        <w:rPr>
          <w:rStyle w:val="FootnoteReference"/>
          <w:rFonts w:ascii="Times New Roman" w:hAnsi="Times New Roman" w:cs="Times New Roman"/>
          <w:sz w:val="20"/>
          <w:szCs w:val="20"/>
        </w:rPr>
        <w:footnoteRef/>
      </w:r>
      <w:r w:rsidRPr="00135614">
        <w:rPr>
          <w:rFonts w:ascii="Times New Roman" w:hAnsi="Times New Roman" w:cs="Times New Roman"/>
          <w:sz w:val="20"/>
          <w:szCs w:val="20"/>
        </w:rPr>
        <w:t xml:space="preserve"> Separate Opinion of Judge Fulford, </w:t>
      </w:r>
      <w:r w:rsidRPr="001A359E">
        <w:rPr>
          <w:rFonts w:ascii="Times New Roman" w:hAnsi="Times New Roman" w:cs="Times New Roman"/>
          <w:i/>
          <w:sz w:val="20"/>
          <w:szCs w:val="20"/>
        </w:rPr>
        <w:t>supra</w:t>
      </w:r>
      <w:r>
        <w:rPr>
          <w:rFonts w:ascii="Times New Roman" w:hAnsi="Times New Roman" w:cs="Times New Roman"/>
          <w:sz w:val="20"/>
          <w:szCs w:val="20"/>
        </w:rPr>
        <w:t xml:space="preserve"> note 13, </w:t>
      </w:r>
      <w:r w:rsidRPr="00135614">
        <w:rPr>
          <w:rFonts w:ascii="Times New Roman" w:hAnsi="Times New Roman" w:cs="Times New Roman"/>
          <w:sz w:val="20"/>
          <w:szCs w:val="20"/>
        </w:rPr>
        <w:t>paras. 16, 21. See also Minority Opinion Judge van den Wyngaert,</w:t>
      </w:r>
      <w:r>
        <w:rPr>
          <w:rFonts w:ascii="Times New Roman" w:hAnsi="Times New Roman" w:cs="Times New Roman"/>
          <w:sz w:val="20"/>
          <w:szCs w:val="20"/>
        </w:rPr>
        <w:t xml:space="preserve"> </w:t>
      </w:r>
      <w:r w:rsidRPr="00C35F07">
        <w:rPr>
          <w:rFonts w:ascii="Times New Roman" w:hAnsi="Times New Roman" w:cs="Times New Roman"/>
          <w:i/>
          <w:sz w:val="20"/>
          <w:szCs w:val="20"/>
        </w:rPr>
        <w:t>supra</w:t>
      </w:r>
      <w:r>
        <w:rPr>
          <w:rFonts w:ascii="Times New Roman" w:hAnsi="Times New Roman" w:cs="Times New Roman"/>
          <w:sz w:val="20"/>
          <w:szCs w:val="20"/>
        </w:rPr>
        <w:t xml:space="preserve"> note 8,</w:t>
      </w:r>
      <w:r w:rsidRPr="00135614">
        <w:rPr>
          <w:rFonts w:ascii="Times New Roman" w:hAnsi="Times New Roman" w:cs="Times New Roman"/>
          <w:sz w:val="20"/>
          <w:szCs w:val="20"/>
        </w:rPr>
        <w:t xml:space="preserve"> para. 281.</w:t>
      </w:r>
    </w:p>
  </w:footnote>
  <w:footnote w:id="170">
    <w:p w14:paraId="7BC78979" w14:textId="18145781" w:rsidR="0079099C" w:rsidRPr="00135614" w:rsidRDefault="0079099C" w:rsidP="00A818E2">
      <w:pPr>
        <w:pStyle w:val="FootnoteText"/>
        <w:spacing w:after="0" w:line="240" w:lineRule="auto"/>
        <w:jc w:val="both"/>
        <w:rPr>
          <w:rFonts w:ascii="Times New Roman" w:hAnsi="Times New Roman" w:cs="Times New Roman"/>
          <w:sz w:val="20"/>
          <w:szCs w:val="20"/>
        </w:rPr>
      </w:pPr>
      <w:r w:rsidRPr="00135614">
        <w:rPr>
          <w:rStyle w:val="FootnoteReference"/>
          <w:rFonts w:ascii="Times New Roman" w:eastAsiaTheme="majorEastAsia" w:hAnsi="Times New Roman" w:cs="Times New Roman"/>
          <w:sz w:val="20"/>
          <w:szCs w:val="20"/>
        </w:rPr>
        <w:footnoteRef/>
      </w:r>
      <w:r w:rsidRPr="00135614">
        <w:rPr>
          <w:rFonts w:ascii="Times New Roman" w:hAnsi="Times New Roman" w:cs="Times New Roman"/>
          <w:sz w:val="20"/>
          <w:szCs w:val="20"/>
        </w:rPr>
        <w:t xml:space="preserve"> Concurring Opinion Judge van den Wyngaert, </w:t>
      </w:r>
      <w:r w:rsidRPr="0079099C">
        <w:rPr>
          <w:rFonts w:ascii="Times New Roman" w:hAnsi="Times New Roman" w:cs="Times New Roman"/>
          <w:i/>
          <w:sz w:val="20"/>
          <w:szCs w:val="20"/>
        </w:rPr>
        <w:t xml:space="preserve">supra </w:t>
      </w:r>
      <w:r>
        <w:rPr>
          <w:rFonts w:ascii="Times New Roman" w:hAnsi="Times New Roman" w:cs="Times New Roman"/>
          <w:sz w:val="20"/>
          <w:szCs w:val="20"/>
        </w:rPr>
        <w:t xml:space="preserve">note 18, </w:t>
      </w:r>
      <w:r w:rsidRPr="00135614">
        <w:rPr>
          <w:rFonts w:ascii="Times New Roman" w:hAnsi="Times New Roman" w:cs="Times New Roman"/>
          <w:sz w:val="20"/>
          <w:szCs w:val="20"/>
        </w:rPr>
        <w:t>para. 16.</w:t>
      </w:r>
    </w:p>
  </w:footnote>
  <w:footnote w:id="171">
    <w:p w14:paraId="30F1EE5B" w14:textId="147E514D" w:rsidR="0079099C" w:rsidRPr="00135614" w:rsidRDefault="0079099C" w:rsidP="00A818E2">
      <w:pPr>
        <w:pStyle w:val="FootnoteText"/>
        <w:spacing w:after="0" w:line="240" w:lineRule="auto"/>
        <w:jc w:val="both"/>
        <w:rPr>
          <w:rFonts w:ascii="Times New Roman" w:hAnsi="Times New Roman" w:cs="Times New Roman"/>
          <w:sz w:val="20"/>
          <w:szCs w:val="20"/>
        </w:rPr>
      </w:pPr>
      <w:r w:rsidRPr="00135614">
        <w:rPr>
          <w:rStyle w:val="FootnoteReference"/>
          <w:rFonts w:ascii="Times New Roman" w:eastAsiaTheme="majorEastAsia" w:hAnsi="Times New Roman" w:cs="Times New Roman"/>
          <w:sz w:val="20"/>
          <w:szCs w:val="20"/>
        </w:rPr>
        <w:footnoteRef/>
      </w:r>
      <w:r w:rsidRPr="00135614">
        <w:rPr>
          <w:rFonts w:ascii="Times New Roman" w:hAnsi="Times New Roman" w:cs="Times New Roman"/>
          <w:sz w:val="20"/>
          <w:szCs w:val="20"/>
        </w:rPr>
        <w:t xml:space="preserve"> </w:t>
      </w:r>
      <w:r w:rsidRPr="00135614">
        <w:rPr>
          <w:rFonts w:ascii="Times New Roman" w:hAnsi="Times New Roman" w:cs="Times New Roman"/>
          <w:i/>
          <w:sz w:val="20"/>
          <w:szCs w:val="20"/>
        </w:rPr>
        <w:t>Katanga</w:t>
      </w:r>
      <w:r w:rsidRPr="00135614">
        <w:rPr>
          <w:rFonts w:ascii="Times New Roman" w:hAnsi="Times New Roman" w:cs="Times New Roman"/>
          <w:sz w:val="20"/>
          <w:szCs w:val="20"/>
        </w:rPr>
        <w:t xml:space="preserve"> Judgement, </w:t>
      </w:r>
      <w:r w:rsidRPr="002C4E23">
        <w:rPr>
          <w:rFonts w:ascii="Times New Roman" w:hAnsi="Times New Roman" w:cs="Times New Roman"/>
          <w:i/>
          <w:sz w:val="20"/>
          <w:szCs w:val="20"/>
        </w:rPr>
        <w:t>supra</w:t>
      </w:r>
      <w:r>
        <w:rPr>
          <w:rFonts w:ascii="Times New Roman" w:hAnsi="Times New Roman" w:cs="Times New Roman"/>
          <w:sz w:val="20"/>
          <w:szCs w:val="20"/>
        </w:rPr>
        <w:t xml:space="preserve"> note 8, </w:t>
      </w:r>
      <w:r w:rsidRPr="00135614">
        <w:rPr>
          <w:rFonts w:ascii="Times New Roman" w:hAnsi="Times New Roman" w:cs="Times New Roman"/>
          <w:sz w:val="20"/>
          <w:szCs w:val="20"/>
        </w:rPr>
        <w:t>paras. 1395.</w:t>
      </w:r>
    </w:p>
  </w:footnote>
  <w:footnote w:id="172">
    <w:p w14:paraId="7A6DE670" w14:textId="488A785A" w:rsidR="0079099C" w:rsidRPr="00135614" w:rsidRDefault="0079099C" w:rsidP="00A818E2">
      <w:pPr>
        <w:pStyle w:val="FootnoteText"/>
        <w:spacing w:after="0" w:line="240" w:lineRule="auto"/>
        <w:jc w:val="both"/>
        <w:rPr>
          <w:rFonts w:ascii="Times New Roman" w:hAnsi="Times New Roman" w:cs="Times New Roman"/>
          <w:sz w:val="20"/>
          <w:szCs w:val="20"/>
        </w:rPr>
      </w:pPr>
      <w:r w:rsidRPr="00135614">
        <w:rPr>
          <w:rStyle w:val="FootnoteReference"/>
          <w:rFonts w:ascii="Times New Roman" w:eastAsiaTheme="majorEastAsia" w:hAnsi="Times New Roman" w:cs="Times New Roman"/>
          <w:sz w:val="20"/>
          <w:szCs w:val="20"/>
        </w:rPr>
        <w:footnoteRef/>
      </w:r>
      <w:r w:rsidRPr="00135614">
        <w:rPr>
          <w:rFonts w:ascii="Times New Roman" w:hAnsi="Times New Roman" w:cs="Times New Roman"/>
          <w:sz w:val="20"/>
          <w:szCs w:val="20"/>
        </w:rPr>
        <w:t xml:space="preserve"> P. Saland, ‘International criminal law principles’, in Roy Lee (ed.), </w:t>
      </w:r>
      <w:r w:rsidRPr="00135614">
        <w:rPr>
          <w:rFonts w:ascii="Times New Roman" w:hAnsi="Times New Roman" w:cs="Times New Roman"/>
          <w:i/>
          <w:iCs/>
          <w:sz w:val="20"/>
          <w:szCs w:val="20"/>
        </w:rPr>
        <w:t xml:space="preserve">The International Criminal Court-The Making of the Rome Statute: Issues, Negotiations, Results </w:t>
      </w:r>
      <w:r w:rsidRPr="00135614">
        <w:rPr>
          <w:rFonts w:ascii="Times New Roman" w:hAnsi="Times New Roman" w:cs="Times New Roman"/>
          <w:iCs/>
          <w:sz w:val="20"/>
          <w:szCs w:val="20"/>
        </w:rPr>
        <w:t>(</w:t>
      </w:r>
      <w:r w:rsidRPr="00135614">
        <w:rPr>
          <w:rFonts w:ascii="Times New Roman" w:hAnsi="Times New Roman" w:cs="Times New Roman"/>
          <w:sz w:val="20"/>
          <w:szCs w:val="20"/>
        </w:rPr>
        <w:t xml:space="preserve">Kluwer Law International, The Hague, 1999), p. 198. </w:t>
      </w:r>
    </w:p>
  </w:footnote>
  <w:footnote w:id="173">
    <w:p w14:paraId="652E44C1" w14:textId="77777777" w:rsidR="0079099C" w:rsidRPr="00135614" w:rsidRDefault="0079099C" w:rsidP="00A818E2">
      <w:pPr>
        <w:pStyle w:val="FootnoteText"/>
        <w:spacing w:after="0" w:line="240" w:lineRule="auto"/>
        <w:jc w:val="both"/>
        <w:rPr>
          <w:rFonts w:ascii="Times New Roman" w:hAnsi="Times New Roman" w:cs="Times New Roman"/>
          <w:sz w:val="20"/>
          <w:szCs w:val="20"/>
        </w:rPr>
      </w:pPr>
      <w:r w:rsidRPr="00135614">
        <w:rPr>
          <w:rStyle w:val="FootnoteReference"/>
          <w:rFonts w:ascii="Times New Roman" w:eastAsiaTheme="majorEastAsia" w:hAnsi="Times New Roman" w:cs="Times New Roman"/>
          <w:sz w:val="20"/>
          <w:szCs w:val="20"/>
        </w:rPr>
        <w:footnoteRef/>
      </w:r>
      <w:r w:rsidRPr="00135614">
        <w:rPr>
          <w:rFonts w:ascii="Times New Roman" w:hAnsi="Times New Roman" w:cs="Times New Roman"/>
          <w:sz w:val="20"/>
          <w:szCs w:val="20"/>
        </w:rPr>
        <w:t xml:space="preserve"> Working Paper and Report of the Preparatory Committee.</w:t>
      </w:r>
    </w:p>
  </w:footnote>
  <w:footnote w:id="174">
    <w:p w14:paraId="06EBE039" w14:textId="1425AB2D" w:rsidR="0079099C" w:rsidRPr="00135614" w:rsidRDefault="0079099C" w:rsidP="00A818E2">
      <w:pPr>
        <w:pStyle w:val="FootnoteText"/>
        <w:spacing w:after="0" w:line="240" w:lineRule="auto"/>
        <w:jc w:val="both"/>
        <w:rPr>
          <w:rFonts w:ascii="Times New Roman" w:hAnsi="Times New Roman" w:cs="Times New Roman"/>
          <w:sz w:val="20"/>
          <w:szCs w:val="20"/>
        </w:rPr>
      </w:pPr>
      <w:r w:rsidRPr="00135614">
        <w:rPr>
          <w:rStyle w:val="FootnoteReference"/>
          <w:rFonts w:ascii="Times New Roman" w:eastAsiaTheme="majorEastAsia" w:hAnsi="Times New Roman" w:cs="Times New Roman"/>
          <w:sz w:val="20"/>
          <w:szCs w:val="20"/>
        </w:rPr>
        <w:footnoteRef/>
      </w:r>
      <w:r w:rsidRPr="00135614">
        <w:rPr>
          <w:rFonts w:ascii="Times New Roman" w:hAnsi="Times New Roman" w:cs="Times New Roman"/>
          <w:sz w:val="20"/>
          <w:szCs w:val="20"/>
        </w:rPr>
        <w:t xml:space="preserve"> Saland, </w:t>
      </w:r>
      <w:r w:rsidRPr="00135614">
        <w:rPr>
          <w:rFonts w:ascii="Times New Roman" w:hAnsi="Times New Roman" w:cs="Times New Roman"/>
          <w:i/>
          <w:sz w:val="20"/>
          <w:szCs w:val="20"/>
        </w:rPr>
        <w:t>supra</w:t>
      </w:r>
      <w:r w:rsidRPr="00135614">
        <w:rPr>
          <w:rFonts w:ascii="Times New Roman" w:hAnsi="Times New Roman" w:cs="Times New Roman"/>
          <w:sz w:val="20"/>
          <w:szCs w:val="20"/>
        </w:rPr>
        <w:t xml:space="preserve"> note 170, p. 199.</w:t>
      </w:r>
    </w:p>
  </w:footnote>
  <w:footnote w:id="175">
    <w:p w14:paraId="2205A6E0" w14:textId="2ADA8701" w:rsidR="0079099C" w:rsidRPr="00135614" w:rsidRDefault="0079099C" w:rsidP="00A818E2">
      <w:pPr>
        <w:pStyle w:val="FootnoteText"/>
        <w:spacing w:after="0" w:line="240" w:lineRule="auto"/>
        <w:jc w:val="both"/>
        <w:rPr>
          <w:rFonts w:ascii="Times New Roman" w:hAnsi="Times New Roman" w:cs="Times New Roman"/>
          <w:sz w:val="20"/>
          <w:szCs w:val="20"/>
        </w:rPr>
      </w:pPr>
      <w:r w:rsidRPr="00135614">
        <w:rPr>
          <w:rStyle w:val="FootnoteReference"/>
          <w:rFonts w:ascii="Times New Roman" w:eastAsiaTheme="majorEastAsia" w:hAnsi="Times New Roman" w:cs="Times New Roman"/>
          <w:sz w:val="20"/>
          <w:szCs w:val="20"/>
        </w:rPr>
        <w:footnoteRef/>
      </w:r>
      <w:r w:rsidRPr="00135614">
        <w:rPr>
          <w:rFonts w:ascii="Times New Roman" w:hAnsi="Times New Roman" w:cs="Times New Roman"/>
          <w:sz w:val="20"/>
          <w:szCs w:val="20"/>
        </w:rPr>
        <w:t xml:space="preserve"> Article 21 of the Rome Statute ranks the sources of law to be applied by the ICC, giving priority to the Statute. See eg. </w:t>
      </w:r>
      <w:r w:rsidRPr="00135614">
        <w:rPr>
          <w:rFonts w:ascii="Times New Roman" w:hAnsi="Times New Roman" w:cs="Times New Roman"/>
          <w:i/>
          <w:sz w:val="20"/>
          <w:szCs w:val="20"/>
        </w:rPr>
        <w:t>Lubanga</w:t>
      </w:r>
      <w:r w:rsidRPr="00135614">
        <w:rPr>
          <w:rFonts w:ascii="Times New Roman" w:hAnsi="Times New Roman" w:cs="Times New Roman"/>
          <w:sz w:val="20"/>
          <w:szCs w:val="20"/>
        </w:rPr>
        <w:t xml:space="preserve"> Appeal Judgment,</w:t>
      </w:r>
      <w:r>
        <w:rPr>
          <w:rFonts w:ascii="Times New Roman" w:hAnsi="Times New Roman" w:cs="Times New Roman"/>
          <w:sz w:val="20"/>
          <w:szCs w:val="20"/>
        </w:rPr>
        <w:t xml:space="preserve"> </w:t>
      </w:r>
      <w:r w:rsidRPr="001A359E">
        <w:rPr>
          <w:rFonts w:ascii="Times New Roman" w:hAnsi="Times New Roman" w:cs="Times New Roman"/>
          <w:i/>
          <w:sz w:val="20"/>
          <w:szCs w:val="20"/>
        </w:rPr>
        <w:t>supra</w:t>
      </w:r>
      <w:r>
        <w:rPr>
          <w:rFonts w:ascii="Times New Roman" w:hAnsi="Times New Roman" w:cs="Times New Roman"/>
          <w:sz w:val="20"/>
          <w:szCs w:val="20"/>
        </w:rPr>
        <w:t xml:space="preserve"> note 11,</w:t>
      </w:r>
      <w:r w:rsidRPr="00135614">
        <w:rPr>
          <w:rFonts w:ascii="Times New Roman" w:hAnsi="Times New Roman" w:cs="Times New Roman"/>
          <w:sz w:val="20"/>
          <w:szCs w:val="20"/>
        </w:rPr>
        <w:t xml:space="preserve"> para. 472.</w:t>
      </w:r>
    </w:p>
  </w:footnote>
  <w:footnote w:id="176">
    <w:p w14:paraId="4DDFB3BE" w14:textId="57D1A2F6" w:rsidR="0079099C" w:rsidRPr="00135614" w:rsidRDefault="0079099C" w:rsidP="00A818E2">
      <w:pPr>
        <w:pStyle w:val="FootnoteText"/>
        <w:spacing w:after="0" w:line="240" w:lineRule="auto"/>
        <w:jc w:val="both"/>
        <w:rPr>
          <w:rFonts w:ascii="Times New Roman" w:hAnsi="Times New Roman" w:cs="Times New Roman"/>
          <w:sz w:val="20"/>
          <w:szCs w:val="20"/>
        </w:rPr>
      </w:pPr>
      <w:r w:rsidRPr="00135614">
        <w:rPr>
          <w:rStyle w:val="FootnoteReference"/>
          <w:rFonts w:ascii="Times New Roman" w:eastAsiaTheme="majorEastAsia" w:hAnsi="Times New Roman" w:cs="Times New Roman"/>
          <w:sz w:val="20"/>
          <w:szCs w:val="20"/>
        </w:rPr>
        <w:footnoteRef/>
      </w:r>
      <w:r w:rsidRPr="00135614">
        <w:rPr>
          <w:rFonts w:ascii="Times New Roman" w:hAnsi="Times New Roman" w:cs="Times New Roman"/>
          <w:sz w:val="20"/>
          <w:szCs w:val="20"/>
        </w:rPr>
        <w:t xml:space="preserve"> </w:t>
      </w:r>
      <w:r w:rsidRPr="00135614">
        <w:rPr>
          <w:rFonts w:ascii="Times New Roman" w:hAnsi="Times New Roman" w:cs="Times New Roman"/>
          <w:i/>
          <w:sz w:val="20"/>
          <w:szCs w:val="20"/>
        </w:rPr>
        <w:t>Katanga</w:t>
      </w:r>
      <w:r w:rsidRPr="00135614">
        <w:rPr>
          <w:rFonts w:ascii="Times New Roman" w:hAnsi="Times New Roman" w:cs="Times New Roman"/>
          <w:sz w:val="20"/>
          <w:szCs w:val="20"/>
        </w:rPr>
        <w:t xml:space="preserve"> Judgement, </w:t>
      </w:r>
      <w:r w:rsidRPr="002C4E23">
        <w:rPr>
          <w:rFonts w:ascii="Times New Roman" w:hAnsi="Times New Roman" w:cs="Times New Roman"/>
          <w:i/>
          <w:sz w:val="20"/>
          <w:szCs w:val="20"/>
        </w:rPr>
        <w:t>supra</w:t>
      </w:r>
      <w:r>
        <w:rPr>
          <w:rFonts w:ascii="Times New Roman" w:hAnsi="Times New Roman" w:cs="Times New Roman"/>
          <w:sz w:val="20"/>
          <w:szCs w:val="20"/>
        </w:rPr>
        <w:t xml:space="preserve"> note 8, </w:t>
      </w:r>
      <w:r w:rsidRPr="00135614">
        <w:rPr>
          <w:rFonts w:ascii="Times New Roman" w:hAnsi="Times New Roman" w:cs="Times New Roman"/>
          <w:sz w:val="20"/>
          <w:szCs w:val="20"/>
        </w:rPr>
        <w:t>para. 1625.</w:t>
      </w:r>
    </w:p>
  </w:footnote>
  <w:footnote w:id="177">
    <w:p w14:paraId="19FF6E19" w14:textId="6C352884" w:rsidR="0079099C" w:rsidRPr="00135614" w:rsidRDefault="0079099C" w:rsidP="00A818E2">
      <w:pPr>
        <w:spacing w:after="0" w:line="240" w:lineRule="auto"/>
        <w:jc w:val="both"/>
        <w:rPr>
          <w:rFonts w:ascii="Times New Roman" w:eastAsia="Times New Roman" w:hAnsi="Times New Roman" w:cs="Times New Roman"/>
          <w:sz w:val="20"/>
          <w:szCs w:val="20"/>
        </w:rPr>
      </w:pPr>
      <w:r w:rsidRPr="00135614">
        <w:rPr>
          <w:rStyle w:val="FootnoteReference"/>
          <w:rFonts w:ascii="Times New Roman" w:eastAsiaTheme="majorEastAsia" w:hAnsi="Times New Roman" w:cs="Times New Roman"/>
          <w:sz w:val="20"/>
          <w:szCs w:val="20"/>
        </w:rPr>
        <w:footnoteRef/>
      </w:r>
      <w:r w:rsidRPr="00135614">
        <w:rPr>
          <w:rFonts w:ascii="Times New Roman" w:hAnsi="Times New Roman" w:cs="Times New Roman"/>
          <w:sz w:val="20"/>
          <w:szCs w:val="20"/>
        </w:rPr>
        <w:t xml:space="preserve"> Prosecutor v. </w:t>
      </w:r>
      <w:r w:rsidRPr="00135614">
        <w:rPr>
          <w:rFonts w:ascii="Times New Roman" w:hAnsi="Times New Roman" w:cs="Times New Roman"/>
          <w:i/>
          <w:sz w:val="20"/>
          <w:szCs w:val="20"/>
          <w:lang w:val="en-US"/>
        </w:rPr>
        <w:t>Staki</w:t>
      </w:r>
      <w:r w:rsidRPr="00135614">
        <w:rPr>
          <w:rFonts w:ascii="Times New Roman" w:hAnsi="Times New Roman" w:cs="Times New Roman"/>
          <w:bCs/>
          <w:i/>
          <w:color w:val="000000"/>
          <w:sz w:val="20"/>
          <w:szCs w:val="20"/>
          <w:shd w:val="clear" w:color="auto" w:fill="FFFFFF"/>
          <w:lang w:val="en-US"/>
        </w:rPr>
        <w:t>ć</w:t>
      </w:r>
      <w:r w:rsidRPr="00135614">
        <w:rPr>
          <w:rFonts w:ascii="Times New Roman" w:hAnsi="Times New Roman" w:cs="Times New Roman"/>
          <w:i/>
          <w:sz w:val="20"/>
          <w:szCs w:val="20"/>
        </w:rPr>
        <w:t xml:space="preserve">, </w:t>
      </w:r>
      <w:r w:rsidRPr="00135614">
        <w:rPr>
          <w:rFonts w:ascii="Times New Roman" w:hAnsi="Times New Roman" w:cs="Times New Roman"/>
          <w:sz w:val="20"/>
          <w:szCs w:val="20"/>
        </w:rPr>
        <w:t>Trial Chamber,</w:t>
      </w:r>
      <w:r w:rsidRPr="00135614">
        <w:rPr>
          <w:rFonts w:ascii="Times New Roman" w:hAnsi="Times New Roman" w:cs="Times New Roman"/>
          <w:i/>
          <w:sz w:val="20"/>
          <w:szCs w:val="20"/>
        </w:rPr>
        <w:t xml:space="preserve"> </w:t>
      </w:r>
      <w:r w:rsidRPr="00135614">
        <w:rPr>
          <w:rFonts w:ascii="Times New Roman" w:hAnsi="Times New Roman" w:cs="Times New Roman"/>
          <w:sz w:val="20"/>
          <w:szCs w:val="20"/>
        </w:rPr>
        <w:t>ICTY Case No. IT-97-24-T,31 July 2003, paras. 468-</w:t>
      </w:r>
      <w:proofErr w:type="gramStart"/>
      <w:r w:rsidRPr="00135614">
        <w:rPr>
          <w:rFonts w:ascii="Times New Roman" w:hAnsi="Times New Roman" w:cs="Times New Roman"/>
          <w:sz w:val="20"/>
          <w:szCs w:val="20"/>
        </w:rPr>
        <w:t xml:space="preserve">498;  </w:t>
      </w:r>
      <w:r w:rsidRPr="00135614">
        <w:rPr>
          <w:rFonts w:ascii="Times New Roman" w:eastAsia="Times New Roman" w:hAnsi="Times New Roman" w:cs="Times New Roman"/>
          <w:color w:val="545454"/>
          <w:sz w:val="20"/>
          <w:szCs w:val="20"/>
          <w:shd w:val="clear" w:color="auto" w:fill="FFFFFF"/>
        </w:rPr>
        <w:t xml:space="preserve"> </w:t>
      </w:r>
      <w:proofErr w:type="gramEnd"/>
      <w:r w:rsidRPr="00135614">
        <w:rPr>
          <w:rFonts w:ascii="Times New Roman" w:eastAsia="Times New Roman" w:hAnsi="Times New Roman" w:cs="Times New Roman"/>
          <w:sz w:val="20"/>
          <w:szCs w:val="20"/>
          <w:shd w:val="clear" w:color="auto" w:fill="FFFFFF"/>
        </w:rPr>
        <w:t>Attorney-General of the Government of </w:t>
      </w:r>
      <w:r w:rsidRPr="00135614">
        <w:rPr>
          <w:rFonts w:ascii="Times New Roman" w:eastAsia="Times New Roman" w:hAnsi="Times New Roman" w:cs="Times New Roman"/>
          <w:bCs/>
          <w:sz w:val="20"/>
          <w:szCs w:val="20"/>
          <w:shd w:val="clear" w:color="auto" w:fill="FFFFFF"/>
        </w:rPr>
        <w:t>Israel v</w:t>
      </w:r>
      <w:r w:rsidRPr="00135614">
        <w:rPr>
          <w:rFonts w:ascii="Times New Roman" w:eastAsia="Times New Roman" w:hAnsi="Times New Roman" w:cs="Times New Roman"/>
          <w:sz w:val="20"/>
          <w:szCs w:val="20"/>
          <w:shd w:val="clear" w:color="auto" w:fill="FFFFFF"/>
        </w:rPr>
        <w:t>. </w:t>
      </w:r>
      <w:r w:rsidRPr="00135614">
        <w:rPr>
          <w:rFonts w:ascii="Times New Roman" w:eastAsia="Times New Roman" w:hAnsi="Times New Roman" w:cs="Times New Roman"/>
          <w:bCs/>
          <w:i/>
          <w:sz w:val="20"/>
          <w:szCs w:val="20"/>
          <w:shd w:val="clear" w:color="auto" w:fill="FFFFFF"/>
        </w:rPr>
        <w:t>Eichmann</w:t>
      </w:r>
      <w:r w:rsidRPr="00135614">
        <w:rPr>
          <w:rFonts w:ascii="Times New Roman" w:eastAsia="Times New Roman" w:hAnsi="Times New Roman" w:cs="Times New Roman"/>
          <w:sz w:val="20"/>
          <w:szCs w:val="20"/>
          <w:shd w:val="clear" w:color="auto" w:fill="FFFFFF"/>
        </w:rPr>
        <w:t xml:space="preserve">, Israel Supreme </w:t>
      </w:r>
      <w:r w:rsidRPr="00135614">
        <w:rPr>
          <w:rFonts w:ascii="Times New Roman" w:eastAsia="Times New Roman" w:hAnsi="Times New Roman" w:cs="Times New Roman"/>
          <w:sz w:val="20"/>
          <w:szCs w:val="20"/>
        </w:rPr>
        <w:t xml:space="preserve">Court </w:t>
      </w:r>
      <w:r w:rsidRPr="00135614">
        <w:rPr>
          <w:rFonts w:ascii="Times New Roman" w:hAnsi="Times New Roman" w:cs="Times New Roman"/>
          <w:sz w:val="20"/>
          <w:szCs w:val="20"/>
          <w:lang w:val="en-US"/>
        </w:rPr>
        <w:t>Case 40/61, 1962.</w:t>
      </w:r>
    </w:p>
  </w:footnote>
  <w:footnote w:id="178">
    <w:p w14:paraId="350C7BF3" w14:textId="566E41BF" w:rsidR="0079099C" w:rsidRPr="00135614" w:rsidRDefault="0079099C" w:rsidP="00A818E2">
      <w:pPr>
        <w:pStyle w:val="FootnoteText"/>
        <w:spacing w:after="0" w:line="240" w:lineRule="auto"/>
        <w:jc w:val="both"/>
        <w:rPr>
          <w:rFonts w:ascii="Times New Roman" w:hAnsi="Times New Roman" w:cs="Times New Roman"/>
          <w:sz w:val="20"/>
          <w:szCs w:val="20"/>
          <w:lang w:val="en-US"/>
        </w:rPr>
      </w:pPr>
      <w:r w:rsidRPr="00135614">
        <w:rPr>
          <w:rStyle w:val="FootnoteReference"/>
          <w:rFonts w:ascii="Times New Roman" w:hAnsi="Times New Roman" w:cs="Times New Roman"/>
          <w:sz w:val="20"/>
          <w:szCs w:val="20"/>
        </w:rPr>
        <w:footnoteRef/>
      </w:r>
      <w:r w:rsidRPr="00135614">
        <w:rPr>
          <w:rFonts w:ascii="Times New Roman" w:hAnsi="Times New Roman" w:cs="Times New Roman"/>
          <w:sz w:val="20"/>
          <w:szCs w:val="20"/>
        </w:rPr>
        <w:t xml:space="preserve"> </w:t>
      </w:r>
      <w:r w:rsidRPr="00135614">
        <w:rPr>
          <w:rFonts w:ascii="Times New Roman" w:hAnsi="Times New Roman" w:cs="Times New Roman"/>
          <w:i/>
          <w:sz w:val="20"/>
          <w:szCs w:val="20"/>
          <w:lang w:val="en-US"/>
        </w:rPr>
        <w:t>Supra</w:t>
      </w:r>
      <w:r w:rsidRPr="00135614">
        <w:rPr>
          <w:rFonts w:ascii="Times New Roman" w:hAnsi="Times New Roman" w:cs="Times New Roman"/>
          <w:sz w:val="20"/>
          <w:szCs w:val="20"/>
          <w:lang w:val="en-US"/>
        </w:rPr>
        <w:t xml:space="preserve"> notes 46-47.</w:t>
      </w:r>
    </w:p>
  </w:footnote>
  <w:footnote w:id="179">
    <w:p w14:paraId="549ACC3E" w14:textId="0DF8FF00" w:rsidR="0079099C" w:rsidRPr="00135614" w:rsidRDefault="0079099C" w:rsidP="00A818E2">
      <w:pPr>
        <w:pStyle w:val="FootnoteText"/>
        <w:spacing w:after="0" w:line="240" w:lineRule="auto"/>
        <w:jc w:val="both"/>
        <w:rPr>
          <w:rFonts w:ascii="Times New Roman" w:hAnsi="Times New Roman" w:cs="Times New Roman"/>
          <w:sz w:val="20"/>
          <w:szCs w:val="20"/>
          <w:lang w:val="en-US"/>
        </w:rPr>
      </w:pPr>
      <w:r w:rsidRPr="00135614">
        <w:rPr>
          <w:rStyle w:val="FootnoteReference"/>
          <w:rFonts w:ascii="Times New Roman" w:hAnsi="Times New Roman" w:cs="Times New Roman"/>
          <w:sz w:val="20"/>
          <w:szCs w:val="20"/>
        </w:rPr>
        <w:footnoteRef/>
      </w:r>
      <w:r w:rsidRPr="00135614">
        <w:rPr>
          <w:rFonts w:ascii="Times New Roman" w:hAnsi="Times New Roman" w:cs="Times New Roman"/>
          <w:sz w:val="20"/>
          <w:szCs w:val="20"/>
        </w:rPr>
        <w:t xml:space="preserve"> </w:t>
      </w:r>
      <w:r w:rsidRPr="00135614">
        <w:rPr>
          <w:rFonts w:ascii="Times New Roman" w:hAnsi="Times New Roman" w:cs="Times New Roman"/>
          <w:sz w:val="20"/>
          <w:szCs w:val="20"/>
          <w:lang w:val="en-US"/>
        </w:rPr>
        <w:t xml:space="preserve">See eg. </w:t>
      </w:r>
      <w:r w:rsidRPr="00135614">
        <w:rPr>
          <w:rFonts w:ascii="Times New Roman" w:hAnsi="Times New Roman" w:cs="Times New Roman"/>
          <w:i/>
          <w:sz w:val="20"/>
          <w:szCs w:val="20"/>
        </w:rPr>
        <w:t xml:space="preserve">Lubanga </w:t>
      </w:r>
      <w:r w:rsidRPr="00135614">
        <w:rPr>
          <w:rFonts w:ascii="Times New Roman" w:hAnsi="Times New Roman" w:cs="Times New Roman"/>
          <w:sz w:val="20"/>
          <w:szCs w:val="20"/>
        </w:rPr>
        <w:t xml:space="preserve">Appeal Judgement, </w:t>
      </w:r>
      <w:r w:rsidRPr="001A359E">
        <w:rPr>
          <w:rFonts w:ascii="Times New Roman" w:hAnsi="Times New Roman" w:cs="Times New Roman"/>
          <w:i/>
          <w:sz w:val="20"/>
          <w:szCs w:val="20"/>
        </w:rPr>
        <w:t>supra</w:t>
      </w:r>
      <w:r>
        <w:rPr>
          <w:rFonts w:ascii="Times New Roman" w:hAnsi="Times New Roman" w:cs="Times New Roman"/>
          <w:sz w:val="20"/>
          <w:szCs w:val="20"/>
        </w:rPr>
        <w:t xml:space="preserve"> note 11, </w:t>
      </w:r>
      <w:r w:rsidRPr="00135614">
        <w:rPr>
          <w:rFonts w:ascii="Times New Roman" w:hAnsi="Times New Roman" w:cs="Times New Roman"/>
          <w:sz w:val="20"/>
          <w:szCs w:val="20"/>
        </w:rPr>
        <w:t>para. 527.</w:t>
      </w:r>
    </w:p>
  </w:footnote>
  <w:footnote w:id="180">
    <w:p w14:paraId="42F3684F" w14:textId="4E5BC25F" w:rsidR="0079099C" w:rsidRPr="00135614" w:rsidRDefault="0079099C" w:rsidP="00A818E2">
      <w:pPr>
        <w:pStyle w:val="FootnoteText"/>
        <w:spacing w:after="0" w:line="240" w:lineRule="auto"/>
        <w:jc w:val="both"/>
        <w:rPr>
          <w:rFonts w:ascii="Times New Roman" w:hAnsi="Times New Roman" w:cs="Times New Roman"/>
          <w:sz w:val="20"/>
          <w:szCs w:val="20"/>
          <w:lang w:val="en-US"/>
        </w:rPr>
      </w:pPr>
      <w:r w:rsidRPr="00135614">
        <w:rPr>
          <w:rStyle w:val="FootnoteReference"/>
          <w:rFonts w:ascii="Times New Roman" w:eastAsiaTheme="majorEastAsia" w:hAnsi="Times New Roman" w:cs="Times New Roman"/>
          <w:sz w:val="20"/>
          <w:szCs w:val="20"/>
        </w:rPr>
        <w:footnoteRef/>
      </w:r>
      <w:r w:rsidRPr="00135614">
        <w:rPr>
          <w:rFonts w:ascii="Times New Roman" w:hAnsi="Times New Roman" w:cs="Times New Roman"/>
          <w:sz w:val="20"/>
          <w:szCs w:val="20"/>
        </w:rPr>
        <w:t xml:space="preserve"> Roxin,</w:t>
      </w:r>
      <w:r w:rsidRPr="00135614">
        <w:rPr>
          <w:rFonts w:ascii="Times New Roman" w:hAnsi="Times New Roman" w:cs="Times New Roman"/>
          <w:i/>
          <w:sz w:val="20"/>
          <w:szCs w:val="20"/>
        </w:rPr>
        <w:t xml:space="preserve"> supra</w:t>
      </w:r>
      <w:r w:rsidRPr="00135614">
        <w:rPr>
          <w:rFonts w:ascii="Times New Roman" w:hAnsi="Times New Roman" w:cs="Times New Roman"/>
          <w:sz w:val="20"/>
          <w:szCs w:val="20"/>
        </w:rPr>
        <w:t xml:space="preserve"> note 5, 202. </w:t>
      </w:r>
    </w:p>
  </w:footnote>
  <w:footnote w:id="181">
    <w:p w14:paraId="0EF586DA" w14:textId="3F92342B" w:rsidR="0079099C" w:rsidRPr="00135614" w:rsidRDefault="0079099C" w:rsidP="00A818E2">
      <w:pPr>
        <w:spacing w:after="0" w:line="240" w:lineRule="auto"/>
        <w:jc w:val="both"/>
        <w:rPr>
          <w:rFonts w:ascii="Times New Roman" w:hAnsi="Times New Roman" w:cs="Times New Roman"/>
          <w:i/>
          <w:sz w:val="20"/>
          <w:szCs w:val="20"/>
        </w:rPr>
      </w:pPr>
      <w:r w:rsidRPr="00135614">
        <w:rPr>
          <w:rStyle w:val="FootnoteReference"/>
          <w:rFonts w:ascii="Times New Roman" w:eastAsiaTheme="majorEastAsia" w:hAnsi="Times New Roman" w:cs="Times New Roman"/>
          <w:sz w:val="20"/>
          <w:szCs w:val="20"/>
        </w:rPr>
        <w:footnoteRef/>
      </w:r>
      <w:r w:rsidRPr="00135614">
        <w:rPr>
          <w:rFonts w:ascii="Times New Roman" w:hAnsi="Times New Roman" w:cs="Times New Roman"/>
          <w:sz w:val="20"/>
          <w:szCs w:val="20"/>
        </w:rPr>
        <w:t xml:space="preserve"> </w:t>
      </w:r>
      <w:r w:rsidRPr="00135614">
        <w:rPr>
          <w:rFonts w:ascii="Times New Roman" w:hAnsi="Times New Roman" w:cs="Times New Roman"/>
          <w:i/>
          <w:sz w:val="20"/>
          <w:szCs w:val="20"/>
        </w:rPr>
        <w:t>Ibid.</w:t>
      </w:r>
      <w:r w:rsidRPr="00135614">
        <w:rPr>
          <w:rFonts w:ascii="Times New Roman" w:hAnsi="Times New Roman" w:cs="Times New Roman"/>
          <w:sz w:val="20"/>
          <w:szCs w:val="20"/>
        </w:rPr>
        <w:t xml:space="preserve"> </w:t>
      </w:r>
      <w:r w:rsidRPr="00135614">
        <w:rPr>
          <w:rFonts w:ascii="Times New Roman" w:hAnsi="Times New Roman" w:cs="Times New Roman"/>
          <w:i/>
          <w:sz w:val="20"/>
          <w:szCs w:val="20"/>
        </w:rPr>
        <w:t>Cf.</w:t>
      </w:r>
      <w:r w:rsidRPr="00135614">
        <w:rPr>
          <w:rFonts w:ascii="Times New Roman" w:hAnsi="Times New Roman" w:cs="Times New Roman"/>
          <w:sz w:val="20"/>
          <w:szCs w:val="20"/>
        </w:rPr>
        <w:t xml:space="preserve"> Manacorda and Meloni argue that control over the crime approach satisfies the need to consider high-level commanders and senior civilian leaders as perpetrators (i.e. principals); and </w:t>
      </w:r>
      <w:proofErr w:type="gramStart"/>
      <w:r w:rsidRPr="00135614">
        <w:rPr>
          <w:rFonts w:ascii="Times New Roman" w:hAnsi="Times New Roman" w:cs="Times New Roman"/>
          <w:sz w:val="20"/>
          <w:szCs w:val="20"/>
        </w:rPr>
        <w:t>accordingly</w:t>
      </w:r>
      <w:proofErr w:type="gramEnd"/>
      <w:r w:rsidRPr="00135614">
        <w:rPr>
          <w:rFonts w:ascii="Times New Roman" w:hAnsi="Times New Roman" w:cs="Times New Roman"/>
          <w:sz w:val="20"/>
          <w:szCs w:val="20"/>
        </w:rPr>
        <w:t xml:space="preserve"> to sentence their actions appropriately. </w:t>
      </w:r>
      <w:hyperlink r:id="rId2" w:history="1">
        <w:r w:rsidRPr="00135614">
          <w:rPr>
            <w:rFonts w:ascii="Times New Roman" w:hAnsi="Times New Roman" w:cs="Times New Roman"/>
            <w:bCs/>
            <w:sz w:val="20"/>
            <w:szCs w:val="20"/>
          </w:rPr>
          <w:t>S. Manacorda</w:t>
        </w:r>
      </w:hyperlink>
      <w:r w:rsidRPr="00135614">
        <w:rPr>
          <w:rFonts w:ascii="Times New Roman" w:hAnsi="Times New Roman" w:cs="Times New Roman"/>
          <w:bCs/>
          <w:sz w:val="20"/>
          <w:szCs w:val="20"/>
        </w:rPr>
        <w:t xml:space="preserve"> and </w:t>
      </w:r>
      <w:hyperlink r:id="rId3" w:history="1">
        <w:r w:rsidRPr="00135614">
          <w:rPr>
            <w:rFonts w:ascii="Times New Roman" w:hAnsi="Times New Roman" w:cs="Times New Roman"/>
            <w:bCs/>
            <w:sz w:val="20"/>
            <w:szCs w:val="20"/>
          </w:rPr>
          <w:t>C. Meloni</w:t>
        </w:r>
      </w:hyperlink>
      <w:r w:rsidRPr="00135614">
        <w:rPr>
          <w:rFonts w:ascii="Times New Roman" w:hAnsi="Times New Roman" w:cs="Times New Roman"/>
          <w:bCs/>
          <w:sz w:val="20"/>
          <w:szCs w:val="20"/>
        </w:rPr>
        <w:t xml:space="preserve">, ‘Indirect Perpetration versus Joint Criminal Enterprise. Concurring Approaches in the Practice of International Criminal Law’, 9 </w:t>
      </w:r>
      <w:r w:rsidRPr="00135614">
        <w:rPr>
          <w:rFonts w:ascii="Times New Roman" w:hAnsi="Times New Roman" w:cs="Times New Roman"/>
          <w:i/>
          <w:sz w:val="20"/>
          <w:szCs w:val="20"/>
        </w:rPr>
        <w:t>Journal of International Criminal Justice</w:t>
      </w:r>
      <w:r w:rsidRPr="00135614">
        <w:rPr>
          <w:rFonts w:ascii="Times New Roman" w:hAnsi="Times New Roman" w:cs="Times New Roman"/>
          <w:sz w:val="20"/>
          <w:szCs w:val="20"/>
        </w:rPr>
        <w:t xml:space="preserve"> 1 (2011) 159-178.</w:t>
      </w:r>
    </w:p>
  </w:footnote>
  <w:footnote w:id="182">
    <w:p w14:paraId="3E423323" w14:textId="776B4A2D" w:rsidR="0079099C" w:rsidRPr="00135614" w:rsidRDefault="0079099C" w:rsidP="00A818E2">
      <w:pPr>
        <w:pStyle w:val="FootnoteText"/>
        <w:spacing w:after="0" w:line="240" w:lineRule="auto"/>
        <w:jc w:val="both"/>
        <w:rPr>
          <w:rFonts w:ascii="Times New Roman" w:hAnsi="Times New Roman" w:cs="Times New Roman"/>
          <w:sz w:val="20"/>
          <w:szCs w:val="20"/>
          <w:lang w:val="en-US"/>
        </w:rPr>
      </w:pPr>
      <w:r w:rsidRPr="00135614">
        <w:rPr>
          <w:rStyle w:val="FootnoteReference"/>
          <w:rFonts w:ascii="Times New Roman" w:hAnsi="Times New Roman" w:cs="Times New Roman"/>
          <w:sz w:val="20"/>
          <w:szCs w:val="20"/>
        </w:rPr>
        <w:footnoteRef/>
      </w:r>
      <w:r w:rsidRPr="00135614">
        <w:rPr>
          <w:rFonts w:ascii="Times New Roman" w:hAnsi="Times New Roman" w:cs="Times New Roman"/>
          <w:sz w:val="20"/>
          <w:szCs w:val="20"/>
        </w:rPr>
        <w:t xml:space="preserve"> </w:t>
      </w:r>
      <w:r w:rsidRPr="00135614">
        <w:rPr>
          <w:rFonts w:ascii="Times New Roman" w:hAnsi="Times New Roman" w:cs="Times New Roman"/>
          <w:i/>
          <w:sz w:val="20"/>
          <w:szCs w:val="20"/>
          <w:lang w:val="en-US"/>
        </w:rPr>
        <w:t>Supra</w:t>
      </w:r>
      <w:r w:rsidRPr="00135614">
        <w:rPr>
          <w:rFonts w:ascii="Times New Roman" w:hAnsi="Times New Roman" w:cs="Times New Roman"/>
          <w:sz w:val="20"/>
          <w:szCs w:val="20"/>
          <w:lang w:val="en-US"/>
        </w:rPr>
        <w:t xml:space="preserve"> note 37.</w:t>
      </w:r>
    </w:p>
  </w:footnote>
  <w:footnote w:id="183">
    <w:p w14:paraId="7C431F1A" w14:textId="73B42D98" w:rsidR="0079099C" w:rsidRPr="00135614" w:rsidRDefault="0079099C" w:rsidP="00A818E2">
      <w:pPr>
        <w:pStyle w:val="FootnoteText"/>
        <w:spacing w:after="0" w:line="240" w:lineRule="auto"/>
        <w:jc w:val="both"/>
        <w:rPr>
          <w:rFonts w:ascii="Times New Roman" w:hAnsi="Times New Roman" w:cs="Times New Roman"/>
          <w:sz w:val="20"/>
          <w:szCs w:val="20"/>
          <w:lang w:val="en-US"/>
        </w:rPr>
      </w:pPr>
      <w:r w:rsidRPr="00135614">
        <w:rPr>
          <w:rStyle w:val="FootnoteReference"/>
          <w:rFonts w:ascii="Times New Roman" w:hAnsi="Times New Roman" w:cs="Times New Roman"/>
          <w:sz w:val="20"/>
          <w:szCs w:val="20"/>
        </w:rPr>
        <w:footnoteRef/>
      </w:r>
      <w:r w:rsidRPr="00135614">
        <w:rPr>
          <w:rFonts w:ascii="Times New Roman" w:hAnsi="Times New Roman" w:cs="Times New Roman"/>
          <w:sz w:val="20"/>
          <w:szCs w:val="20"/>
        </w:rPr>
        <w:t xml:space="preserve"> </w:t>
      </w:r>
      <w:r w:rsidRPr="00135614">
        <w:rPr>
          <w:rFonts w:ascii="Times New Roman" w:hAnsi="Times New Roman" w:cs="Times New Roman"/>
          <w:i/>
          <w:sz w:val="20"/>
          <w:szCs w:val="20"/>
        </w:rPr>
        <w:t>Katanga</w:t>
      </w:r>
      <w:r w:rsidRPr="00135614">
        <w:rPr>
          <w:rFonts w:ascii="Times New Roman" w:hAnsi="Times New Roman" w:cs="Times New Roman"/>
          <w:sz w:val="20"/>
          <w:szCs w:val="20"/>
        </w:rPr>
        <w:t xml:space="preserve"> Judgement, </w:t>
      </w:r>
      <w:r w:rsidRPr="002C4E23">
        <w:rPr>
          <w:rFonts w:ascii="Times New Roman" w:hAnsi="Times New Roman" w:cs="Times New Roman"/>
          <w:i/>
          <w:sz w:val="20"/>
          <w:szCs w:val="20"/>
        </w:rPr>
        <w:t>supra</w:t>
      </w:r>
      <w:r>
        <w:rPr>
          <w:rFonts w:ascii="Times New Roman" w:hAnsi="Times New Roman" w:cs="Times New Roman"/>
          <w:sz w:val="20"/>
          <w:szCs w:val="20"/>
        </w:rPr>
        <w:t xml:space="preserve"> note 8, </w:t>
      </w:r>
      <w:r w:rsidRPr="00135614">
        <w:rPr>
          <w:rFonts w:ascii="Times New Roman" w:hAnsi="Times New Roman" w:cs="Times New Roman"/>
          <w:sz w:val="20"/>
          <w:szCs w:val="20"/>
        </w:rPr>
        <w:t>para. 1386.</w:t>
      </w:r>
    </w:p>
  </w:footnote>
  <w:footnote w:id="184">
    <w:p w14:paraId="035AA8C7" w14:textId="24764B1E" w:rsidR="0079099C" w:rsidRPr="00135614" w:rsidRDefault="0079099C" w:rsidP="00A818E2">
      <w:pPr>
        <w:pStyle w:val="FootnoteText"/>
        <w:spacing w:after="0" w:line="240" w:lineRule="auto"/>
        <w:jc w:val="both"/>
        <w:rPr>
          <w:rFonts w:ascii="Times New Roman" w:hAnsi="Times New Roman" w:cs="Times New Roman"/>
          <w:sz w:val="20"/>
          <w:szCs w:val="20"/>
          <w:lang w:val="en-US"/>
        </w:rPr>
      </w:pPr>
      <w:r w:rsidRPr="00135614">
        <w:rPr>
          <w:rStyle w:val="FootnoteReference"/>
          <w:rFonts w:ascii="Times New Roman" w:hAnsi="Times New Roman" w:cs="Times New Roman"/>
          <w:sz w:val="20"/>
          <w:szCs w:val="20"/>
        </w:rPr>
        <w:footnoteRef/>
      </w:r>
      <w:r w:rsidRPr="00135614">
        <w:rPr>
          <w:rFonts w:ascii="Times New Roman" w:hAnsi="Times New Roman" w:cs="Times New Roman"/>
          <w:sz w:val="20"/>
          <w:szCs w:val="20"/>
        </w:rPr>
        <w:t xml:space="preserve"> </w:t>
      </w:r>
      <w:r w:rsidRPr="00135614">
        <w:rPr>
          <w:rFonts w:ascii="Times New Roman" w:hAnsi="Times New Roman" w:cs="Times New Roman"/>
          <w:sz w:val="20"/>
          <w:szCs w:val="20"/>
          <w:lang w:val="en-US"/>
        </w:rPr>
        <w:t>Article 78 of the Rome Statute ‘Determination of the Sentence’.</w:t>
      </w:r>
    </w:p>
  </w:footnote>
  <w:footnote w:id="185">
    <w:p w14:paraId="19DAEBC2" w14:textId="654B227A" w:rsidR="0079099C" w:rsidRPr="006307AA" w:rsidRDefault="0079099C" w:rsidP="00A818E2">
      <w:pPr>
        <w:pStyle w:val="FootnoteText"/>
        <w:spacing w:after="0" w:line="240" w:lineRule="auto"/>
        <w:jc w:val="both"/>
        <w:rPr>
          <w:rFonts w:ascii="Times New Roman" w:hAnsi="Times New Roman" w:cs="Times New Roman"/>
          <w:sz w:val="20"/>
          <w:szCs w:val="20"/>
          <w:lang w:val="pt-BR"/>
        </w:rPr>
      </w:pPr>
      <w:r w:rsidRPr="00135614">
        <w:rPr>
          <w:rStyle w:val="FootnoteReference"/>
          <w:rFonts w:ascii="Times New Roman" w:eastAsiaTheme="majorEastAsia" w:hAnsi="Times New Roman" w:cs="Times New Roman"/>
          <w:sz w:val="20"/>
          <w:szCs w:val="20"/>
        </w:rPr>
        <w:footnoteRef/>
      </w:r>
      <w:r w:rsidRPr="006307AA">
        <w:rPr>
          <w:rFonts w:ascii="Times New Roman" w:hAnsi="Times New Roman" w:cs="Times New Roman"/>
          <w:sz w:val="20"/>
          <w:szCs w:val="20"/>
          <w:lang w:val="pt-BR"/>
        </w:rPr>
        <w:t xml:space="preserve"> Weigend, </w:t>
      </w:r>
      <w:r w:rsidRPr="006307AA">
        <w:rPr>
          <w:rFonts w:ascii="Times New Roman" w:hAnsi="Times New Roman" w:cs="Times New Roman"/>
          <w:i/>
          <w:sz w:val="20"/>
          <w:szCs w:val="20"/>
          <w:lang w:val="pt-BR"/>
        </w:rPr>
        <w:t xml:space="preserve">supra </w:t>
      </w:r>
      <w:r w:rsidRPr="006307AA">
        <w:rPr>
          <w:rFonts w:ascii="Times New Roman" w:hAnsi="Times New Roman" w:cs="Times New Roman"/>
          <w:sz w:val="20"/>
          <w:szCs w:val="20"/>
          <w:lang w:val="pt-BR"/>
        </w:rPr>
        <w:t xml:space="preserve">note 30; Cryer, </w:t>
      </w:r>
      <w:r w:rsidRPr="006307AA">
        <w:rPr>
          <w:rFonts w:ascii="Times New Roman" w:hAnsi="Times New Roman" w:cs="Times New Roman"/>
          <w:i/>
          <w:sz w:val="20"/>
          <w:szCs w:val="20"/>
          <w:lang w:val="pt-BR"/>
        </w:rPr>
        <w:t>supra</w:t>
      </w:r>
      <w:r w:rsidRPr="006307AA">
        <w:rPr>
          <w:rFonts w:ascii="Times New Roman" w:hAnsi="Times New Roman" w:cs="Times New Roman"/>
          <w:sz w:val="20"/>
          <w:szCs w:val="20"/>
          <w:lang w:val="pt-BR"/>
        </w:rPr>
        <w:t xml:space="preserve"> note 74, p. 364.</w:t>
      </w:r>
    </w:p>
  </w:footnote>
  <w:footnote w:id="186">
    <w:p w14:paraId="2048D8EB" w14:textId="71822280" w:rsidR="0079099C" w:rsidRPr="00135614" w:rsidRDefault="0079099C" w:rsidP="00A818E2">
      <w:pPr>
        <w:pStyle w:val="FootnoteText"/>
        <w:spacing w:after="0" w:line="240" w:lineRule="auto"/>
        <w:jc w:val="both"/>
        <w:rPr>
          <w:rFonts w:ascii="Times New Roman" w:hAnsi="Times New Roman" w:cs="Times New Roman"/>
          <w:sz w:val="20"/>
          <w:szCs w:val="20"/>
          <w:lang w:val="en-US"/>
        </w:rPr>
      </w:pPr>
      <w:r w:rsidRPr="00135614">
        <w:rPr>
          <w:rStyle w:val="FootnoteReference"/>
          <w:rFonts w:ascii="Times New Roman" w:hAnsi="Times New Roman" w:cs="Times New Roman"/>
          <w:sz w:val="20"/>
          <w:szCs w:val="20"/>
        </w:rPr>
        <w:footnoteRef/>
      </w:r>
      <w:r w:rsidRPr="00135614">
        <w:rPr>
          <w:rFonts w:ascii="Times New Roman" w:hAnsi="Times New Roman" w:cs="Times New Roman"/>
          <w:sz w:val="20"/>
          <w:szCs w:val="20"/>
        </w:rPr>
        <w:t xml:space="preserve"> </w:t>
      </w:r>
      <w:r w:rsidRPr="00135614">
        <w:rPr>
          <w:rFonts w:ascii="Times New Roman" w:hAnsi="Times New Roman" w:cs="Times New Roman"/>
          <w:i/>
          <w:sz w:val="20"/>
          <w:szCs w:val="20"/>
        </w:rPr>
        <w:t xml:space="preserve">Lubanga </w:t>
      </w:r>
      <w:r w:rsidRPr="00135614">
        <w:rPr>
          <w:rFonts w:ascii="Times New Roman" w:hAnsi="Times New Roman" w:cs="Times New Roman"/>
          <w:sz w:val="20"/>
          <w:szCs w:val="20"/>
        </w:rPr>
        <w:t xml:space="preserve">Appeal Sentencing Judgement, </w:t>
      </w:r>
      <w:r w:rsidR="006C0FD4" w:rsidRPr="006C0FD4">
        <w:rPr>
          <w:rFonts w:ascii="Times New Roman" w:hAnsi="Times New Roman" w:cs="Times New Roman"/>
          <w:i/>
          <w:sz w:val="20"/>
          <w:szCs w:val="20"/>
        </w:rPr>
        <w:t>supra</w:t>
      </w:r>
      <w:r w:rsidR="006C0FD4">
        <w:rPr>
          <w:rFonts w:ascii="Times New Roman" w:hAnsi="Times New Roman" w:cs="Times New Roman"/>
          <w:sz w:val="20"/>
          <w:szCs w:val="20"/>
        </w:rPr>
        <w:t xml:space="preserve"> note 70, </w:t>
      </w:r>
      <w:r w:rsidRPr="00135614">
        <w:rPr>
          <w:rFonts w:ascii="Times New Roman" w:hAnsi="Times New Roman" w:cs="Times New Roman"/>
          <w:sz w:val="20"/>
          <w:szCs w:val="20"/>
        </w:rPr>
        <w:t>para. 40.</w:t>
      </w:r>
    </w:p>
  </w:footnote>
  <w:footnote w:id="187">
    <w:p w14:paraId="7E93234D" w14:textId="4B4FAA1B" w:rsidR="0079099C" w:rsidRPr="00135614" w:rsidRDefault="0079099C" w:rsidP="00A818E2">
      <w:pPr>
        <w:pStyle w:val="FootnoteText"/>
        <w:spacing w:after="0" w:line="240" w:lineRule="auto"/>
        <w:jc w:val="both"/>
        <w:rPr>
          <w:rFonts w:ascii="Times New Roman" w:hAnsi="Times New Roman" w:cs="Times New Roman"/>
          <w:sz w:val="20"/>
          <w:szCs w:val="20"/>
        </w:rPr>
      </w:pPr>
      <w:r w:rsidRPr="00135614">
        <w:rPr>
          <w:rStyle w:val="FootnoteReference"/>
          <w:rFonts w:ascii="Times New Roman" w:eastAsiaTheme="majorEastAsia" w:hAnsi="Times New Roman" w:cs="Times New Roman"/>
          <w:sz w:val="20"/>
          <w:szCs w:val="20"/>
        </w:rPr>
        <w:footnoteRef/>
      </w:r>
      <w:r w:rsidRPr="00135614">
        <w:rPr>
          <w:rFonts w:ascii="Times New Roman" w:hAnsi="Times New Roman" w:cs="Times New Roman"/>
          <w:sz w:val="20"/>
          <w:szCs w:val="20"/>
        </w:rPr>
        <w:t xml:space="preserve"> See eg. Separate Opinion of Judge Fulford, </w:t>
      </w:r>
      <w:r w:rsidRPr="001A359E">
        <w:rPr>
          <w:rFonts w:ascii="Times New Roman" w:hAnsi="Times New Roman" w:cs="Times New Roman"/>
          <w:i/>
          <w:sz w:val="20"/>
          <w:szCs w:val="20"/>
        </w:rPr>
        <w:t>supra</w:t>
      </w:r>
      <w:r>
        <w:rPr>
          <w:rFonts w:ascii="Times New Roman" w:hAnsi="Times New Roman" w:cs="Times New Roman"/>
          <w:sz w:val="20"/>
          <w:szCs w:val="20"/>
        </w:rPr>
        <w:t xml:space="preserve"> note 13, </w:t>
      </w:r>
      <w:r w:rsidRPr="00135614">
        <w:rPr>
          <w:rFonts w:ascii="Times New Roman" w:hAnsi="Times New Roman" w:cs="Times New Roman"/>
          <w:sz w:val="20"/>
          <w:szCs w:val="20"/>
        </w:rPr>
        <w:t>para. 9.</w:t>
      </w:r>
    </w:p>
  </w:footnote>
  <w:footnote w:id="188">
    <w:p w14:paraId="4744A75D" w14:textId="74658515" w:rsidR="0079099C" w:rsidRPr="00135614" w:rsidRDefault="0079099C" w:rsidP="00A818E2">
      <w:pPr>
        <w:pStyle w:val="FootnoteText"/>
        <w:spacing w:after="0" w:line="240" w:lineRule="auto"/>
        <w:jc w:val="both"/>
        <w:rPr>
          <w:rFonts w:ascii="Times New Roman" w:hAnsi="Times New Roman" w:cs="Times New Roman"/>
          <w:sz w:val="20"/>
          <w:szCs w:val="20"/>
          <w:lang w:val="en-US"/>
        </w:rPr>
      </w:pPr>
      <w:r w:rsidRPr="00135614">
        <w:rPr>
          <w:rStyle w:val="FootnoteReference"/>
          <w:rFonts w:ascii="Times New Roman" w:hAnsi="Times New Roman" w:cs="Times New Roman"/>
          <w:sz w:val="20"/>
          <w:szCs w:val="20"/>
        </w:rPr>
        <w:footnoteRef/>
      </w:r>
      <w:r w:rsidRPr="00135614">
        <w:rPr>
          <w:rFonts w:ascii="Times New Roman" w:hAnsi="Times New Roman" w:cs="Times New Roman"/>
          <w:sz w:val="20"/>
          <w:szCs w:val="20"/>
        </w:rPr>
        <w:t xml:space="preserve"> </w:t>
      </w:r>
      <w:r w:rsidRPr="00135614">
        <w:rPr>
          <w:rFonts w:ascii="Times New Roman" w:hAnsi="Times New Roman" w:cs="Times New Roman"/>
          <w:i/>
          <w:sz w:val="20"/>
          <w:szCs w:val="20"/>
          <w:lang w:val="en-US"/>
        </w:rPr>
        <w:t>Cf.</w:t>
      </w:r>
      <w:r w:rsidRPr="00135614">
        <w:rPr>
          <w:rFonts w:ascii="Times New Roman" w:hAnsi="Times New Roman" w:cs="Times New Roman"/>
          <w:sz w:val="20"/>
          <w:szCs w:val="20"/>
          <w:lang w:val="en-US"/>
        </w:rPr>
        <w:t xml:space="preserve"> </w:t>
      </w:r>
      <w:r w:rsidRPr="00BD57A7">
        <w:rPr>
          <w:rFonts w:ascii="Times New Roman" w:hAnsi="Times New Roman" w:cs="Times New Roman"/>
          <w:i/>
          <w:sz w:val="20"/>
          <w:szCs w:val="20"/>
          <w:lang w:val="en-US"/>
        </w:rPr>
        <w:t>Lubanga</w:t>
      </w:r>
      <w:r w:rsidRPr="00135614">
        <w:rPr>
          <w:rFonts w:ascii="Times New Roman" w:hAnsi="Times New Roman" w:cs="Times New Roman"/>
          <w:sz w:val="20"/>
          <w:szCs w:val="20"/>
          <w:lang w:val="en-US"/>
        </w:rPr>
        <w:t xml:space="preserve"> Appeal Judgment, </w:t>
      </w:r>
      <w:r w:rsidRPr="001A359E">
        <w:rPr>
          <w:rFonts w:ascii="Times New Roman" w:hAnsi="Times New Roman" w:cs="Times New Roman"/>
          <w:i/>
          <w:sz w:val="20"/>
          <w:szCs w:val="20"/>
        </w:rPr>
        <w:t>supra</w:t>
      </w:r>
      <w:r>
        <w:rPr>
          <w:rFonts w:ascii="Times New Roman" w:hAnsi="Times New Roman" w:cs="Times New Roman"/>
          <w:sz w:val="20"/>
          <w:szCs w:val="20"/>
        </w:rPr>
        <w:t xml:space="preserve"> note 11</w:t>
      </w:r>
      <w:r w:rsidRPr="00135614">
        <w:rPr>
          <w:rFonts w:ascii="Times New Roman" w:hAnsi="Times New Roman" w:cs="Times New Roman"/>
          <w:sz w:val="20"/>
          <w:szCs w:val="20"/>
          <w:lang w:val="en-US"/>
        </w:rPr>
        <w:t xml:space="preserve"> </w:t>
      </w:r>
      <w:proofErr w:type="gramStart"/>
      <w:r w:rsidRPr="00135614">
        <w:rPr>
          <w:rFonts w:ascii="Times New Roman" w:hAnsi="Times New Roman" w:cs="Times New Roman"/>
          <w:sz w:val="20"/>
          <w:szCs w:val="20"/>
        </w:rPr>
        <w:t>para</w:t>
      </w:r>
      <w:proofErr w:type="gramEnd"/>
      <w:r w:rsidRPr="00135614">
        <w:rPr>
          <w:rFonts w:ascii="Times New Roman" w:hAnsi="Times New Roman" w:cs="Times New Roman"/>
          <w:sz w:val="20"/>
          <w:szCs w:val="20"/>
        </w:rPr>
        <w:t xml:space="preserve">. 462; </w:t>
      </w:r>
      <w:r w:rsidRPr="00135614">
        <w:rPr>
          <w:rFonts w:ascii="Times New Roman" w:hAnsi="Times New Roman" w:cs="Times New Roman"/>
          <w:sz w:val="20"/>
          <w:szCs w:val="20"/>
          <w:lang w:val="en-US"/>
        </w:rPr>
        <w:t xml:space="preserve">Ambos, </w:t>
      </w:r>
      <w:r w:rsidRPr="00135614">
        <w:rPr>
          <w:rFonts w:ascii="Times New Roman" w:hAnsi="Times New Roman" w:cs="Times New Roman"/>
          <w:i/>
          <w:sz w:val="20"/>
          <w:szCs w:val="20"/>
          <w:lang w:val="en-US"/>
        </w:rPr>
        <w:t>supra</w:t>
      </w:r>
      <w:r w:rsidRPr="00135614">
        <w:rPr>
          <w:rFonts w:ascii="Times New Roman" w:hAnsi="Times New Roman" w:cs="Times New Roman"/>
          <w:sz w:val="20"/>
          <w:szCs w:val="20"/>
          <w:lang w:val="en-US"/>
        </w:rPr>
        <w:t xml:space="preserve"> note 54, p. 147.</w:t>
      </w:r>
    </w:p>
  </w:footnote>
  <w:footnote w:id="189">
    <w:p w14:paraId="6DBE3928" w14:textId="767B5F81" w:rsidR="0079099C" w:rsidRPr="00135614" w:rsidRDefault="0079099C" w:rsidP="00A818E2">
      <w:pPr>
        <w:widowControl w:val="0"/>
        <w:autoSpaceDE w:val="0"/>
        <w:autoSpaceDN w:val="0"/>
        <w:adjustRightInd w:val="0"/>
        <w:spacing w:after="0" w:line="240" w:lineRule="auto"/>
        <w:jc w:val="both"/>
        <w:rPr>
          <w:rFonts w:ascii="Times New Roman" w:eastAsiaTheme="minorEastAsia" w:hAnsi="Times New Roman" w:cs="Times New Roman"/>
          <w:sz w:val="20"/>
          <w:szCs w:val="20"/>
          <w:lang w:val="en-US"/>
        </w:rPr>
      </w:pPr>
      <w:r w:rsidRPr="00135614">
        <w:rPr>
          <w:rStyle w:val="FootnoteReference"/>
          <w:rFonts w:ascii="Times New Roman" w:eastAsiaTheme="majorEastAsia" w:hAnsi="Times New Roman" w:cs="Times New Roman"/>
          <w:sz w:val="20"/>
          <w:szCs w:val="20"/>
        </w:rPr>
        <w:footnoteRef/>
      </w:r>
      <w:r w:rsidRPr="00135614">
        <w:rPr>
          <w:rFonts w:ascii="Times New Roman" w:hAnsi="Times New Roman" w:cs="Times New Roman"/>
          <w:sz w:val="20"/>
          <w:szCs w:val="20"/>
        </w:rPr>
        <w:t xml:space="preserve"> For the discussion on framing international criminal law see </w:t>
      </w:r>
      <w:r w:rsidRPr="00135614">
        <w:rPr>
          <w:rFonts w:ascii="Times New Roman" w:eastAsiaTheme="minorEastAsia" w:hAnsi="Times New Roman" w:cs="Times New Roman"/>
          <w:sz w:val="20"/>
          <w:szCs w:val="20"/>
          <w:lang w:val="en-US"/>
        </w:rPr>
        <w:t>A. M. Danner and J. S. Martinez, ‘</w:t>
      </w:r>
      <w:r w:rsidRPr="00135614">
        <w:rPr>
          <w:rFonts w:ascii="Times New Roman" w:eastAsiaTheme="minorEastAsia" w:hAnsi="Times New Roman" w:cs="Times New Roman"/>
          <w:iCs/>
          <w:sz w:val="20"/>
          <w:szCs w:val="20"/>
          <w:lang w:val="en-US"/>
        </w:rPr>
        <w:t>Guilty Associations: Joint Criminal Enterprise, Command Responsibility and the Development of International Criminal Law,’ 93</w:t>
      </w:r>
      <w:r w:rsidRPr="00135614">
        <w:rPr>
          <w:rFonts w:ascii="Times New Roman" w:eastAsiaTheme="minorEastAsia" w:hAnsi="Times New Roman" w:cs="Times New Roman"/>
          <w:i/>
          <w:iCs/>
          <w:sz w:val="20"/>
          <w:szCs w:val="20"/>
          <w:lang w:val="en-US"/>
        </w:rPr>
        <w:t xml:space="preserve"> </w:t>
      </w:r>
      <w:r w:rsidRPr="00135614">
        <w:rPr>
          <w:rFonts w:ascii="Times New Roman" w:eastAsiaTheme="minorEastAsia" w:hAnsi="Times New Roman" w:cs="Times New Roman"/>
          <w:i/>
          <w:sz w:val="20"/>
          <w:szCs w:val="20"/>
          <w:lang w:val="en-US"/>
        </w:rPr>
        <w:t>California Law Review</w:t>
      </w:r>
      <w:r w:rsidRPr="00135614">
        <w:rPr>
          <w:rFonts w:ascii="Times New Roman" w:eastAsiaTheme="minorEastAsia" w:hAnsi="Times New Roman" w:cs="Times New Roman"/>
          <w:sz w:val="20"/>
          <w:szCs w:val="20"/>
          <w:lang w:val="en-US"/>
        </w:rPr>
        <w:t xml:space="preserve"> 75 (2005) 75-170.</w:t>
      </w:r>
    </w:p>
  </w:footnote>
  <w:footnote w:id="190">
    <w:p w14:paraId="35A39ADC" w14:textId="3F9B1A7D" w:rsidR="0079099C" w:rsidRPr="00135614" w:rsidRDefault="0079099C" w:rsidP="00A818E2">
      <w:pPr>
        <w:pStyle w:val="FootnoteText"/>
        <w:spacing w:after="0" w:line="240" w:lineRule="auto"/>
        <w:jc w:val="both"/>
        <w:rPr>
          <w:rFonts w:ascii="Times New Roman" w:hAnsi="Times New Roman" w:cs="Times New Roman"/>
          <w:sz w:val="20"/>
          <w:szCs w:val="20"/>
        </w:rPr>
      </w:pPr>
      <w:r w:rsidRPr="00135614">
        <w:rPr>
          <w:rStyle w:val="FootnoteReference"/>
          <w:rFonts w:ascii="Times New Roman" w:eastAsiaTheme="majorEastAsia" w:hAnsi="Times New Roman" w:cs="Times New Roman"/>
          <w:sz w:val="20"/>
          <w:szCs w:val="20"/>
        </w:rPr>
        <w:footnoteRef/>
      </w:r>
      <w:r w:rsidRPr="00135614">
        <w:rPr>
          <w:rFonts w:ascii="Times New Roman" w:hAnsi="Times New Roman" w:cs="Times New Roman"/>
          <w:sz w:val="20"/>
          <w:szCs w:val="20"/>
        </w:rPr>
        <w:t xml:space="preserve"> </w:t>
      </w:r>
      <w:r w:rsidRPr="00135614">
        <w:rPr>
          <w:rFonts w:ascii="Times New Roman" w:eastAsia="Times New Roman" w:hAnsi="Times New Roman" w:cs="Times New Roman"/>
          <w:sz w:val="20"/>
          <w:szCs w:val="20"/>
          <w:lang w:eastAsia="en-GB"/>
        </w:rPr>
        <w:t xml:space="preserve">A. Eser, ‘Individual Criminal Responsibility (Article 25)’ in Cassese et al (ed), </w:t>
      </w:r>
      <w:r w:rsidRPr="00135614">
        <w:rPr>
          <w:rFonts w:ascii="Times New Roman" w:eastAsia="Times New Roman" w:hAnsi="Times New Roman" w:cs="Times New Roman"/>
          <w:i/>
          <w:sz w:val="20"/>
          <w:szCs w:val="20"/>
          <w:lang w:eastAsia="en-GB"/>
        </w:rPr>
        <w:t>The Rome Statute of the International Criminal Court: A Commentary</w:t>
      </w:r>
      <w:r w:rsidRPr="00135614">
        <w:rPr>
          <w:rFonts w:ascii="Times New Roman" w:eastAsia="Times New Roman" w:hAnsi="Times New Roman" w:cs="Times New Roman"/>
          <w:sz w:val="20"/>
          <w:szCs w:val="20"/>
          <w:lang w:eastAsia="en-GB"/>
        </w:rPr>
        <w:t xml:space="preserve"> (2002), p. </w:t>
      </w:r>
      <w:r w:rsidRPr="00135614">
        <w:rPr>
          <w:rFonts w:ascii="Times New Roman" w:hAnsi="Times New Roman" w:cs="Times New Roman"/>
          <w:sz w:val="20"/>
          <w:szCs w:val="20"/>
        </w:rPr>
        <w:t>782.</w:t>
      </w:r>
    </w:p>
  </w:footnote>
  <w:footnote w:id="191">
    <w:p w14:paraId="6078AFFA" w14:textId="38DE2253" w:rsidR="0079099C" w:rsidRPr="00135614" w:rsidRDefault="0079099C" w:rsidP="00A818E2">
      <w:pPr>
        <w:pStyle w:val="FootnoteText"/>
        <w:spacing w:after="0" w:line="240" w:lineRule="auto"/>
        <w:jc w:val="both"/>
        <w:rPr>
          <w:rFonts w:ascii="Times New Roman" w:hAnsi="Times New Roman" w:cs="Times New Roman"/>
          <w:sz w:val="20"/>
          <w:szCs w:val="20"/>
        </w:rPr>
      </w:pPr>
      <w:r w:rsidRPr="00135614">
        <w:rPr>
          <w:rStyle w:val="FootnoteReference"/>
          <w:rFonts w:ascii="Times New Roman" w:eastAsiaTheme="majorEastAsia" w:hAnsi="Times New Roman" w:cs="Times New Roman"/>
          <w:sz w:val="20"/>
          <w:szCs w:val="20"/>
        </w:rPr>
        <w:footnoteRef/>
      </w:r>
      <w:r w:rsidRPr="00135614">
        <w:rPr>
          <w:rFonts w:ascii="Times New Roman" w:hAnsi="Times New Roman" w:cs="Times New Roman"/>
          <w:sz w:val="20"/>
          <w:szCs w:val="20"/>
        </w:rPr>
        <w:t xml:space="preserve"> </w:t>
      </w:r>
      <w:r w:rsidRPr="00135614">
        <w:rPr>
          <w:rFonts w:ascii="Times New Roman" w:hAnsi="Times New Roman" w:cs="Times New Roman"/>
          <w:i/>
          <w:sz w:val="20"/>
          <w:szCs w:val="20"/>
        </w:rPr>
        <w:t>Ibid,</w:t>
      </w:r>
      <w:r w:rsidRPr="00135614">
        <w:rPr>
          <w:rFonts w:ascii="Times New Roman" w:hAnsi="Times New Roman" w:cs="Times New Roman"/>
          <w:sz w:val="20"/>
          <w:szCs w:val="20"/>
        </w:rPr>
        <w:t xml:space="preserve"> p. 788.</w:t>
      </w:r>
    </w:p>
  </w:footnote>
  <w:footnote w:id="192">
    <w:p w14:paraId="110403A8" w14:textId="02C10A5B" w:rsidR="0079099C" w:rsidRPr="00135614" w:rsidRDefault="0079099C" w:rsidP="00A818E2">
      <w:pPr>
        <w:pStyle w:val="FootnoteText"/>
        <w:spacing w:after="0" w:line="240" w:lineRule="auto"/>
        <w:jc w:val="both"/>
        <w:rPr>
          <w:rFonts w:ascii="Times New Roman" w:hAnsi="Times New Roman" w:cs="Times New Roman"/>
          <w:sz w:val="20"/>
          <w:szCs w:val="20"/>
        </w:rPr>
      </w:pPr>
      <w:r w:rsidRPr="00135614">
        <w:rPr>
          <w:rStyle w:val="FootnoteReference"/>
          <w:rFonts w:ascii="Times New Roman" w:eastAsiaTheme="majorEastAsia" w:hAnsi="Times New Roman" w:cs="Times New Roman"/>
          <w:sz w:val="20"/>
          <w:szCs w:val="20"/>
        </w:rPr>
        <w:footnoteRef/>
      </w:r>
      <w:r w:rsidRPr="00135614">
        <w:rPr>
          <w:rFonts w:ascii="Times New Roman" w:hAnsi="Times New Roman" w:cs="Times New Roman"/>
          <w:sz w:val="20"/>
          <w:szCs w:val="20"/>
        </w:rPr>
        <w:t xml:space="preserve"> U. Sieber, Participation in Crime: Criminal Liability of Leaders of Criminal Groups and Networks, A Comparative Analysis, </w:t>
      </w:r>
      <w:r w:rsidRPr="00135614">
        <w:rPr>
          <w:rFonts w:ascii="Times New Roman" w:hAnsi="Times New Roman" w:cs="Times New Roman"/>
          <w:i/>
          <w:sz w:val="20"/>
          <w:szCs w:val="20"/>
        </w:rPr>
        <w:t>Expert Opinion by the Max Planck Institute for Foreign and International Criminal Law as Commissioned by the ICTY</w:t>
      </w:r>
      <w:r w:rsidRPr="00135614">
        <w:rPr>
          <w:rFonts w:ascii="Times New Roman" w:hAnsi="Times New Roman" w:cs="Times New Roman"/>
          <w:sz w:val="20"/>
          <w:szCs w:val="20"/>
        </w:rPr>
        <w:t xml:space="preserve"> (Freiburg, 2006), p. 13. </w:t>
      </w:r>
    </w:p>
  </w:footnote>
  <w:footnote w:id="193">
    <w:p w14:paraId="620D04D8" w14:textId="0CCFBC2A" w:rsidR="0079099C" w:rsidRPr="00135614" w:rsidRDefault="0079099C" w:rsidP="00A818E2">
      <w:pPr>
        <w:widowControl w:val="0"/>
        <w:autoSpaceDE w:val="0"/>
        <w:autoSpaceDN w:val="0"/>
        <w:adjustRightInd w:val="0"/>
        <w:spacing w:after="0" w:line="240" w:lineRule="auto"/>
        <w:jc w:val="both"/>
        <w:rPr>
          <w:rFonts w:ascii="Times New Roman" w:hAnsi="Times New Roman" w:cs="Times New Roman"/>
          <w:sz w:val="20"/>
          <w:szCs w:val="20"/>
        </w:rPr>
      </w:pPr>
      <w:r w:rsidRPr="00135614">
        <w:rPr>
          <w:rStyle w:val="FootnoteReference"/>
          <w:rFonts w:ascii="Times New Roman" w:hAnsi="Times New Roman" w:cs="Times New Roman"/>
          <w:sz w:val="20"/>
          <w:szCs w:val="20"/>
        </w:rPr>
        <w:footnoteRef/>
      </w:r>
      <w:r w:rsidRPr="00135614">
        <w:rPr>
          <w:rFonts w:ascii="Times New Roman" w:hAnsi="Times New Roman" w:cs="Times New Roman"/>
          <w:sz w:val="20"/>
          <w:szCs w:val="20"/>
        </w:rPr>
        <w:t xml:space="preserve"> F. Megret, Prospects for "Constitutional" Human Rights Scrutiny of Substantive </w:t>
      </w:r>
      <w:r w:rsidRPr="00135614">
        <w:rPr>
          <w:rFonts w:ascii="Times New Roman" w:hAnsi="Times New Roman" w:cs="Times New Roman"/>
          <w:position w:val="-2"/>
          <w:sz w:val="20"/>
          <w:szCs w:val="20"/>
        </w:rPr>
        <w:t xml:space="preserve">International </w:t>
      </w:r>
      <w:r w:rsidRPr="00135614">
        <w:rPr>
          <w:rFonts w:ascii="Times New Roman" w:hAnsi="Times New Roman" w:cs="Times New Roman"/>
          <w:sz w:val="20"/>
          <w:szCs w:val="20"/>
        </w:rPr>
        <w:t xml:space="preserve">Criminal Law </w:t>
      </w:r>
      <w:r w:rsidRPr="00135614">
        <w:rPr>
          <w:rFonts w:ascii="Times New Roman" w:hAnsi="Times New Roman" w:cs="Times New Roman"/>
          <w:bCs/>
          <w:sz w:val="20"/>
          <w:szCs w:val="20"/>
        </w:rPr>
        <w:t xml:space="preserve">by </w:t>
      </w:r>
      <w:r w:rsidRPr="00135614">
        <w:rPr>
          <w:rFonts w:ascii="Times New Roman" w:hAnsi="Times New Roman" w:cs="Times New Roman"/>
          <w:sz w:val="20"/>
          <w:szCs w:val="20"/>
        </w:rPr>
        <w:t xml:space="preserve">the </w:t>
      </w:r>
      <w:r w:rsidRPr="00135614">
        <w:rPr>
          <w:rFonts w:ascii="Times New Roman" w:hAnsi="Times New Roman" w:cs="Times New Roman"/>
          <w:bCs/>
          <w:sz w:val="20"/>
          <w:szCs w:val="20"/>
        </w:rPr>
        <w:t xml:space="preserve">ICC, </w:t>
      </w:r>
      <w:r w:rsidRPr="00135614">
        <w:rPr>
          <w:rFonts w:ascii="Times New Roman" w:hAnsi="Times New Roman" w:cs="Times New Roman"/>
          <w:sz w:val="20"/>
          <w:szCs w:val="20"/>
        </w:rPr>
        <w:t>with Special Emphasis on the General Part</w:t>
      </w:r>
      <w:r w:rsidRPr="00135614">
        <w:rPr>
          <w:rFonts w:ascii="Times New Roman" w:hAnsi="Times New Roman" w:cs="Times New Roman"/>
          <w:bCs/>
          <w:sz w:val="20"/>
          <w:szCs w:val="20"/>
        </w:rPr>
        <w:t xml:space="preserve"> </w:t>
      </w:r>
      <w:r w:rsidRPr="00135614">
        <w:rPr>
          <w:rFonts w:ascii="Times New Roman" w:hAnsi="Times New Roman" w:cs="Times New Roman"/>
          <w:sz w:val="20"/>
          <w:szCs w:val="20"/>
        </w:rPr>
        <w:t xml:space="preserve">(paper presented at Washington University School of Law, Whitney R. Harris World Law Institute, </w:t>
      </w:r>
      <w:r w:rsidRPr="00135614">
        <w:rPr>
          <w:rFonts w:ascii="Times New Roman" w:hAnsi="Times New Roman" w:cs="Times New Roman"/>
          <w:position w:val="-2"/>
          <w:sz w:val="20"/>
          <w:szCs w:val="20"/>
        </w:rPr>
        <w:t xml:space="preserve">International </w:t>
      </w:r>
      <w:r w:rsidRPr="00135614">
        <w:rPr>
          <w:rFonts w:ascii="Times New Roman" w:hAnsi="Times New Roman" w:cs="Times New Roman"/>
          <w:sz w:val="20"/>
          <w:szCs w:val="20"/>
        </w:rPr>
        <w:t xml:space="preserve">Legal Scholars Workshop, Roundtable in Public International Law and </w:t>
      </w:r>
      <w:r w:rsidRPr="00135614">
        <w:rPr>
          <w:rFonts w:ascii="Times New Roman" w:hAnsi="Times New Roman" w:cs="Times New Roman"/>
          <w:position w:val="2"/>
          <w:sz w:val="20"/>
          <w:szCs w:val="20"/>
        </w:rPr>
        <w:t xml:space="preserve">Theory, Feb </w:t>
      </w:r>
      <w:r w:rsidRPr="00135614">
        <w:rPr>
          <w:rFonts w:ascii="Times New Roman" w:hAnsi="Times New Roman" w:cs="Times New Roman"/>
          <w:sz w:val="20"/>
          <w:szCs w:val="20"/>
        </w:rPr>
        <w:t xml:space="preserve">4-6, 2010) cited by </w:t>
      </w:r>
      <w:r w:rsidRPr="00135614">
        <w:rPr>
          <w:rFonts w:ascii="Times New Roman" w:hAnsi="Times New Roman" w:cs="Times New Roman"/>
          <w:sz w:val="20"/>
          <w:szCs w:val="20"/>
          <w:lang w:val="en-US"/>
        </w:rPr>
        <w:t xml:space="preserve">J. D. Ohlin, Joint Intentions to Commit International Crimes, 11 </w:t>
      </w:r>
      <w:r w:rsidRPr="00135614">
        <w:rPr>
          <w:rFonts w:ascii="Times New Roman" w:hAnsi="Times New Roman" w:cs="Times New Roman"/>
          <w:i/>
          <w:sz w:val="20"/>
          <w:szCs w:val="20"/>
          <w:lang w:val="en-US"/>
        </w:rPr>
        <w:t>Chicago Journal of International Law</w:t>
      </w:r>
      <w:r w:rsidRPr="00135614">
        <w:rPr>
          <w:rFonts w:ascii="Times New Roman" w:hAnsi="Times New Roman" w:cs="Times New Roman"/>
          <w:sz w:val="20"/>
          <w:szCs w:val="20"/>
          <w:lang w:val="en-US"/>
        </w:rPr>
        <w:t xml:space="preserve"> 693 (2011) </w:t>
      </w:r>
      <w:r w:rsidRPr="00135614">
        <w:rPr>
          <w:rFonts w:ascii="Times New Roman" w:hAnsi="Times New Roman" w:cs="Times New Roman"/>
          <w:sz w:val="20"/>
          <w:szCs w:val="20"/>
        </w:rPr>
        <w:t>693-753.</w:t>
      </w:r>
    </w:p>
  </w:footnote>
  <w:footnote w:id="194">
    <w:p w14:paraId="287FB0E1" w14:textId="77777777" w:rsidR="0079099C" w:rsidRPr="00135614" w:rsidRDefault="0079099C" w:rsidP="00A818E2">
      <w:pPr>
        <w:pStyle w:val="FootnoteText"/>
        <w:spacing w:after="0" w:line="240" w:lineRule="auto"/>
        <w:jc w:val="both"/>
        <w:rPr>
          <w:rFonts w:ascii="Times New Roman" w:hAnsi="Times New Roman" w:cs="Times New Roman"/>
          <w:sz w:val="20"/>
          <w:szCs w:val="20"/>
        </w:rPr>
      </w:pPr>
      <w:r w:rsidRPr="00135614">
        <w:rPr>
          <w:rStyle w:val="FootnoteReference"/>
          <w:rFonts w:ascii="Times New Roman" w:eastAsiaTheme="majorEastAsia" w:hAnsi="Times New Roman" w:cs="Times New Roman"/>
          <w:sz w:val="20"/>
          <w:szCs w:val="20"/>
        </w:rPr>
        <w:footnoteRef/>
      </w:r>
      <w:r w:rsidRPr="00135614">
        <w:rPr>
          <w:rFonts w:ascii="Times New Roman" w:hAnsi="Times New Roman" w:cs="Times New Roman"/>
          <w:sz w:val="20"/>
          <w:szCs w:val="20"/>
        </w:rPr>
        <w:t xml:space="preserve"> ICCPR 14(3)(a); Articles 6(1) and 6(3)(a) of the ECHR.  </w:t>
      </w:r>
    </w:p>
  </w:footnote>
  <w:footnote w:id="195">
    <w:p w14:paraId="45B17C7B" w14:textId="5B04D8EC" w:rsidR="0079099C" w:rsidRPr="00135614" w:rsidRDefault="0079099C" w:rsidP="00A818E2">
      <w:pPr>
        <w:spacing w:after="0" w:line="240" w:lineRule="auto"/>
        <w:jc w:val="both"/>
        <w:rPr>
          <w:rFonts w:ascii="Times New Roman" w:eastAsia="Times New Roman" w:hAnsi="Times New Roman" w:cs="Times New Roman"/>
          <w:sz w:val="20"/>
          <w:szCs w:val="20"/>
        </w:rPr>
      </w:pPr>
      <w:r w:rsidRPr="00135614">
        <w:rPr>
          <w:rStyle w:val="FootnoteReference"/>
          <w:rFonts w:ascii="Times New Roman" w:hAnsi="Times New Roman" w:cs="Times New Roman"/>
          <w:sz w:val="20"/>
          <w:szCs w:val="20"/>
        </w:rPr>
        <w:footnoteRef/>
      </w:r>
      <w:r w:rsidRPr="00135614">
        <w:rPr>
          <w:rFonts w:ascii="Times New Roman" w:hAnsi="Times New Roman" w:cs="Times New Roman"/>
          <w:sz w:val="20"/>
          <w:szCs w:val="20"/>
        </w:rPr>
        <w:t xml:space="preserve"> </w:t>
      </w:r>
      <w:r w:rsidRPr="00135614">
        <w:rPr>
          <w:rStyle w:val="Emphasis"/>
          <w:rFonts w:ascii="Times New Roman" w:eastAsia="Times New Roman" w:hAnsi="Times New Roman"/>
          <w:b w:val="0"/>
          <w:i/>
          <w:iCs/>
          <w:sz w:val="20"/>
          <w:szCs w:val="20"/>
          <w:shd w:val="clear" w:color="auto" w:fill="FFFFFF"/>
        </w:rPr>
        <w:t>Mattoccia v. Italy</w:t>
      </w:r>
      <w:r w:rsidRPr="00135614">
        <w:rPr>
          <w:rFonts w:ascii="Times New Roman" w:eastAsia="Times New Roman" w:hAnsi="Times New Roman" w:cs="Times New Roman"/>
          <w:sz w:val="20"/>
          <w:szCs w:val="20"/>
          <w:shd w:val="clear" w:color="auto" w:fill="FFFFFF"/>
        </w:rPr>
        <w:t xml:space="preserve">, 23969/94, Judgement, ECHR, 25 July 2000, para. 59; </w:t>
      </w:r>
      <w:r w:rsidRPr="00135614">
        <w:rPr>
          <w:rFonts w:ascii="Times New Roman" w:eastAsia="Times New Roman" w:hAnsi="Times New Roman" w:cs="Times New Roman"/>
          <w:bCs/>
          <w:i/>
          <w:sz w:val="20"/>
          <w:szCs w:val="20"/>
          <w:shd w:val="clear" w:color="auto" w:fill="FFFFFF"/>
        </w:rPr>
        <w:t>Pélissier and Sassi v</w:t>
      </w:r>
      <w:r w:rsidRPr="00135614">
        <w:rPr>
          <w:rFonts w:ascii="Times New Roman" w:eastAsia="Times New Roman" w:hAnsi="Times New Roman" w:cs="Times New Roman"/>
          <w:i/>
          <w:sz w:val="20"/>
          <w:szCs w:val="20"/>
          <w:shd w:val="clear" w:color="auto" w:fill="FFFFFF"/>
        </w:rPr>
        <w:t>. </w:t>
      </w:r>
      <w:r w:rsidRPr="00135614">
        <w:rPr>
          <w:rFonts w:ascii="Times New Roman" w:eastAsia="Times New Roman" w:hAnsi="Times New Roman" w:cs="Times New Roman"/>
          <w:bCs/>
          <w:i/>
          <w:sz w:val="20"/>
          <w:szCs w:val="20"/>
          <w:shd w:val="clear" w:color="auto" w:fill="FFFFFF"/>
        </w:rPr>
        <w:t>France</w:t>
      </w:r>
      <w:r w:rsidRPr="00135614">
        <w:rPr>
          <w:rFonts w:ascii="Times New Roman" w:eastAsia="Times New Roman" w:hAnsi="Times New Roman" w:cs="Times New Roman"/>
          <w:i/>
          <w:sz w:val="20"/>
          <w:szCs w:val="20"/>
          <w:shd w:val="clear" w:color="auto" w:fill="FFFFFF"/>
        </w:rPr>
        <w:t>,</w:t>
      </w:r>
      <w:r w:rsidRPr="00135614">
        <w:rPr>
          <w:rFonts w:ascii="Times New Roman" w:eastAsia="Times New Roman" w:hAnsi="Times New Roman" w:cs="Times New Roman"/>
          <w:sz w:val="20"/>
          <w:szCs w:val="20"/>
          <w:shd w:val="clear" w:color="auto" w:fill="FFFFFF"/>
        </w:rPr>
        <w:t xml:space="preserve"> Judgement, ECHR, G.Ch., 25 March 1999, paras. 50-52.</w:t>
      </w:r>
    </w:p>
    <w:p w14:paraId="4501653B" w14:textId="448E8002" w:rsidR="0079099C" w:rsidRPr="00135614" w:rsidRDefault="0079099C" w:rsidP="00A818E2">
      <w:pPr>
        <w:spacing w:after="0" w:line="240" w:lineRule="auto"/>
        <w:jc w:val="both"/>
        <w:rPr>
          <w:rFonts w:ascii="Times New Roman" w:eastAsia="Times New Roman" w:hAnsi="Times New Roman" w:cs="Times New Roman"/>
          <w:sz w:val="20"/>
          <w:szCs w:val="20"/>
        </w:rPr>
      </w:pPr>
      <w:r w:rsidRPr="00135614">
        <w:rPr>
          <w:rFonts w:ascii="Times New Roman" w:hAnsi="Times New Roman" w:cs="Times New Roman"/>
          <w:sz w:val="20"/>
          <w:szCs w:val="20"/>
        </w:rPr>
        <w:t xml:space="preserve"> See also W. Jordash and J. Coughlan, ‘The Right to be Informed of the Nature and Cause of the Charges: A Potentially Formidable Jurisprudential Legacy,’ in S. Darcy and J. Powderly (ed.), </w:t>
      </w:r>
      <w:r w:rsidRPr="00135614">
        <w:rPr>
          <w:rFonts w:ascii="Times New Roman" w:hAnsi="Times New Roman" w:cs="Times New Roman"/>
          <w:i/>
          <w:sz w:val="20"/>
          <w:szCs w:val="20"/>
        </w:rPr>
        <w:t>Judicial Creativity at the International Criminal Tribunals</w:t>
      </w:r>
      <w:r w:rsidRPr="00135614">
        <w:rPr>
          <w:rFonts w:ascii="Times New Roman" w:hAnsi="Times New Roman" w:cs="Times New Roman"/>
          <w:sz w:val="20"/>
          <w:szCs w:val="20"/>
        </w:rPr>
        <w:t xml:space="preserve">, </w:t>
      </w:r>
      <w:r>
        <w:rPr>
          <w:rFonts w:ascii="Times New Roman" w:hAnsi="Times New Roman" w:cs="Times New Roman"/>
          <w:sz w:val="20"/>
          <w:szCs w:val="20"/>
        </w:rPr>
        <w:t xml:space="preserve">(Oxford University Press, Oxford, </w:t>
      </w:r>
      <w:r w:rsidRPr="00135614">
        <w:rPr>
          <w:rFonts w:ascii="Times New Roman" w:hAnsi="Times New Roman" w:cs="Times New Roman"/>
          <w:sz w:val="20"/>
          <w:szCs w:val="20"/>
        </w:rPr>
        <w:t xml:space="preserve">2010), p. 287 </w:t>
      </w:r>
    </w:p>
  </w:footnote>
  <w:footnote w:id="196">
    <w:p w14:paraId="61956D83" w14:textId="3CDB21ED" w:rsidR="0079099C" w:rsidRPr="00135614" w:rsidRDefault="0079099C" w:rsidP="00A818E2">
      <w:pPr>
        <w:pStyle w:val="FootnoteText"/>
        <w:spacing w:after="0" w:line="240" w:lineRule="auto"/>
        <w:jc w:val="both"/>
        <w:rPr>
          <w:rFonts w:ascii="Times New Roman" w:hAnsi="Times New Roman" w:cs="Times New Roman"/>
          <w:sz w:val="20"/>
          <w:szCs w:val="20"/>
        </w:rPr>
      </w:pPr>
      <w:r w:rsidRPr="00135614">
        <w:rPr>
          <w:rStyle w:val="FootnoteReference"/>
          <w:rFonts w:ascii="Times New Roman" w:eastAsiaTheme="majorEastAsia" w:hAnsi="Times New Roman" w:cs="Times New Roman"/>
          <w:sz w:val="20"/>
          <w:szCs w:val="20"/>
        </w:rPr>
        <w:footnoteRef/>
      </w:r>
      <w:r w:rsidRPr="00135614">
        <w:rPr>
          <w:rFonts w:ascii="Times New Roman" w:hAnsi="Times New Roman" w:cs="Times New Roman"/>
          <w:sz w:val="20"/>
          <w:szCs w:val="20"/>
        </w:rPr>
        <w:t xml:space="preserve"> </w:t>
      </w:r>
      <w:r w:rsidRPr="00135614">
        <w:rPr>
          <w:rFonts w:ascii="Times New Roman" w:hAnsi="Times New Roman" w:cs="Times New Roman"/>
          <w:bCs/>
          <w:i/>
          <w:sz w:val="20"/>
          <w:szCs w:val="20"/>
          <w:shd w:val="clear" w:color="auto" w:fill="FFFFFF"/>
        </w:rPr>
        <w:t>Pélissier and Sassi v</w:t>
      </w:r>
      <w:r w:rsidRPr="00135614">
        <w:rPr>
          <w:rFonts w:ascii="Times New Roman" w:hAnsi="Times New Roman" w:cs="Times New Roman"/>
          <w:i/>
          <w:sz w:val="20"/>
          <w:szCs w:val="20"/>
          <w:shd w:val="clear" w:color="auto" w:fill="FFFFFF"/>
        </w:rPr>
        <w:t>. </w:t>
      </w:r>
      <w:r w:rsidRPr="00135614">
        <w:rPr>
          <w:rFonts w:ascii="Times New Roman" w:hAnsi="Times New Roman" w:cs="Times New Roman"/>
          <w:bCs/>
          <w:i/>
          <w:sz w:val="20"/>
          <w:szCs w:val="20"/>
          <w:shd w:val="clear" w:color="auto" w:fill="FFFFFF"/>
        </w:rPr>
        <w:t>France</w:t>
      </w:r>
      <w:r w:rsidRPr="00135614">
        <w:rPr>
          <w:rFonts w:ascii="Times New Roman" w:hAnsi="Times New Roman" w:cs="Times New Roman"/>
          <w:sz w:val="20"/>
          <w:szCs w:val="20"/>
          <w:shd w:val="clear" w:color="auto" w:fill="FFFFFF"/>
        </w:rPr>
        <w:t>, Judgement, ECHR, G.Ch., 25 March 1999, para. 61.</w:t>
      </w:r>
    </w:p>
  </w:footnote>
  <w:footnote w:id="197">
    <w:p w14:paraId="3C9715B4" w14:textId="553D1A6A" w:rsidR="0079099C" w:rsidRPr="00135614" w:rsidRDefault="0079099C" w:rsidP="00A818E2">
      <w:pPr>
        <w:pStyle w:val="FootnoteText"/>
        <w:spacing w:after="0" w:line="240" w:lineRule="auto"/>
        <w:jc w:val="both"/>
        <w:rPr>
          <w:rFonts w:ascii="Times New Roman" w:hAnsi="Times New Roman" w:cs="Times New Roman"/>
          <w:sz w:val="20"/>
          <w:szCs w:val="20"/>
        </w:rPr>
      </w:pPr>
      <w:r w:rsidRPr="00135614">
        <w:rPr>
          <w:rStyle w:val="FootnoteReference"/>
          <w:rFonts w:ascii="Times New Roman" w:eastAsiaTheme="majorEastAsia" w:hAnsi="Times New Roman" w:cs="Times New Roman"/>
          <w:sz w:val="20"/>
          <w:szCs w:val="20"/>
        </w:rPr>
        <w:footnoteRef/>
      </w:r>
      <w:r w:rsidRPr="00135614">
        <w:rPr>
          <w:rFonts w:ascii="Times New Roman" w:hAnsi="Times New Roman" w:cs="Times New Roman"/>
          <w:sz w:val="20"/>
          <w:szCs w:val="20"/>
        </w:rPr>
        <w:t xml:space="preserve"> </w:t>
      </w:r>
      <w:r w:rsidRPr="00135614">
        <w:rPr>
          <w:rFonts w:ascii="Times New Roman" w:hAnsi="Times New Roman" w:cs="Times New Roman"/>
          <w:i/>
          <w:sz w:val="20"/>
          <w:szCs w:val="20"/>
        </w:rPr>
        <w:t>Ibid,</w:t>
      </w:r>
      <w:r w:rsidRPr="00135614">
        <w:rPr>
          <w:rFonts w:ascii="Times New Roman" w:hAnsi="Times New Roman" w:cs="Times New Roman"/>
          <w:sz w:val="20"/>
          <w:szCs w:val="20"/>
        </w:rPr>
        <w:t xml:space="preserve"> para. 62.</w:t>
      </w:r>
    </w:p>
  </w:footnote>
  <w:footnote w:id="198">
    <w:p w14:paraId="0B286F70" w14:textId="08378A5E" w:rsidR="0079099C" w:rsidRPr="00135614" w:rsidRDefault="0079099C" w:rsidP="00A818E2">
      <w:pPr>
        <w:pStyle w:val="FootnoteText"/>
        <w:spacing w:after="0" w:line="240" w:lineRule="auto"/>
        <w:jc w:val="both"/>
        <w:rPr>
          <w:rFonts w:ascii="Times New Roman" w:hAnsi="Times New Roman" w:cs="Times New Roman"/>
          <w:sz w:val="20"/>
          <w:szCs w:val="20"/>
        </w:rPr>
      </w:pPr>
      <w:r w:rsidRPr="00135614">
        <w:rPr>
          <w:rStyle w:val="FootnoteReference"/>
          <w:rFonts w:ascii="Times New Roman" w:eastAsiaTheme="majorEastAsia" w:hAnsi="Times New Roman" w:cs="Times New Roman"/>
          <w:sz w:val="20"/>
          <w:szCs w:val="20"/>
        </w:rPr>
        <w:footnoteRef/>
      </w:r>
      <w:r w:rsidRPr="00135614">
        <w:rPr>
          <w:rFonts w:ascii="Times New Roman" w:hAnsi="Times New Roman" w:cs="Times New Roman"/>
          <w:sz w:val="20"/>
          <w:szCs w:val="20"/>
        </w:rPr>
        <w:t xml:space="preserve"> </w:t>
      </w:r>
      <w:r w:rsidRPr="00135614">
        <w:rPr>
          <w:rFonts w:ascii="Times New Roman" w:hAnsi="Times New Roman" w:cs="Times New Roman"/>
          <w:i/>
          <w:sz w:val="20"/>
          <w:szCs w:val="20"/>
        </w:rPr>
        <w:t>Borgers v. Belgium</w:t>
      </w:r>
      <w:r w:rsidRPr="00135614">
        <w:rPr>
          <w:rFonts w:ascii="Times New Roman" w:hAnsi="Times New Roman" w:cs="Times New Roman"/>
          <w:sz w:val="20"/>
          <w:szCs w:val="20"/>
        </w:rPr>
        <w:t xml:space="preserve">, Judgement, 214 </w:t>
      </w:r>
      <w:r w:rsidRPr="00135614">
        <w:rPr>
          <w:rFonts w:ascii="Times New Roman" w:hAnsi="Times New Roman" w:cs="Times New Roman"/>
          <w:sz w:val="20"/>
          <w:szCs w:val="20"/>
          <w:shd w:val="clear" w:color="auto" w:fill="FFFFFF"/>
        </w:rPr>
        <w:t>Eur. Ct. H.R. (ser. A) (1999).</w:t>
      </w:r>
    </w:p>
  </w:footnote>
  <w:footnote w:id="199">
    <w:p w14:paraId="2947D562" w14:textId="5DE6C2EF" w:rsidR="0079099C" w:rsidRPr="00135614" w:rsidRDefault="0079099C" w:rsidP="00A818E2">
      <w:pPr>
        <w:pStyle w:val="FootnoteText"/>
        <w:spacing w:after="0" w:line="240" w:lineRule="auto"/>
        <w:jc w:val="both"/>
        <w:rPr>
          <w:rFonts w:ascii="Times New Roman" w:hAnsi="Times New Roman" w:cs="Times New Roman"/>
          <w:sz w:val="20"/>
          <w:szCs w:val="20"/>
          <w:lang w:val="en-US"/>
        </w:rPr>
      </w:pPr>
      <w:r w:rsidRPr="00135614">
        <w:rPr>
          <w:rStyle w:val="FootnoteReference"/>
          <w:rFonts w:ascii="Times New Roman" w:hAnsi="Times New Roman" w:cs="Times New Roman"/>
          <w:sz w:val="20"/>
          <w:szCs w:val="20"/>
        </w:rPr>
        <w:footnoteRef/>
      </w:r>
      <w:r w:rsidRPr="00135614">
        <w:rPr>
          <w:rFonts w:ascii="Times New Roman" w:hAnsi="Times New Roman" w:cs="Times New Roman"/>
          <w:sz w:val="20"/>
          <w:szCs w:val="20"/>
        </w:rPr>
        <w:t xml:space="preserve"> To that effect Mark Osiel even goes as far as arguing that the context of mass atrocities requires reassessment of the individualistic categories in which criminal law customarily thinks and judges. See M. Osiel, </w:t>
      </w:r>
      <w:r w:rsidRPr="00135614">
        <w:rPr>
          <w:rFonts w:ascii="Times New Roman" w:hAnsi="Times New Roman" w:cs="Times New Roman"/>
          <w:i/>
          <w:sz w:val="20"/>
          <w:szCs w:val="20"/>
        </w:rPr>
        <w:t>Making Sense of Mass Atrocity</w:t>
      </w:r>
      <w:r w:rsidRPr="00135614">
        <w:rPr>
          <w:rFonts w:ascii="Times New Roman" w:hAnsi="Times New Roman" w:cs="Times New Roman"/>
          <w:sz w:val="20"/>
          <w:szCs w:val="20"/>
        </w:rPr>
        <w:t xml:space="preserve"> (Cambridge University Press,</w:t>
      </w:r>
      <w:r>
        <w:rPr>
          <w:rFonts w:ascii="Times New Roman" w:hAnsi="Times New Roman" w:cs="Times New Roman"/>
          <w:sz w:val="20"/>
          <w:szCs w:val="20"/>
        </w:rPr>
        <w:t xml:space="preserve"> Cambridge,</w:t>
      </w:r>
      <w:r w:rsidRPr="00135614">
        <w:rPr>
          <w:rFonts w:ascii="Times New Roman" w:hAnsi="Times New Roman" w:cs="Times New Roman"/>
          <w:sz w:val="20"/>
          <w:szCs w:val="20"/>
        </w:rPr>
        <w:t xml:space="preserve"> 2009), p. 21. </w:t>
      </w:r>
    </w:p>
  </w:footnote>
  <w:footnote w:id="200">
    <w:p w14:paraId="43D1E532" w14:textId="4756F212" w:rsidR="0079099C" w:rsidRPr="00135614" w:rsidRDefault="0079099C" w:rsidP="00A818E2">
      <w:pPr>
        <w:pStyle w:val="FootnoteText"/>
        <w:spacing w:after="0" w:line="240" w:lineRule="auto"/>
        <w:jc w:val="both"/>
        <w:rPr>
          <w:rFonts w:ascii="Times New Roman" w:hAnsi="Times New Roman" w:cs="Times New Roman"/>
          <w:sz w:val="20"/>
          <w:szCs w:val="20"/>
          <w:lang w:val="en-US"/>
        </w:rPr>
      </w:pPr>
      <w:r w:rsidRPr="00135614">
        <w:rPr>
          <w:rStyle w:val="FootnoteReference"/>
          <w:rFonts w:ascii="Times New Roman" w:hAnsi="Times New Roman" w:cs="Times New Roman"/>
          <w:sz w:val="20"/>
          <w:szCs w:val="20"/>
        </w:rPr>
        <w:footnoteRef/>
      </w:r>
      <w:r w:rsidRPr="00135614">
        <w:rPr>
          <w:rFonts w:ascii="Times New Roman" w:hAnsi="Times New Roman" w:cs="Times New Roman"/>
          <w:sz w:val="20"/>
          <w:szCs w:val="20"/>
        </w:rPr>
        <w:t xml:space="preserve"> </w:t>
      </w:r>
      <w:r w:rsidRPr="00135614">
        <w:rPr>
          <w:rFonts w:ascii="Times New Roman" w:hAnsi="Times New Roman" w:cs="Times New Roman"/>
          <w:sz w:val="20"/>
          <w:szCs w:val="20"/>
          <w:lang w:val="en-US"/>
        </w:rPr>
        <w:t xml:space="preserve">Minority Opinion of Judge van den Wyngaert, </w:t>
      </w:r>
      <w:r w:rsidRPr="00C35F07">
        <w:rPr>
          <w:rFonts w:ascii="Times New Roman" w:hAnsi="Times New Roman" w:cs="Times New Roman"/>
          <w:i/>
          <w:sz w:val="20"/>
          <w:szCs w:val="20"/>
        </w:rPr>
        <w:t>supra</w:t>
      </w:r>
      <w:r>
        <w:rPr>
          <w:rFonts w:ascii="Times New Roman" w:hAnsi="Times New Roman" w:cs="Times New Roman"/>
          <w:sz w:val="20"/>
          <w:szCs w:val="20"/>
        </w:rPr>
        <w:t xml:space="preserve"> note 8, </w:t>
      </w:r>
      <w:r w:rsidRPr="00135614">
        <w:rPr>
          <w:rFonts w:ascii="Times New Roman" w:hAnsi="Times New Roman" w:cs="Times New Roman"/>
          <w:sz w:val="20"/>
          <w:szCs w:val="20"/>
        </w:rPr>
        <w:t>para. 311.</w:t>
      </w:r>
    </w:p>
  </w:footnote>
  <w:footnote w:id="201">
    <w:p w14:paraId="07C91841" w14:textId="0D07AB01" w:rsidR="0079099C" w:rsidRPr="00135614" w:rsidRDefault="0079099C" w:rsidP="00A818E2">
      <w:pPr>
        <w:pStyle w:val="FootnoteText"/>
        <w:spacing w:after="0" w:line="240" w:lineRule="auto"/>
        <w:jc w:val="both"/>
        <w:rPr>
          <w:rFonts w:ascii="Times New Roman" w:hAnsi="Times New Roman" w:cs="Times New Roman"/>
          <w:sz w:val="20"/>
          <w:szCs w:val="20"/>
        </w:rPr>
      </w:pPr>
      <w:r w:rsidRPr="00135614">
        <w:rPr>
          <w:rStyle w:val="FootnoteReference"/>
          <w:rFonts w:ascii="Times New Roman" w:eastAsiaTheme="majorEastAsia" w:hAnsi="Times New Roman" w:cs="Times New Roman"/>
          <w:sz w:val="20"/>
          <w:szCs w:val="20"/>
        </w:rPr>
        <w:footnoteRef/>
      </w:r>
      <w:r w:rsidRPr="00135614">
        <w:rPr>
          <w:rFonts w:ascii="Times New Roman" w:hAnsi="Times New Roman" w:cs="Times New Roman"/>
          <w:sz w:val="20"/>
          <w:szCs w:val="20"/>
        </w:rPr>
        <w:t xml:space="preserve"> </w:t>
      </w:r>
      <w:r w:rsidRPr="00135614">
        <w:rPr>
          <w:rFonts w:ascii="Times New Roman" w:hAnsi="Times New Roman" w:cs="Times New Roman"/>
          <w:i/>
          <w:sz w:val="20"/>
          <w:szCs w:val="20"/>
        </w:rPr>
        <w:t xml:space="preserve">Lubanga </w:t>
      </w:r>
      <w:r w:rsidRPr="00135614">
        <w:rPr>
          <w:rFonts w:ascii="Times New Roman" w:hAnsi="Times New Roman" w:cs="Times New Roman"/>
          <w:sz w:val="20"/>
          <w:szCs w:val="20"/>
        </w:rPr>
        <w:t xml:space="preserve">Judgement, </w:t>
      </w:r>
      <w:r>
        <w:rPr>
          <w:rFonts w:ascii="Times New Roman" w:hAnsi="Times New Roman" w:cs="Times New Roman"/>
          <w:i/>
          <w:sz w:val="20"/>
          <w:szCs w:val="20"/>
        </w:rPr>
        <w:t xml:space="preserve">supra </w:t>
      </w:r>
      <w:r w:rsidRPr="00924358">
        <w:rPr>
          <w:rFonts w:ascii="Times New Roman" w:hAnsi="Times New Roman" w:cs="Times New Roman"/>
          <w:sz w:val="20"/>
          <w:szCs w:val="20"/>
        </w:rPr>
        <w:t>note 8,</w:t>
      </w:r>
      <w:r w:rsidRPr="00135614">
        <w:rPr>
          <w:rFonts w:ascii="Times New Roman" w:hAnsi="Times New Roman" w:cs="Times New Roman"/>
          <w:sz w:val="20"/>
          <w:szCs w:val="20"/>
        </w:rPr>
        <w:t xml:space="preserve"> para</w:t>
      </w:r>
      <w:r>
        <w:rPr>
          <w:rFonts w:ascii="Times New Roman" w:hAnsi="Times New Roman" w:cs="Times New Roman"/>
          <w:sz w:val="20"/>
          <w:szCs w:val="20"/>
        </w:rPr>
        <w:t xml:space="preserve">. 925; </w:t>
      </w:r>
      <w:r w:rsidRPr="00AC75E6">
        <w:rPr>
          <w:rFonts w:ascii="Times New Roman" w:hAnsi="Times New Roman" w:cs="Times New Roman"/>
          <w:i/>
          <w:sz w:val="20"/>
          <w:szCs w:val="20"/>
        </w:rPr>
        <w:t>Lubanga</w:t>
      </w:r>
      <w:r>
        <w:rPr>
          <w:rFonts w:ascii="Times New Roman" w:hAnsi="Times New Roman" w:cs="Times New Roman"/>
          <w:sz w:val="20"/>
          <w:szCs w:val="20"/>
        </w:rPr>
        <w:t xml:space="preserve"> Appeal Judgment,</w:t>
      </w:r>
      <w:r w:rsidRPr="00BD57A7">
        <w:rPr>
          <w:rFonts w:ascii="Times New Roman" w:hAnsi="Times New Roman" w:cs="Times New Roman"/>
          <w:i/>
          <w:sz w:val="20"/>
          <w:szCs w:val="20"/>
        </w:rPr>
        <w:t xml:space="preserve"> </w:t>
      </w:r>
      <w:r w:rsidRPr="001A359E">
        <w:rPr>
          <w:rFonts w:ascii="Times New Roman" w:hAnsi="Times New Roman" w:cs="Times New Roman"/>
          <w:i/>
          <w:sz w:val="20"/>
          <w:szCs w:val="20"/>
        </w:rPr>
        <w:t>supra</w:t>
      </w:r>
      <w:r>
        <w:rPr>
          <w:rFonts w:ascii="Times New Roman" w:hAnsi="Times New Roman" w:cs="Times New Roman"/>
          <w:sz w:val="20"/>
          <w:szCs w:val="20"/>
        </w:rPr>
        <w:t xml:space="preserve"> note 11, </w:t>
      </w:r>
      <w:r w:rsidRPr="00135614">
        <w:rPr>
          <w:rFonts w:ascii="Times New Roman" w:hAnsi="Times New Roman" w:cs="Times New Roman"/>
          <w:sz w:val="20"/>
          <w:szCs w:val="20"/>
        </w:rPr>
        <w:t xml:space="preserve">para. 473. See also Ambos, </w:t>
      </w:r>
      <w:r w:rsidRPr="00135614">
        <w:rPr>
          <w:rFonts w:ascii="Times New Roman" w:hAnsi="Times New Roman" w:cs="Times New Roman"/>
          <w:i/>
          <w:sz w:val="20"/>
          <w:szCs w:val="20"/>
        </w:rPr>
        <w:t xml:space="preserve">supra </w:t>
      </w:r>
      <w:r w:rsidRPr="00135614">
        <w:rPr>
          <w:rFonts w:ascii="Times New Roman" w:hAnsi="Times New Roman" w:cs="Times New Roman"/>
          <w:sz w:val="20"/>
          <w:szCs w:val="20"/>
        </w:rPr>
        <w:t>note 55, p. 153.</w:t>
      </w:r>
    </w:p>
  </w:footnote>
  <w:footnote w:id="202">
    <w:p w14:paraId="48B4299D" w14:textId="527F6FEC" w:rsidR="0079099C" w:rsidRPr="00135614" w:rsidRDefault="0079099C" w:rsidP="00A818E2">
      <w:pPr>
        <w:spacing w:after="0" w:line="240" w:lineRule="auto"/>
        <w:jc w:val="both"/>
        <w:rPr>
          <w:rFonts w:ascii="Times New Roman" w:eastAsia="Times New Roman" w:hAnsi="Times New Roman" w:cs="Times New Roman"/>
          <w:sz w:val="20"/>
          <w:szCs w:val="20"/>
        </w:rPr>
      </w:pPr>
      <w:r w:rsidRPr="00135614">
        <w:rPr>
          <w:rStyle w:val="FootnoteReference"/>
          <w:rFonts w:ascii="Times New Roman" w:hAnsi="Times New Roman" w:cs="Times New Roman"/>
          <w:sz w:val="20"/>
          <w:szCs w:val="20"/>
        </w:rPr>
        <w:footnoteRef/>
      </w:r>
      <w:r w:rsidRPr="00135614">
        <w:rPr>
          <w:rFonts w:ascii="Times New Roman" w:hAnsi="Times New Roman" w:cs="Times New Roman"/>
          <w:sz w:val="20"/>
          <w:szCs w:val="20"/>
        </w:rPr>
        <w:t xml:space="preserve"> </w:t>
      </w:r>
      <w:r w:rsidRPr="00135614">
        <w:rPr>
          <w:rFonts w:ascii="Times New Roman" w:hAnsi="Times New Roman" w:cs="Times New Roman"/>
          <w:i/>
          <w:sz w:val="20"/>
          <w:szCs w:val="20"/>
        </w:rPr>
        <w:t>Mbarushimana</w:t>
      </w:r>
      <w:r w:rsidRPr="00135614">
        <w:rPr>
          <w:rFonts w:ascii="Times New Roman" w:hAnsi="Times New Roman" w:cs="Times New Roman"/>
          <w:sz w:val="20"/>
          <w:szCs w:val="20"/>
        </w:rPr>
        <w:t xml:space="preserve"> Decision, </w:t>
      </w:r>
      <w:r w:rsidRPr="002C4E23">
        <w:rPr>
          <w:rFonts w:ascii="Times New Roman" w:hAnsi="Times New Roman" w:cs="Times New Roman"/>
          <w:i/>
          <w:sz w:val="20"/>
          <w:szCs w:val="20"/>
        </w:rPr>
        <w:t>supra</w:t>
      </w:r>
      <w:r>
        <w:rPr>
          <w:rFonts w:ascii="Times New Roman" w:hAnsi="Times New Roman" w:cs="Times New Roman"/>
          <w:sz w:val="20"/>
          <w:szCs w:val="20"/>
        </w:rPr>
        <w:t xml:space="preserve"> note 8, </w:t>
      </w:r>
      <w:r w:rsidRPr="00135614">
        <w:rPr>
          <w:rFonts w:ascii="Times New Roman" w:hAnsi="Times New Roman" w:cs="Times New Roman"/>
          <w:sz w:val="20"/>
          <w:szCs w:val="20"/>
        </w:rPr>
        <w:t xml:space="preserve">para. 279; </w:t>
      </w:r>
      <w:r w:rsidRPr="00135614">
        <w:rPr>
          <w:rFonts w:ascii="Times New Roman" w:hAnsi="Times New Roman" w:cs="Times New Roman"/>
          <w:i/>
          <w:sz w:val="20"/>
          <w:szCs w:val="20"/>
        </w:rPr>
        <w:t>Lubanga</w:t>
      </w:r>
      <w:r w:rsidRPr="00135614">
        <w:rPr>
          <w:rFonts w:ascii="Times New Roman" w:hAnsi="Times New Roman" w:cs="Times New Roman"/>
          <w:sz w:val="20"/>
          <w:szCs w:val="20"/>
        </w:rPr>
        <w:t xml:space="preserve"> Judgement, </w:t>
      </w:r>
      <w:r>
        <w:rPr>
          <w:rFonts w:ascii="Times New Roman" w:hAnsi="Times New Roman" w:cs="Times New Roman"/>
          <w:i/>
          <w:sz w:val="20"/>
          <w:szCs w:val="20"/>
        </w:rPr>
        <w:t xml:space="preserve">supra </w:t>
      </w:r>
      <w:r w:rsidRPr="00924358">
        <w:rPr>
          <w:rFonts w:ascii="Times New Roman" w:hAnsi="Times New Roman" w:cs="Times New Roman"/>
          <w:sz w:val="20"/>
          <w:szCs w:val="20"/>
        </w:rPr>
        <w:t>note 8,</w:t>
      </w:r>
      <w:r w:rsidRPr="00135614">
        <w:rPr>
          <w:rFonts w:ascii="Times New Roman" w:hAnsi="Times New Roman" w:cs="Times New Roman"/>
          <w:sz w:val="20"/>
          <w:szCs w:val="20"/>
        </w:rPr>
        <w:t xml:space="preserve"> para. 997.</w:t>
      </w:r>
    </w:p>
  </w:footnote>
  <w:footnote w:id="203">
    <w:p w14:paraId="42AD481F" w14:textId="50B7F0BA" w:rsidR="0079099C" w:rsidRPr="00135614" w:rsidRDefault="0079099C" w:rsidP="00A818E2">
      <w:pPr>
        <w:pStyle w:val="FootnoteText"/>
        <w:spacing w:after="0" w:line="240" w:lineRule="auto"/>
        <w:jc w:val="both"/>
        <w:rPr>
          <w:rFonts w:ascii="Times New Roman" w:hAnsi="Times New Roman" w:cs="Times New Roman"/>
          <w:sz w:val="20"/>
          <w:szCs w:val="20"/>
        </w:rPr>
      </w:pPr>
      <w:r w:rsidRPr="00135614">
        <w:rPr>
          <w:rStyle w:val="FootnoteReference"/>
          <w:rFonts w:ascii="Times New Roman" w:eastAsiaTheme="majorEastAsia" w:hAnsi="Times New Roman" w:cs="Times New Roman"/>
          <w:sz w:val="20"/>
          <w:szCs w:val="20"/>
        </w:rPr>
        <w:footnoteRef/>
      </w:r>
      <w:r w:rsidRPr="00135614">
        <w:rPr>
          <w:rFonts w:ascii="Times New Roman" w:hAnsi="Times New Roman" w:cs="Times New Roman"/>
          <w:sz w:val="20"/>
          <w:szCs w:val="20"/>
        </w:rPr>
        <w:t xml:space="preserve"> </w:t>
      </w:r>
      <w:r w:rsidRPr="00135614">
        <w:rPr>
          <w:rFonts w:ascii="Times New Roman" w:hAnsi="Times New Roman" w:cs="Times New Roman"/>
          <w:i/>
          <w:sz w:val="20"/>
          <w:szCs w:val="20"/>
        </w:rPr>
        <w:t>Mbarushimana</w:t>
      </w:r>
      <w:r w:rsidRPr="00135614">
        <w:rPr>
          <w:rFonts w:ascii="Times New Roman" w:hAnsi="Times New Roman" w:cs="Times New Roman"/>
          <w:sz w:val="20"/>
          <w:szCs w:val="20"/>
        </w:rPr>
        <w:t xml:space="preserve"> Decision, </w:t>
      </w:r>
      <w:r w:rsidRPr="002C4E23">
        <w:rPr>
          <w:rFonts w:ascii="Times New Roman" w:hAnsi="Times New Roman" w:cs="Times New Roman"/>
          <w:i/>
          <w:sz w:val="20"/>
          <w:szCs w:val="20"/>
        </w:rPr>
        <w:t>supra</w:t>
      </w:r>
      <w:r>
        <w:rPr>
          <w:rFonts w:ascii="Times New Roman" w:hAnsi="Times New Roman" w:cs="Times New Roman"/>
          <w:sz w:val="20"/>
          <w:szCs w:val="20"/>
        </w:rPr>
        <w:t xml:space="preserve"> note 8, </w:t>
      </w:r>
      <w:r w:rsidRPr="00135614">
        <w:rPr>
          <w:rFonts w:ascii="Times New Roman" w:hAnsi="Times New Roman" w:cs="Times New Roman"/>
          <w:sz w:val="20"/>
          <w:szCs w:val="20"/>
        </w:rPr>
        <w:t>para. 280.</w:t>
      </w:r>
    </w:p>
  </w:footnote>
  <w:footnote w:id="204">
    <w:p w14:paraId="0CB4B02C" w14:textId="6C38552C" w:rsidR="0079099C" w:rsidRPr="00135614" w:rsidRDefault="0079099C" w:rsidP="00A818E2">
      <w:pPr>
        <w:pStyle w:val="FootnoteText"/>
        <w:spacing w:after="0" w:line="240" w:lineRule="auto"/>
        <w:jc w:val="both"/>
        <w:rPr>
          <w:rFonts w:ascii="Times New Roman" w:hAnsi="Times New Roman" w:cs="Times New Roman"/>
          <w:sz w:val="20"/>
          <w:szCs w:val="20"/>
        </w:rPr>
      </w:pPr>
      <w:r w:rsidRPr="00135614">
        <w:rPr>
          <w:rStyle w:val="FootnoteReference"/>
          <w:rFonts w:ascii="Times New Roman" w:eastAsiaTheme="majorEastAsia" w:hAnsi="Times New Roman" w:cs="Times New Roman"/>
          <w:sz w:val="20"/>
          <w:szCs w:val="20"/>
        </w:rPr>
        <w:footnoteRef/>
      </w:r>
      <w:r w:rsidRPr="006307AA">
        <w:rPr>
          <w:rFonts w:ascii="Times New Roman" w:hAnsi="Times New Roman" w:cs="Times New Roman"/>
          <w:sz w:val="20"/>
          <w:szCs w:val="20"/>
          <w:lang w:val="es-ES"/>
        </w:rPr>
        <w:t xml:space="preserve"> </w:t>
      </w:r>
      <w:r w:rsidRPr="006307AA">
        <w:rPr>
          <w:rFonts w:ascii="Times New Roman" w:hAnsi="Times New Roman" w:cs="Times New Roman"/>
          <w:i/>
          <w:sz w:val="20"/>
          <w:szCs w:val="20"/>
          <w:lang w:val="es-ES"/>
        </w:rPr>
        <w:t>Lubanga</w:t>
      </w:r>
      <w:r w:rsidRPr="006307AA">
        <w:rPr>
          <w:rFonts w:ascii="Times New Roman" w:hAnsi="Times New Roman" w:cs="Times New Roman"/>
          <w:sz w:val="20"/>
          <w:szCs w:val="20"/>
          <w:lang w:val="es-ES"/>
        </w:rPr>
        <w:t xml:space="preserve"> Decision, </w:t>
      </w:r>
      <w:r w:rsidRPr="006307AA">
        <w:rPr>
          <w:rFonts w:ascii="Times New Roman" w:eastAsia="Times New Roman" w:hAnsi="Times New Roman" w:cs="Times New Roman"/>
          <w:i/>
          <w:sz w:val="20"/>
          <w:szCs w:val="20"/>
          <w:lang w:val="es-ES" w:eastAsia="en-GB"/>
        </w:rPr>
        <w:t>supra</w:t>
      </w:r>
      <w:r w:rsidRPr="006307AA">
        <w:rPr>
          <w:rFonts w:ascii="Times New Roman" w:eastAsia="Times New Roman" w:hAnsi="Times New Roman" w:cs="Times New Roman"/>
          <w:sz w:val="20"/>
          <w:szCs w:val="20"/>
          <w:lang w:val="es-ES" w:eastAsia="en-GB"/>
        </w:rPr>
        <w:t xml:space="preserve"> note 3, </w:t>
      </w:r>
      <w:r w:rsidRPr="006307AA">
        <w:rPr>
          <w:rFonts w:ascii="Times New Roman" w:hAnsi="Times New Roman" w:cs="Times New Roman"/>
          <w:sz w:val="20"/>
          <w:szCs w:val="20"/>
          <w:lang w:val="es-ES"/>
        </w:rPr>
        <w:t xml:space="preserve">para. 337. See also </w:t>
      </w:r>
      <w:r w:rsidRPr="006307AA">
        <w:rPr>
          <w:rFonts w:ascii="Times New Roman" w:hAnsi="Times New Roman" w:cs="Times New Roman"/>
          <w:i/>
          <w:sz w:val="20"/>
          <w:szCs w:val="20"/>
          <w:lang w:val="es-ES"/>
        </w:rPr>
        <w:t>Katanga</w:t>
      </w:r>
      <w:r w:rsidRPr="006307AA">
        <w:rPr>
          <w:rFonts w:ascii="Times New Roman" w:hAnsi="Times New Roman" w:cs="Times New Roman"/>
          <w:sz w:val="20"/>
          <w:szCs w:val="20"/>
          <w:lang w:val="es-ES"/>
        </w:rPr>
        <w:t xml:space="preserve"> Decision, </w:t>
      </w:r>
      <w:r w:rsidRPr="006307AA">
        <w:rPr>
          <w:rFonts w:ascii="Times New Roman" w:eastAsia="Times New Roman" w:hAnsi="Times New Roman" w:cs="Times New Roman"/>
          <w:i/>
          <w:sz w:val="20"/>
          <w:szCs w:val="20"/>
          <w:lang w:val="es-ES" w:eastAsia="en-GB"/>
        </w:rPr>
        <w:t>supra</w:t>
      </w:r>
      <w:r w:rsidRPr="006307AA">
        <w:rPr>
          <w:rFonts w:ascii="Times New Roman" w:eastAsia="Times New Roman" w:hAnsi="Times New Roman" w:cs="Times New Roman"/>
          <w:sz w:val="20"/>
          <w:szCs w:val="20"/>
          <w:lang w:val="es-ES" w:eastAsia="en-GB"/>
        </w:rPr>
        <w:t xml:space="preserve"> note 3, </w:t>
      </w:r>
      <w:r w:rsidRPr="006307AA">
        <w:rPr>
          <w:rFonts w:ascii="Times New Roman" w:hAnsi="Times New Roman" w:cs="Times New Roman"/>
          <w:sz w:val="20"/>
          <w:szCs w:val="20"/>
          <w:lang w:val="es-ES"/>
        </w:rPr>
        <w:t xml:space="preserve">para. </w:t>
      </w:r>
      <w:r w:rsidRPr="00135614">
        <w:rPr>
          <w:rFonts w:ascii="Times New Roman" w:hAnsi="Times New Roman" w:cs="Times New Roman"/>
          <w:sz w:val="20"/>
          <w:szCs w:val="20"/>
        </w:rPr>
        <w:t xml:space="preserve">483, ‘degrading’ responsibility in Article 25(3)(d) </w:t>
      </w:r>
      <w:proofErr w:type="gramStart"/>
      <w:r w:rsidRPr="00135614">
        <w:rPr>
          <w:rFonts w:ascii="Times New Roman" w:hAnsi="Times New Roman" w:cs="Times New Roman"/>
          <w:sz w:val="20"/>
          <w:szCs w:val="20"/>
        </w:rPr>
        <w:t>on the basis of</w:t>
      </w:r>
      <w:proofErr w:type="gramEnd"/>
      <w:r w:rsidRPr="00135614">
        <w:rPr>
          <w:rFonts w:ascii="Times New Roman" w:hAnsi="Times New Roman" w:cs="Times New Roman"/>
          <w:sz w:val="20"/>
          <w:szCs w:val="20"/>
        </w:rPr>
        <w:t xml:space="preserve"> its accessory nature. </w:t>
      </w:r>
    </w:p>
  </w:footnote>
  <w:footnote w:id="205">
    <w:p w14:paraId="0AD73279" w14:textId="4343986F" w:rsidR="0079099C" w:rsidRPr="00135614" w:rsidRDefault="0079099C" w:rsidP="00A818E2">
      <w:pPr>
        <w:pStyle w:val="FootnoteText"/>
        <w:spacing w:after="0" w:line="240" w:lineRule="auto"/>
        <w:jc w:val="both"/>
        <w:rPr>
          <w:rFonts w:ascii="Times New Roman" w:hAnsi="Times New Roman" w:cs="Times New Roman"/>
          <w:sz w:val="20"/>
          <w:szCs w:val="20"/>
        </w:rPr>
      </w:pPr>
      <w:r w:rsidRPr="00135614">
        <w:rPr>
          <w:rStyle w:val="FootnoteReference"/>
          <w:rFonts w:ascii="Times New Roman" w:eastAsiaTheme="majorEastAsia" w:hAnsi="Times New Roman" w:cs="Times New Roman"/>
          <w:sz w:val="20"/>
          <w:szCs w:val="20"/>
        </w:rPr>
        <w:footnoteRef/>
      </w:r>
      <w:r w:rsidRPr="00135614">
        <w:rPr>
          <w:rFonts w:ascii="Times New Roman" w:hAnsi="Times New Roman" w:cs="Times New Roman"/>
          <w:sz w:val="20"/>
          <w:szCs w:val="20"/>
        </w:rPr>
        <w:t xml:space="preserve"> </w:t>
      </w:r>
      <w:r w:rsidRPr="00135614">
        <w:rPr>
          <w:rFonts w:ascii="Times New Roman" w:hAnsi="Times New Roman" w:cs="Times New Roman"/>
          <w:i/>
          <w:sz w:val="20"/>
          <w:szCs w:val="20"/>
        </w:rPr>
        <w:t>Mbarushimana</w:t>
      </w:r>
      <w:r w:rsidRPr="00135614">
        <w:rPr>
          <w:rFonts w:ascii="Times New Roman" w:hAnsi="Times New Roman" w:cs="Times New Roman"/>
          <w:sz w:val="20"/>
          <w:szCs w:val="20"/>
        </w:rPr>
        <w:t xml:space="preserve"> Decision, </w:t>
      </w:r>
      <w:r w:rsidRPr="002C4E23">
        <w:rPr>
          <w:rFonts w:ascii="Times New Roman" w:hAnsi="Times New Roman" w:cs="Times New Roman"/>
          <w:i/>
          <w:sz w:val="20"/>
          <w:szCs w:val="20"/>
        </w:rPr>
        <w:t>supra</w:t>
      </w:r>
      <w:r>
        <w:rPr>
          <w:rFonts w:ascii="Times New Roman" w:hAnsi="Times New Roman" w:cs="Times New Roman"/>
          <w:sz w:val="20"/>
          <w:szCs w:val="20"/>
        </w:rPr>
        <w:t xml:space="preserve"> note 8, </w:t>
      </w:r>
      <w:r w:rsidRPr="00135614">
        <w:rPr>
          <w:rFonts w:ascii="Times New Roman" w:hAnsi="Times New Roman" w:cs="Times New Roman"/>
          <w:sz w:val="20"/>
          <w:szCs w:val="20"/>
        </w:rPr>
        <w:t>para. 292.</w:t>
      </w:r>
    </w:p>
  </w:footnote>
  <w:footnote w:id="206">
    <w:p w14:paraId="7CB7FF0E" w14:textId="77516C26" w:rsidR="0079099C" w:rsidRPr="00135614" w:rsidRDefault="0079099C" w:rsidP="00A818E2">
      <w:pPr>
        <w:pStyle w:val="FootnoteText"/>
        <w:spacing w:after="0" w:line="240" w:lineRule="auto"/>
        <w:jc w:val="both"/>
        <w:rPr>
          <w:rFonts w:ascii="Times New Roman" w:hAnsi="Times New Roman" w:cs="Times New Roman"/>
          <w:sz w:val="20"/>
          <w:szCs w:val="20"/>
          <w:lang w:val="en-US"/>
        </w:rPr>
      </w:pPr>
      <w:r w:rsidRPr="00135614">
        <w:rPr>
          <w:rStyle w:val="FootnoteReference"/>
          <w:rFonts w:ascii="Times New Roman" w:hAnsi="Times New Roman" w:cs="Times New Roman"/>
          <w:sz w:val="20"/>
          <w:szCs w:val="20"/>
        </w:rPr>
        <w:footnoteRef/>
      </w:r>
      <w:r w:rsidRPr="00135614">
        <w:rPr>
          <w:rFonts w:ascii="Times New Roman" w:hAnsi="Times New Roman" w:cs="Times New Roman"/>
          <w:sz w:val="20"/>
          <w:szCs w:val="20"/>
        </w:rPr>
        <w:t xml:space="preserve"> </w:t>
      </w:r>
      <w:r w:rsidRPr="00135614">
        <w:rPr>
          <w:rFonts w:ascii="Times New Roman" w:hAnsi="Times New Roman" w:cs="Times New Roman"/>
          <w:sz w:val="20"/>
          <w:szCs w:val="20"/>
          <w:lang w:val="en-US"/>
        </w:rPr>
        <w:t xml:space="preserve">Separate Opinion of Judge </w:t>
      </w:r>
      <w:r w:rsidRPr="00135614">
        <w:rPr>
          <w:rFonts w:ascii="Times New Roman" w:hAnsi="Times New Roman" w:cs="Times New Roman"/>
          <w:sz w:val="20"/>
          <w:szCs w:val="20"/>
        </w:rPr>
        <w:t>Fern</w:t>
      </w:r>
      <w:r w:rsidRPr="00135614">
        <w:rPr>
          <w:rFonts w:ascii="Times New Roman" w:eastAsiaTheme="minorEastAsia" w:hAnsi="Times New Roman" w:cs="Times New Roman"/>
          <w:sz w:val="20"/>
          <w:szCs w:val="20"/>
          <w:lang w:val="en-US"/>
        </w:rPr>
        <w:t>á</w:t>
      </w:r>
      <w:r w:rsidRPr="00135614">
        <w:rPr>
          <w:rFonts w:ascii="Times New Roman" w:hAnsi="Times New Roman" w:cs="Times New Roman"/>
          <w:sz w:val="20"/>
          <w:szCs w:val="20"/>
        </w:rPr>
        <w:t>ndez de Gurmendi</w:t>
      </w:r>
      <w:r w:rsidRPr="00135614">
        <w:rPr>
          <w:rFonts w:ascii="Times New Roman" w:hAnsi="Times New Roman" w:cs="Times New Roman"/>
          <w:i/>
          <w:sz w:val="20"/>
          <w:szCs w:val="20"/>
        </w:rPr>
        <w:t>,</w:t>
      </w:r>
      <w:r w:rsidR="008834A2">
        <w:rPr>
          <w:rFonts w:ascii="Times New Roman" w:hAnsi="Times New Roman" w:cs="Times New Roman"/>
          <w:i/>
          <w:sz w:val="20"/>
          <w:szCs w:val="20"/>
        </w:rPr>
        <w:t xml:space="preserve"> supra </w:t>
      </w:r>
      <w:r w:rsidR="008834A2" w:rsidRPr="008834A2">
        <w:rPr>
          <w:rFonts w:ascii="Times New Roman" w:hAnsi="Times New Roman" w:cs="Times New Roman"/>
          <w:sz w:val="20"/>
          <w:szCs w:val="20"/>
        </w:rPr>
        <w:t>note 130,</w:t>
      </w:r>
      <w:r w:rsidRPr="00135614">
        <w:rPr>
          <w:rFonts w:ascii="Times New Roman" w:hAnsi="Times New Roman" w:cs="Times New Roman"/>
          <w:i/>
          <w:sz w:val="20"/>
          <w:szCs w:val="20"/>
        </w:rPr>
        <w:t xml:space="preserve"> </w:t>
      </w:r>
      <w:r w:rsidRPr="00135614">
        <w:rPr>
          <w:rFonts w:ascii="Times New Roman" w:hAnsi="Times New Roman" w:cs="Times New Roman"/>
          <w:sz w:val="20"/>
          <w:szCs w:val="20"/>
        </w:rPr>
        <w:t>para. 12.</w:t>
      </w:r>
    </w:p>
  </w:footnote>
  <w:footnote w:id="207">
    <w:p w14:paraId="0FFF9CCF" w14:textId="6CC02455" w:rsidR="0079099C" w:rsidRPr="00135614" w:rsidRDefault="0079099C" w:rsidP="00A818E2">
      <w:pPr>
        <w:pStyle w:val="FootnoteText"/>
        <w:spacing w:after="0" w:line="240" w:lineRule="auto"/>
        <w:jc w:val="both"/>
        <w:rPr>
          <w:rFonts w:ascii="Times New Roman" w:hAnsi="Times New Roman" w:cs="Times New Roman"/>
          <w:sz w:val="20"/>
          <w:szCs w:val="20"/>
          <w:lang w:val="en-US"/>
        </w:rPr>
      </w:pPr>
      <w:r w:rsidRPr="00135614">
        <w:rPr>
          <w:rStyle w:val="FootnoteReference"/>
          <w:rFonts w:ascii="Times New Roman" w:hAnsi="Times New Roman" w:cs="Times New Roman"/>
          <w:sz w:val="20"/>
          <w:szCs w:val="20"/>
        </w:rPr>
        <w:footnoteRef/>
      </w:r>
      <w:r w:rsidRPr="00135614">
        <w:rPr>
          <w:rFonts w:ascii="Times New Roman" w:hAnsi="Times New Roman" w:cs="Times New Roman"/>
          <w:sz w:val="20"/>
          <w:szCs w:val="20"/>
        </w:rPr>
        <w:t xml:space="preserve"> </w:t>
      </w:r>
      <w:r w:rsidRPr="00135614">
        <w:rPr>
          <w:rFonts w:ascii="Times New Roman" w:hAnsi="Times New Roman" w:cs="Times New Roman"/>
          <w:i/>
          <w:sz w:val="20"/>
          <w:szCs w:val="20"/>
          <w:lang w:val="en-US"/>
        </w:rPr>
        <w:t>Lubanga</w:t>
      </w:r>
      <w:r w:rsidRPr="00135614">
        <w:rPr>
          <w:rFonts w:ascii="Times New Roman" w:hAnsi="Times New Roman" w:cs="Times New Roman"/>
          <w:sz w:val="20"/>
          <w:szCs w:val="20"/>
          <w:lang w:val="en-US"/>
        </w:rPr>
        <w:t xml:space="preserve"> Appeal Judgment, </w:t>
      </w:r>
      <w:r w:rsidRPr="001A359E">
        <w:rPr>
          <w:rFonts w:ascii="Times New Roman" w:hAnsi="Times New Roman" w:cs="Times New Roman"/>
          <w:i/>
          <w:sz w:val="20"/>
          <w:szCs w:val="20"/>
        </w:rPr>
        <w:t>supra</w:t>
      </w:r>
      <w:r>
        <w:rPr>
          <w:rFonts w:ascii="Times New Roman" w:hAnsi="Times New Roman" w:cs="Times New Roman"/>
          <w:sz w:val="20"/>
          <w:szCs w:val="20"/>
        </w:rPr>
        <w:t xml:space="preserve"> note 11, </w:t>
      </w:r>
      <w:r w:rsidRPr="00135614">
        <w:rPr>
          <w:rFonts w:ascii="Times New Roman" w:hAnsi="Times New Roman" w:cs="Times New Roman"/>
          <w:sz w:val="20"/>
          <w:szCs w:val="20"/>
        </w:rPr>
        <w:t>para. 473.</w:t>
      </w:r>
    </w:p>
  </w:footnote>
  <w:footnote w:id="208">
    <w:p w14:paraId="3151FCA6" w14:textId="0FF0328B" w:rsidR="0079099C" w:rsidRPr="00135614" w:rsidRDefault="0079099C" w:rsidP="00A818E2">
      <w:pPr>
        <w:pStyle w:val="FootnoteText"/>
        <w:spacing w:after="0" w:line="240" w:lineRule="auto"/>
        <w:jc w:val="both"/>
        <w:rPr>
          <w:rFonts w:ascii="Times New Roman" w:hAnsi="Times New Roman" w:cs="Times New Roman"/>
          <w:sz w:val="20"/>
          <w:szCs w:val="20"/>
        </w:rPr>
      </w:pPr>
      <w:r w:rsidRPr="00135614">
        <w:rPr>
          <w:rStyle w:val="FootnoteReference"/>
          <w:rFonts w:ascii="Times New Roman" w:eastAsiaTheme="majorEastAsia" w:hAnsi="Times New Roman" w:cs="Times New Roman"/>
          <w:sz w:val="20"/>
          <w:szCs w:val="20"/>
        </w:rPr>
        <w:footnoteRef/>
      </w:r>
      <w:r w:rsidRPr="00135614">
        <w:rPr>
          <w:rFonts w:ascii="Times New Roman" w:hAnsi="Times New Roman" w:cs="Times New Roman"/>
          <w:sz w:val="20"/>
          <w:szCs w:val="20"/>
        </w:rPr>
        <w:t xml:space="preserve"> S. H. Kadish, ‘Complicity, Cause and Blame: A Study in the Interpretation of Doctrine,’ 73 </w:t>
      </w:r>
      <w:r w:rsidRPr="00135614">
        <w:rPr>
          <w:rFonts w:ascii="Times New Roman" w:hAnsi="Times New Roman" w:cs="Times New Roman"/>
          <w:i/>
          <w:sz w:val="20"/>
          <w:szCs w:val="20"/>
        </w:rPr>
        <w:t xml:space="preserve">California Law Review </w:t>
      </w:r>
      <w:r w:rsidRPr="00135614">
        <w:rPr>
          <w:rFonts w:ascii="Times New Roman" w:hAnsi="Times New Roman" w:cs="Times New Roman"/>
          <w:sz w:val="20"/>
          <w:szCs w:val="20"/>
        </w:rPr>
        <w:t>2 (1985) 323-410.</w:t>
      </w:r>
    </w:p>
  </w:footnote>
  <w:footnote w:id="209">
    <w:p w14:paraId="54D3B65D" w14:textId="77777777" w:rsidR="0079099C" w:rsidRPr="00135614" w:rsidRDefault="0079099C" w:rsidP="00A818E2">
      <w:pPr>
        <w:pStyle w:val="FootnoteText"/>
        <w:spacing w:after="0" w:line="240" w:lineRule="auto"/>
        <w:jc w:val="both"/>
        <w:rPr>
          <w:rFonts w:ascii="Times New Roman" w:hAnsi="Times New Roman" w:cs="Times New Roman"/>
          <w:sz w:val="20"/>
          <w:szCs w:val="20"/>
        </w:rPr>
      </w:pPr>
      <w:r w:rsidRPr="00135614">
        <w:rPr>
          <w:rStyle w:val="FootnoteReference"/>
          <w:rFonts w:ascii="Times New Roman" w:eastAsiaTheme="majorEastAsia" w:hAnsi="Times New Roman" w:cs="Times New Roman"/>
          <w:sz w:val="20"/>
          <w:szCs w:val="20"/>
        </w:rPr>
        <w:footnoteRef/>
      </w:r>
      <w:r w:rsidRPr="00135614">
        <w:rPr>
          <w:rFonts w:ascii="Times New Roman" w:hAnsi="Times New Roman" w:cs="Times New Roman"/>
          <w:sz w:val="20"/>
          <w:szCs w:val="20"/>
        </w:rPr>
        <w:t xml:space="preserve"> </w:t>
      </w:r>
      <w:r w:rsidRPr="00135614">
        <w:rPr>
          <w:rFonts w:ascii="Times New Roman" w:hAnsi="Times New Roman" w:cs="Times New Roman"/>
          <w:i/>
          <w:sz w:val="20"/>
          <w:szCs w:val="20"/>
        </w:rPr>
        <w:t>Ibid.</w:t>
      </w:r>
    </w:p>
  </w:footnote>
  <w:footnote w:id="210">
    <w:p w14:paraId="1164F836" w14:textId="167782E4" w:rsidR="0079099C" w:rsidRPr="00135614" w:rsidRDefault="0079099C" w:rsidP="00A818E2">
      <w:pPr>
        <w:pStyle w:val="FootnoteText"/>
        <w:spacing w:after="0" w:line="240" w:lineRule="auto"/>
        <w:jc w:val="both"/>
        <w:rPr>
          <w:rFonts w:ascii="Times New Roman" w:hAnsi="Times New Roman" w:cs="Times New Roman"/>
          <w:sz w:val="20"/>
          <w:szCs w:val="20"/>
        </w:rPr>
      </w:pPr>
      <w:r w:rsidRPr="00135614">
        <w:rPr>
          <w:rStyle w:val="FootnoteReference"/>
          <w:rFonts w:ascii="Times New Roman" w:eastAsiaTheme="majorEastAsia" w:hAnsi="Times New Roman" w:cs="Times New Roman"/>
          <w:sz w:val="20"/>
          <w:szCs w:val="20"/>
        </w:rPr>
        <w:footnoteRef/>
      </w:r>
      <w:r w:rsidRPr="00135614">
        <w:rPr>
          <w:rFonts w:ascii="Times New Roman" w:hAnsi="Times New Roman" w:cs="Times New Roman"/>
          <w:sz w:val="20"/>
          <w:szCs w:val="20"/>
        </w:rPr>
        <w:t xml:space="preserve"> For an extended discussion see Weigend, </w:t>
      </w:r>
      <w:r w:rsidRPr="00135614">
        <w:rPr>
          <w:rFonts w:ascii="Times New Roman" w:hAnsi="Times New Roman" w:cs="Times New Roman"/>
          <w:i/>
          <w:sz w:val="20"/>
          <w:szCs w:val="20"/>
        </w:rPr>
        <w:t xml:space="preserve">supra </w:t>
      </w:r>
      <w:r w:rsidRPr="00135614">
        <w:rPr>
          <w:rFonts w:ascii="Times New Roman" w:hAnsi="Times New Roman" w:cs="Times New Roman"/>
          <w:sz w:val="20"/>
          <w:szCs w:val="20"/>
        </w:rPr>
        <w:t>note 30.</w:t>
      </w:r>
    </w:p>
  </w:footnote>
  <w:footnote w:id="211">
    <w:p w14:paraId="213940AF" w14:textId="132D6192" w:rsidR="0079099C" w:rsidRPr="00135614" w:rsidRDefault="0079099C" w:rsidP="00A818E2">
      <w:pPr>
        <w:pStyle w:val="FootnoteText"/>
        <w:spacing w:after="0" w:line="240" w:lineRule="auto"/>
        <w:jc w:val="both"/>
        <w:rPr>
          <w:rFonts w:ascii="Times New Roman" w:hAnsi="Times New Roman" w:cs="Times New Roman"/>
          <w:sz w:val="20"/>
          <w:szCs w:val="20"/>
          <w:lang w:val="en-US"/>
        </w:rPr>
      </w:pPr>
      <w:r w:rsidRPr="00135614">
        <w:rPr>
          <w:rStyle w:val="FootnoteReference"/>
          <w:rFonts w:ascii="Times New Roman" w:hAnsi="Times New Roman" w:cs="Times New Roman"/>
          <w:sz w:val="20"/>
          <w:szCs w:val="20"/>
        </w:rPr>
        <w:footnoteRef/>
      </w:r>
      <w:r w:rsidRPr="00135614">
        <w:rPr>
          <w:rFonts w:ascii="Times New Roman" w:hAnsi="Times New Roman" w:cs="Times New Roman"/>
          <w:sz w:val="20"/>
          <w:szCs w:val="20"/>
        </w:rPr>
        <w:t xml:space="preserve"> For the extended discussion of ‘guilt by association’ see </w:t>
      </w:r>
      <w:r w:rsidRPr="00135614">
        <w:rPr>
          <w:rFonts w:ascii="Times New Roman" w:hAnsi="Times New Roman" w:cs="Times New Roman"/>
          <w:i/>
          <w:sz w:val="20"/>
          <w:szCs w:val="20"/>
          <w:lang w:val="en-US"/>
        </w:rPr>
        <w:t>Ezokola v. Canada</w:t>
      </w:r>
      <w:r w:rsidRPr="00135614">
        <w:rPr>
          <w:rFonts w:ascii="Times New Roman" w:hAnsi="Times New Roman" w:cs="Times New Roman"/>
          <w:sz w:val="20"/>
          <w:szCs w:val="20"/>
          <w:lang w:val="en-US"/>
        </w:rPr>
        <w:t xml:space="preserve"> (Citizenship and Immigration), 2013 SCC 40, [2013] 2 S.C.R. 678.</w:t>
      </w:r>
    </w:p>
  </w:footnote>
  <w:footnote w:id="212">
    <w:p w14:paraId="2C7344CE" w14:textId="211E327B" w:rsidR="0079099C" w:rsidRPr="00135614" w:rsidRDefault="0079099C" w:rsidP="00A818E2">
      <w:pPr>
        <w:pStyle w:val="FootnoteText"/>
        <w:spacing w:after="0" w:line="240" w:lineRule="auto"/>
        <w:jc w:val="both"/>
        <w:rPr>
          <w:rFonts w:ascii="Times New Roman" w:hAnsi="Times New Roman" w:cs="Times New Roman"/>
          <w:sz w:val="20"/>
          <w:szCs w:val="20"/>
        </w:rPr>
      </w:pPr>
      <w:r w:rsidRPr="00135614">
        <w:rPr>
          <w:rStyle w:val="FootnoteReference"/>
          <w:rFonts w:ascii="Times New Roman" w:eastAsiaTheme="majorEastAsia" w:hAnsi="Times New Roman" w:cs="Times New Roman"/>
          <w:sz w:val="20"/>
          <w:szCs w:val="20"/>
        </w:rPr>
        <w:footnoteRef/>
      </w:r>
      <w:r w:rsidRPr="00135614">
        <w:rPr>
          <w:rFonts w:ascii="Times New Roman" w:hAnsi="Times New Roman" w:cs="Times New Roman"/>
          <w:sz w:val="20"/>
          <w:szCs w:val="20"/>
        </w:rPr>
        <w:t xml:space="preserve"> </w:t>
      </w:r>
      <w:r w:rsidRPr="00135614">
        <w:rPr>
          <w:rFonts w:ascii="Times New Roman" w:hAnsi="Times New Roman" w:cs="Times New Roman"/>
          <w:i/>
          <w:sz w:val="20"/>
          <w:szCs w:val="20"/>
        </w:rPr>
        <w:t>Mbarushimana</w:t>
      </w:r>
      <w:r w:rsidRPr="00135614">
        <w:rPr>
          <w:rFonts w:ascii="Times New Roman" w:hAnsi="Times New Roman" w:cs="Times New Roman"/>
          <w:sz w:val="20"/>
          <w:szCs w:val="20"/>
        </w:rPr>
        <w:t xml:space="preserve"> Decision,</w:t>
      </w:r>
      <w:r>
        <w:rPr>
          <w:rFonts w:ascii="Times New Roman" w:hAnsi="Times New Roman" w:cs="Times New Roman"/>
          <w:sz w:val="20"/>
          <w:szCs w:val="20"/>
        </w:rPr>
        <w:t xml:space="preserve"> </w:t>
      </w:r>
      <w:r w:rsidRPr="002C4E23">
        <w:rPr>
          <w:rFonts w:ascii="Times New Roman" w:hAnsi="Times New Roman" w:cs="Times New Roman"/>
          <w:i/>
          <w:sz w:val="20"/>
          <w:szCs w:val="20"/>
        </w:rPr>
        <w:t>supra</w:t>
      </w:r>
      <w:r>
        <w:rPr>
          <w:rFonts w:ascii="Times New Roman" w:hAnsi="Times New Roman" w:cs="Times New Roman"/>
          <w:sz w:val="20"/>
          <w:szCs w:val="20"/>
        </w:rPr>
        <w:t xml:space="preserve"> note 8</w:t>
      </w:r>
      <w:r w:rsidRPr="00135614">
        <w:rPr>
          <w:rFonts w:ascii="Times New Roman" w:hAnsi="Times New Roman" w:cs="Times New Roman"/>
          <w:sz w:val="20"/>
          <w:szCs w:val="20"/>
        </w:rPr>
        <w:t xml:space="preserve"> </w:t>
      </w:r>
      <w:proofErr w:type="gramStart"/>
      <w:r w:rsidRPr="00135614">
        <w:rPr>
          <w:rFonts w:ascii="Times New Roman" w:hAnsi="Times New Roman" w:cs="Times New Roman"/>
          <w:sz w:val="20"/>
          <w:szCs w:val="20"/>
        </w:rPr>
        <w:t>para</w:t>
      </w:r>
      <w:proofErr w:type="gramEnd"/>
      <w:r w:rsidRPr="00135614">
        <w:rPr>
          <w:rFonts w:ascii="Times New Roman" w:hAnsi="Times New Roman" w:cs="Times New Roman"/>
          <w:sz w:val="20"/>
          <w:szCs w:val="20"/>
        </w:rPr>
        <w:t xml:space="preserve">. 284. See also </w:t>
      </w:r>
      <w:r w:rsidRPr="00135614">
        <w:rPr>
          <w:rFonts w:ascii="Times New Roman" w:hAnsi="Times New Roman" w:cs="Times New Roman"/>
          <w:i/>
          <w:sz w:val="20"/>
          <w:szCs w:val="20"/>
        </w:rPr>
        <w:t>Katanga</w:t>
      </w:r>
      <w:r w:rsidRPr="00135614">
        <w:rPr>
          <w:rFonts w:ascii="Times New Roman" w:hAnsi="Times New Roman" w:cs="Times New Roman"/>
          <w:sz w:val="20"/>
          <w:szCs w:val="20"/>
        </w:rPr>
        <w:t xml:space="preserve"> Judgement,</w:t>
      </w:r>
      <w:r>
        <w:rPr>
          <w:rFonts w:ascii="Times New Roman" w:hAnsi="Times New Roman" w:cs="Times New Roman"/>
          <w:sz w:val="20"/>
          <w:szCs w:val="20"/>
        </w:rPr>
        <w:t xml:space="preserve"> </w:t>
      </w:r>
      <w:r w:rsidRPr="002C4E23">
        <w:rPr>
          <w:rFonts w:ascii="Times New Roman" w:hAnsi="Times New Roman" w:cs="Times New Roman"/>
          <w:i/>
          <w:sz w:val="20"/>
          <w:szCs w:val="20"/>
        </w:rPr>
        <w:t>supra</w:t>
      </w:r>
      <w:r>
        <w:rPr>
          <w:rFonts w:ascii="Times New Roman" w:hAnsi="Times New Roman" w:cs="Times New Roman"/>
          <w:sz w:val="20"/>
          <w:szCs w:val="20"/>
        </w:rPr>
        <w:t xml:space="preserve"> note 8,</w:t>
      </w:r>
      <w:r w:rsidRPr="00135614">
        <w:rPr>
          <w:rFonts w:ascii="Times New Roman" w:hAnsi="Times New Roman" w:cs="Times New Roman"/>
          <w:sz w:val="20"/>
          <w:szCs w:val="20"/>
        </w:rPr>
        <w:t xml:space="preserve"> para. 634.</w:t>
      </w:r>
    </w:p>
  </w:footnote>
  <w:footnote w:id="213">
    <w:p w14:paraId="6E80E6EB" w14:textId="4F0A7833" w:rsidR="0079099C" w:rsidRPr="00A818E2" w:rsidRDefault="0079099C" w:rsidP="00A818E2">
      <w:pPr>
        <w:pStyle w:val="FootnoteText"/>
        <w:spacing w:after="0" w:line="240" w:lineRule="auto"/>
        <w:jc w:val="both"/>
        <w:rPr>
          <w:rFonts w:ascii="Times New Roman" w:hAnsi="Times New Roman" w:cs="Times New Roman"/>
          <w:sz w:val="20"/>
          <w:szCs w:val="20"/>
          <w:lang w:val="en-US"/>
        </w:rPr>
      </w:pPr>
      <w:r w:rsidRPr="00135614">
        <w:rPr>
          <w:rStyle w:val="FootnoteReference"/>
          <w:rFonts w:ascii="Times New Roman" w:hAnsi="Times New Roman" w:cs="Times New Roman"/>
          <w:sz w:val="20"/>
          <w:szCs w:val="20"/>
        </w:rPr>
        <w:footnoteRef/>
      </w:r>
      <w:r w:rsidRPr="00135614">
        <w:rPr>
          <w:rFonts w:ascii="Times New Roman" w:hAnsi="Times New Roman" w:cs="Times New Roman"/>
          <w:sz w:val="20"/>
          <w:szCs w:val="20"/>
        </w:rPr>
        <w:t xml:space="preserve"> </w:t>
      </w:r>
      <w:r w:rsidRPr="00135614">
        <w:rPr>
          <w:rFonts w:ascii="Times New Roman" w:hAnsi="Times New Roman" w:cs="Times New Roman"/>
          <w:i/>
          <w:sz w:val="20"/>
          <w:szCs w:val="20"/>
        </w:rPr>
        <w:t>Mbarushimana</w:t>
      </w:r>
      <w:r w:rsidRPr="00135614">
        <w:rPr>
          <w:rFonts w:ascii="Times New Roman" w:hAnsi="Times New Roman" w:cs="Times New Roman"/>
          <w:sz w:val="20"/>
          <w:szCs w:val="20"/>
        </w:rPr>
        <w:t xml:space="preserve"> Decision, </w:t>
      </w:r>
      <w:r w:rsidRPr="002C4E23">
        <w:rPr>
          <w:rFonts w:ascii="Times New Roman" w:hAnsi="Times New Roman" w:cs="Times New Roman"/>
          <w:i/>
          <w:sz w:val="20"/>
          <w:szCs w:val="20"/>
        </w:rPr>
        <w:t>supra</w:t>
      </w:r>
      <w:r>
        <w:rPr>
          <w:rFonts w:ascii="Times New Roman" w:hAnsi="Times New Roman" w:cs="Times New Roman"/>
          <w:sz w:val="20"/>
          <w:szCs w:val="20"/>
        </w:rPr>
        <w:t xml:space="preserve"> note 8, </w:t>
      </w:r>
      <w:r w:rsidRPr="00135614">
        <w:rPr>
          <w:rFonts w:ascii="Times New Roman" w:hAnsi="Times New Roman" w:cs="Times New Roman"/>
          <w:sz w:val="20"/>
          <w:szCs w:val="20"/>
        </w:rPr>
        <w:t>para. 284.</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7A0C14"/>
    <w:multiLevelType w:val="hybridMultilevel"/>
    <w:tmpl w:val="ADF4114E"/>
    <w:lvl w:ilvl="0" w:tplc="F468C144">
      <w:start w:val="1"/>
      <w:numFmt w:val="decimal"/>
      <w:lvlText w:val="%1."/>
      <w:lvlJc w:val="left"/>
      <w:pPr>
        <w:tabs>
          <w:tab w:val="num" w:pos="360"/>
        </w:tabs>
        <w:ind w:left="360" w:hanging="360"/>
      </w:pPr>
      <w:rPr>
        <w:i w:val="0"/>
      </w:rPr>
    </w:lvl>
    <w:lvl w:ilvl="1" w:tplc="1C6CB91E">
      <w:start w:val="1"/>
      <w:numFmt w:val="upperLetter"/>
      <w:lvlText w:val="%2."/>
      <w:lvlJc w:val="left"/>
      <w:pPr>
        <w:tabs>
          <w:tab w:val="num" w:pos="1515"/>
        </w:tabs>
        <w:ind w:left="1515" w:hanging="435"/>
      </w:pPr>
      <w:rPr>
        <w:rFonts w:hint="default"/>
      </w:r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 w15:restartNumberingAfterBreak="0">
    <w:nsid w:val="170F5F62"/>
    <w:multiLevelType w:val="hybridMultilevel"/>
    <w:tmpl w:val="71381198"/>
    <w:lvl w:ilvl="0" w:tplc="35DCA2E4">
      <w:start w:val="1"/>
      <w:numFmt w:val="decimal"/>
      <w:lvlText w:val="%1."/>
      <w:lvlJc w:val="left"/>
      <w:pPr>
        <w:ind w:left="1360" w:hanging="64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304043D1"/>
    <w:multiLevelType w:val="multilevel"/>
    <w:tmpl w:val="E4F04B46"/>
    <w:lvl w:ilvl="0">
      <w:start w:val="3"/>
      <w:numFmt w:val="decimal"/>
      <w:lvlText w:val="%1."/>
      <w:lvlJc w:val="left"/>
      <w:pPr>
        <w:ind w:left="360" w:hanging="360"/>
      </w:pPr>
      <w:rPr>
        <w:rFonts w:hint="default"/>
      </w:rPr>
    </w:lvl>
    <w:lvl w:ilvl="1">
      <w:start w:val="3"/>
      <w:numFmt w:val="decimal"/>
      <w:lvlText w:val="%1.%2."/>
      <w:lvlJc w:val="left"/>
      <w:pPr>
        <w:ind w:left="2061" w:hanging="360"/>
      </w:pPr>
      <w:rPr>
        <w:rFonts w:hint="default"/>
        <w:b/>
        <w:i w:val="0"/>
      </w:rPr>
    </w:lvl>
    <w:lvl w:ilvl="2">
      <w:start w:val="1"/>
      <w:numFmt w:val="decimal"/>
      <w:lvlText w:val="%1.%2.%3."/>
      <w:lvlJc w:val="left"/>
      <w:pPr>
        <w:ind w:left="4122" w:hanging="720"/>
      </w:pPr>
      <w:rPr>
        <w:rFonts w:hint="default"/>
      </w:rPr>
    </w:lvl>
    <w:lvl w:ilvl="3">
      <w:start w:val="1"/>
      <w:numFmt w:val="decimal"/>
      <w:lvlText w:val="%1.%2.%3.%4."/>
      <w:lvlJc w:val="left"/>
      <w:pPr>
        <w:ind w:left="5823" w:hanging="720"/>
      </w:pPr>
      <w:rPr>
        <w:rFonts w:hint="default"/>
      </w:rPr>
    </w:lvl>
    <w:lvl w:ilvl="4">
      <w:start w:val="1"/>
      <w:numFmt w:val="decimal"/>
      <w:lvlText w:val="%1.%2.%3.%4.%5."/>
      <w:lvlJc w:val="left"/>
      <w:pPr>
        <w:ind w:left="7884" w:hanging="1080"/>
      </w:pPr>
      <w:rPr>
        <w:rFonts w:hint="default"/>
      </w:rPr>
    </w:lvl>
    <w:lvl w:ilvl="5">
      <w:start w:val="1"/>
      <w:numFmt w:val="decimal"/>
      <w:lvlText w:val="%1.%2.%3.%4.%5.%6."/>
      <w:lvlJc w:val="left"/>
      <w:pPr>
        <w:ind w:left="9585" w:hanging="1080"/>
      </w:pPr>
      <w:rPr>
        <w:rFonts w:hint="default"/>
      </w:rPr>
    </w:lvl>
    <w:lvl w:ilvl="6">
      <w:start w:val="1"/>
      <w:numFmt w:val="decimal"/>
      <w:lvlText w:val="%1.%2.%3.%4.%5.%6.%7."/>
      <w:lvlJc w:val="left"/>
      <w:pPr>
        <w:ind w:left="11646" w:hanging="1440"/>
      </w:pPr>
      <w:rPr>
        <w:rFonts w:hint="default"/>
      </w:rPr>
    </w:lvl>
    <w:lvl w:ilvl="7">
      <w:start w:val="1"/>
      <w:numFmt w:val="decimal"/>
      <w:lvlText w:val="%1.%2.%3.%4.%5.%6.%7.%8."/>
      <w:lvlJc w:val="left"/>
      <w:pPr>
        <w:ind w:left="13347" w:hanging="1440"/>
      </w:pPr>
      <w:rPr>
        <w:rFonts w:hint="default"/>
      </w:rPr>
    </w:lvl>
    <w:lvl w:ilvl="8">
      <w:start w:val="1"/>
      <w:numFmt w:val="decimal"/>
      <w:lvlText w:val="%1.%2.%3.%4.%5.%6.%7.%8.%9."/>
      <w:lvlJc w:val="left"/>
      <w:pPr>
        <w:ind w:left="15408" w:hanging="1800"/>
      </w:pPr>
      <w:rPr>
        <w:rFonts w:hint="default"/>
      </w:rPr>
    </w:lvl>
  </w:abstractNum>
  <w:abstractNum w:abstractNumId="3" w15:restartNumberingAfterBreak="0">
    <w:nsid w:val="59BE256B"/>
    <w:multiLevelType w:val="hybridMultilevel"/>
    <w:tmpl w:val="1EBA0BDE"/>
    <w:lvl w:ilvl="0" w:tplc="68D0603C">
      <w:start w:val="1"/>
      <w:numFmt w:val="decimal"/>
      <w:pStyle w:val="Heading2"/>
      <w:lvlText w:val="%1"/>
      <w:lvlJc w:val="left"/>
      <w:pPr>
        <w:ind w:left="1080" w:hanging="360"/>
      </w:pPr>
      <w:rPr>
        <w:rFonts w:hint="default"/>
        <w:b/>
        <w:i w:val="0"/>
      </w:rPr>
    </w:lvl>
    <w:lvl w:ilvl="1" w:tplc="04090019">
      <w:start w:val="1"/>
      <w:numFmt w:val="lowerLetter"/>
      <w:lvlText w:val="%2."/>
      <w:lvlJc w:val="left"/>
      <w:pPr>
        <w:ind w:left="1800" w:hanging="360"/>
      </w:pPr>
    </w:lvl>
    <w:lvl w:ilvl="2" w:tplc="CD860694">
      <w:start w:val="1"/>
      <w:numFmt w:val="lowerRoman"/>
      <w:pStyle w:val="Heading3"/>
      <w:lvlText w:val="%3."/>
      <w:lvlJc w:val="right"/>
      <w:pPr>
        <w:ind w:left="3441"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60887DFD"/>
    <w:multiLevelType w:val="hybridMultilevel"/>
    <w:tmpl w:val="6DF2597C"/>
    <w:lvl w:ilvl="0" w:tplc="833E6D96">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6320109F"/>
    <w:multiLevelType w:val="hybridMultilevel"/>
    <w:tmpl w:val="C40455B0"/>
    <w:lvl w:ilvl="0" w:tplc="D5B04104">
      <w:start w:val="1"/>
      <w:numFmt w:val="decimal"/>
      <w:lvlText w:val="%1."/>
      <w:lvlJc w:val="left"/>
      <w:pPr>
        <w:ind w:left="1494" w:hanging="360"/>
      </w:pPr>
      <w:rPr>
        <w:rFonts w:hint="default"/>
        <w:color w:val="auto"/>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6" w15:restartNumberingAfterBreak="0">
    <w:nsid w:val="69314FB6"/>
    <w:multiLevelType w:val="hybridMultilevel"/>
    <w:tmpl w:val="589000D0"/>
    <w:lvl w:ilvl="0" w:tplc="5F666990">
      <w:start w:val="1"/>
      <w:numFmt w:val="lowerRoman"/>
      <w:lvlText w:val="(%1)"/>
      <w:lvlJc w:val="left"/>
      <w:pPr>
        <w:ind w:left="1080" w:hanging="72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A1618E4"/>
    <w:multiLevelType w:val="hybridMultilevel"/>
    <w:tmpl w:val="B80894D2"/>
    <w:lvl w:ilvl="0" w:tplc="016C05BE">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909005858">
    <w:abstractNumId w:val="3"/>
  </w:num>
  <w:num w:numId="2" w16cid:durableId="29452877">
    <w:abstractNumId w:val="3"/>
  </w:num>
  <w:num w:numId="3" w16cid:durableId="396171755">
    <w:abstractNumId w:val="2"/>
  </w:num>
  <w:num w:numId="4" w16cid:durableId="1416123927">
    <w:abstractNumId w:val="4"/>
  </w:num>
  <w:num w:numId="5" w16cid:durableId="1047487103">
    <w:abstractNumId w:val="7"/>
  </w:num>
  <w:num w:numId="6" w16cid:durableId="1671566593">
    <w:abstractNumId w:val="6"/>
  </w:num>
  <w:num w:numId="7" w16cid:durableId="757602913">
    <w:abstractNumId w:val="1"/>
  </w:num>
  <w:num w:numId="8" w16cid:durableId="1904758176">
    <w:abstractNumId w:val="5"/>
  </w:num>
  <w:num w:numId="9" w16cid:durableId="45116968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19"/>
  <w:proofState w:grammar="clean"/>
  <w:defaultTabStop w:val="720"/>
  <w:hyphenationZone w:val="425"/>
  <w:characterSpacingControl w:val="doNotCompres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B3BB4"/>
    <w:rsid w:val="000156C5"/>
    <w:rsid w:val="000259E2"/>
    <w:rsid w:val="00026664"/>
    <w:rsid w:val="00026B9B"/>
    <w:rsid w:val="00027ABD"/>
    <w:rsid w:val="0003264E"/>
    <w:rsid w:val="000329B4"/>
    <w:rsid w:val="00034383"/>
    <w:rsid w:val="00040363"/>
    <w:rsid w:val="00045D5F"/>
    <w:rsid w:val="00046A35"/>
    <w:rsid w:val="00051021"/>
    <w:rsid w:val="00054616"/>
    <w:rsid w:val="00054AEB"/>
    <w:rsid w:val="00055579"/>
    <w:rsid w:val="00056689"/>
    <w:rsid w:val="00056D45"/>
    <w:rsid w:val="00060374"/>
    <w:rsid w:val="00061457"/>
    <w:rsid w:val="00064447"/>
    <w:rsid w:val="00067A3F"/>
    <w:rsid w:val="00070BCD"/>
    <w:rsid w:val="00072FD1"/>
    <w:rsid w:val="0009178C"/>
    <w:rsid w:val="00097739"/>
    <w:rsid w:val="000A0942"/>
    <w:rsid w:val="000A3ED4"/>
    <w:rsid w:val="000B0C04"/>
    <w:rsid w:val="000B0D3A"/>
    <w:rsid w:val="000B2252"/>
    <w:rsid w:val="000B23FD"/>
    <w:rsid w:val="000C2DC5"/>
    <w:rsid w:val="000C3011"/>
    <w:rsid w:val="000C6533"/>
    <w:rsid w:val="000C714B"/>
    <w:rsid w:val="000D1761"/>
    <w:rsid w:val="000D1792"/>
    <w:rsid w:val="000D4319"/>
    <w:rsid w:val="000E638C"/>
    <w:rsid w:val="000E7045"/>
    <w:rsid w:val="000F177B"/>
    <w:rsid w:val="000F3FF4"/>
    <w:rsid w:val="000F4AC0"/>
    <w:rsid w:val="000F6608"/>
    <w:rsid w:val="000F7545"/>
    <w:rsid w:val="000F7963"/>
    <w:rsid w:val="000F7E0E"/>
    <w:rsid w:val="00100654"/>
    <w:rsid w:val="00100B4D"/>
    <w:rsid w:val="00100D04"/>
    <w:rsid w:val="00102283"/>
    <w:rsid w:val="00102D83"/>
    <w:rsid w:val="00104D22"/>
    <w:rsid w:val="001134C0"/>
    <w:rsid w:val="00115451"/>
    <w:rsid w:val="001155AB"/>
    <w:rsid w:val="00115748"/>
    <w:rsid w:val="00115DD7"/>
    <w:rsid w:val="00125FB8"/>
    <w:rsid w:val="00131007"/>
    <w:rsid w:val="00131597"/>
    <w:rsid w:val="0013214C"/>
    <w:rsid w:val="00133129"/>
    <w:rsid w:val="0013496D"/>
    <w:rsid w:val="00134E96"/>
    <w:rsid w:val="00135614"/>
    <w:rsid w:val="00137AD5"/>
    <w:rsid w:val="0014355D"/>
    <w:rsid w:val="001510BF"/>
    <w:rsid w:val="00154189"/>
    <w:rsid w:val="0015460C"/>
    <w:rsid w:val="00155437"/>
    <w:rsid w:val="00157540"/>
    <w:rsid w:val="001575AD"/>
    <w:rsid w:val="00163E40"/>
    <w:rsid w:val="0016643D"/>
    <w:rsid w:val="001675AD"/>
    <w:rsid w:val="001704FC"/>
    <w:rsid w:val="0017279B"/>
    <w:rsid w:val="00173FE5"/>
    <w:rsid w:val="00174698"/>
    <w:rsid w:val="00175260"/>
    <w:rsid w:val="00175A77"/>
    <w:rsid w:val="001778CA"/>
    <w:rsid w:val="001806C8"/>
    <w:rsid w:val="00182FBC"/>
    <w:rsid w:val="0018438F"/>
    <w:rsid w:val="00185897"/>
    <w:rsid w:val="001919F2"/>
    <w:rsid w:val="001953D1"/>
    <w:rsid w:val="001975C3"/>
    <w:rsid w:val="001A15BE"/>
    <w:rsid w:val="001A30FD"/>
    <w:rsid w:val="001A359E"/>
    <w:rsid w:val="001A40E0"/>
    <w:rsid w:val="001A4D6B"/>
    <w:rsid w:val="001A5AB9"/>
    <w:rsid w:val="001B0209"/>
    <w:rsid w:val="001B1541"/>
    <w:rsid w:val="001B2663"/>
    <w:rsid w:val="001C08CA"/>
    <w:rsid w:val="001C0B97"/>
    <w:rsid w:val="001C1DA1"/>
    <w:rsid w:val="001C4963"/>
    <w:rsid w:val="001C4E2C"/>
    <w:rsid w:val="001C59B7"/>
    <w:rsid w:val="001C6A3B"/>
    <w:rsid w:val="001D4C0A"/>
    <w:rsid w:val="001D57E3"/>
    <w:rsid w:val="001D5AD2"/>
    <w:rsid w:val="001D7A8F"/>
    <w:rsid w:val="001E1653"/>
    <w:rsid w:val="001E278C"/>
    <w:rsid w:val="001F4B3E"/>
    <w:rsid w:val="001F5B34"/>
    <w:rsid w:val="001F60CC"/>
    <w:rsid w:val="001F66AA"/>
    <w:rsid w:val="001F6DC4"/>
    <w:rsid w:val="002007ED"/>
    <w:rsid w:val="002019C8"/>
    <w:rsid w:val="002036CB"/>
    <w:rsid w:val="00205794"/>
    <w:rsid w:val="00212EDD"/>
    <w:rsid w:val="00214E9F"/>
    <w:rsid w:val="00217027"/>
    <w:rsid w:val="00217A31"/>
    <w:rsid w:val="00217C22"/>
    <w:rsid w:val="00222483"/>
    <w:rsid w:val="00222567"/>
    <w:rsid w:val="00224E9B"/>
    <w:rsid w:val="0022640F"/>
    <w:rsid w:val="00232971"/>
    <w:rsid w:val="0023758C"/>
    <w:rsid w:val="00237F2B"/>
    <w:rsid w:val="00250EF3"/>
    <w:rsid w:val="00252002"/>
    <w:rsid w:val="00252754"/>
    <w:rsid w:val="00252957"/>
    <w:rsid w:val="002537FE"/>
    <w:rsid w:val="00253BA4"/>
    <w:rsid w:val="00263DA7"/>
    <w:rsid w:val="002671FA"/>
    <w:rsid w:val="00274140"/>
    <w:rsid w:val="00275852"/>
    <w:rsid w:val="00275989"/>
    <w:rsid w:val="002828A5"/>
    <w:rsid w:val="002862E8"/>
    <w:rsid w:val="00291D04"/>
    <w:rsid w:val="00293410"/>
    <w:rsid w:val="00297117"/>
    <w:rsid w:val="002A1FE4"/>
    <w:rsid w:val="002A4E04"/>
    <w:rsid w:val="002B2730"/>
    <w:rsid w:val="002B2C6E"/>
    <w:rsid w:val="002B5A88"/>
    <w:rsid w:val="002C0FBF"/>
    <w:rsid w:val="002C14E0"/>
    <w:rsid w:val="002C3220"/>
    <w:rsid w:val="002C4E23"/>
    <w:rsid w:val="002D1BEE"/>
    <w:rsid w:val="002D3957"/>
    <w:rsid w:val="002E1AAB"/>
    <w:rsid w:val="002E417D"/>
    <w:rsid w:val="002E530A"/>
    <w:rsid w:val="002E5A17"/>
    <w:rsid w:val="002E7DAA"/>
    <w:rsid w:val="002F09A3"/>
    <w:rsid w:val="002F1837"/>
    <w:rsid w:val="002F6337"/>
    <w:rsid w:val="002F7C9A"/>
    <w:rsid w:val="00300C3D"/>
    <w:rsid w:val="0030252A"/>
    <w:rsid w:val="00304884"/>
    <w:rsid w:val="00304B96"/>
    <w:rsid w:val="00306BD5"/>
    <w:rsid w:val="00310CEA"/>
    <w:rsid w:val="003125BD"/>
    <w:rsid w:val="00313375"/>
    <w:rsid w:val="00321F87"/>
    <w:rsid w:val="00323E24"/>
    <w:rsid w:val="00324013"/>
    <w:rsid w:val="003249C5"/>
    <w:rsid w:val="003263FB"/>
    <w:rsid w:val="003370FB"/>
    <w:rsid w:val="00341B01"/>
    <w:rsid w:val="0034327F"/>
    <w:rsid w:val="00344523"/>
    <w:rsid w:val="00346173"/>
    <w:rsid w:val="0034654F"/>
    <w:rsid w:val="00354641"/>
    <w:rsid w:val="003553AE"/>
    <w:rsid w:val="0035613A"/>
    <w:rsid w:val="0036156A"/>
    <w:rsid w:val="00362E91"/>
    <w:rsid w:val="003652B5"/>
    <w:rsid w:val="00365C06"/>
    <w:rsid w:val="00366FA6"/>
    <w:rsid w:val="003679BA"/>
    <w:rsid w:val="00370B32"/>
    <w:rsid w:val="00374F6C"/>
    <w:rsid w:val="003771A0"/>
    <w:rsid w:val="00383D4E"/>
    <w:rsid w:val="00385DEA"/>
    <w:rsid w:val="00387FE8"/>
    <w:rsid w:val="00390F47"/>
    <w:rsid w:val="00391A27"/>
    <w:rsid w:val="0039361C"/>
    <w:rsid w:val="00394AE3"/>
    <w:rsid w:val="003A57A7"/>
    <w:rsid w:val="003B5996"/>
    <w:rsid w:val="003B5F25"/>
    <w:rsid w:val="003B751B"/>
    <w:rsid w:val="003B7549"/>
    <w:rsid w:val="003B7F29"/>
    <w:rsid w:val="003C1920"/>
    <w:rsid w:val="003C2E94"/>
    <w:rsid w:val="003C2FD4"/>
    <w:rsid w:val="003C5C93"/>
    <w:rsid w:val="003C5F41"/>
    <w:rsid w:val="003D0487"/>
    <w:rsid w:val="003D1B70"/>
    <w:rsid w:val="003D6F60"/>
    <w:rsid w:val="003E4485"/>
    <w:rsid w:val="003E5F39"/>
    <w:rsid w:val="003F161F"/>
    <w:rsid w:val="003F1E45"/>
    <w:rsid w:val="003F2E12"/>
    <w:rsid w:val="003F31CE"/>
    <w:rsid w:val="003F3578"/>
    <w:rsid w:val="003F51A7"/>
    <w:rsid w:val="003F5F32"/>
    <w:rsid w:val="003F629A"/>
    <w:rsid w:val="003F67AB"/>
    <w:rsid w:val="003F7B9F"/>
    <w:rsid w:val="00400147"/>
    <w:rsid w:val="00401F8E"/>
    <w:rsid w:val="00404AA3"/>
    <w:rsid w:val="00411854"/>
    <w:rsid w:val="004138CF"/>
    <w:rsid w:val="004164C3"/>
    <w:rsid w:val="00422467"/>
    <w:rsid w:val="0042296E"/>
    <w:rsid w:val="004229B6"/>
    <w:rsid w:val="00434DB0"/>
    <w:rsid w:val="00435CE8"/>
    <w:rsid w:val="004410F7"/>
    <w:rsid w:val="00447825"/>
    <w:rsid w:val="00447B4A"/>
    <w:rsid w:val="00452E0A"/>
    <w:rsid w:val="00452FB0"/>
    <w:rsid w:val="00455BB7"/>
    <w:rsid w:val="00460CE6"/>
    <w:rsid w:val="00465CB4"/>
    <w:rsid w:val="0047176F"/>
    <w:rsid w:val="00474996"/>
    <w:rsid w:val="00474B94"/>
    <w:rsid w:val="00474F57"/>
    <w:rsid w:val="0047724E"/>
    <w:rsid w:val="00480213"/>
    <w:rsid w:val="00487C32"/>
    <w:rsid w:val="004938BE"/>
    <w:rsid w:val="00495691"/>
    <w:rsid w:val="0049757C"/>
    <w:rsid w:val="004A0B4F"/>
    <w:rsid w:val="004A62E6"/>
    <w:rsid w:val="004A6B00"/>
    <w:rsid w:val="004A78CE"/>
    <w:rsid w:val="004B100C"/>
    <w:rsid w:val="004B17D1"/>
    <w:rsid w:val="004B2996"/>
    <w:rsid w:val="004B3BB4"/>
    <w:rsid w:val="004C18E7"/>
    <w:rsid w:val="004C71B3"/>
    <w:rsid w:val="004E1A5D"/>
    <w:rsid w:val="004E28A2"/>
    <w:rsid w:val="004E2E84"/>
    <w:rsid w:val="004F1FB4"/>
    <w:rsid w:val="004F2103"/>
    <w:rsid w:val="004F7288"/>
    <w:rsid w:val="004F7ECE"/>
    <w:rsid w:val="00500B6D"/>
    <w:rsid w:val="0050171D"/>
    <w:rsid w:val="00502077"/>
    <w:rsid w:val="00504FD3"/>
    <w:rsid w:val="00507A65"/>
    <w:rsid w:val="005148AB"/>
    <w:rsid w:val="00514F9E"/>
    <w:rsid w:val="005150B4"/>
    <w:rsid w:val="0051561E"/>
    <w:rsid w:val="005171FA"/>
    <w:rsid w:val="00527C9C"/>
    <w:rsid w:val="00532623"/>
    <w:rsid w:val="00537BD3"/>
    <w:rsid w:val="00540D1E"/>
    <w:rsid w:val="00541A3C"/>
    <w:rsid w:val="005450B1"/>
    <w:rsid w:val="00550334"/>
    <w:rsid w:val="00552845"/>
    <w:rsid w:val="005530A3"/>
    <w:rsid w:val="005560E2"/>
    <w:rsid w:val="00560713"/>
    <w:rsid w:val="00561D6D"/>
    <w:rsid w:val="00561E12"/>
    <w:rsid w:val="00564C12"/>
    <w:rsid w:val="0056577C"/>
    <w:rsid w:val="00566D5D"/>
    <w:rsid w:val="00567641"/>
    <w:rsid w:val="005679CB"/>
    <w:rsid w:val="00572BC6"/>
    <w:rsid w:val="00580380"/>
    <w:rsid w:val="00582406"/>
    <w:rsid w:val="00582606"/>
    <w:rsid w:val="0058492E"/>
    <w:rsid w:val="0058655C"/>
    <w:rsid w:val="0059149E"/>
    <w:rsid w:val="00592E23"/>
    <w:rsid w:val="00594FBD"/>
    <w:rsid w:val="005951A2"/>
    <w:rsid w:val="0059613A"/>
    <w:rsid w:val="00597C6B"/>
    <w:rsid w:val="005A19C2"/>
    <w:rsid w:val="005A1B60"/>
    <w:rsid w:val="005A7FA5"/>
    <w:rsid w:val="005B2209"/>
    <w:rsid w:val="005B3625"/>
    <w:rsid w:val="005B6407"/>
    <w:rsid w:val="005B70F1"/>
    <w:rsid w:val="005D3C61"/>
    <w:rsid w:val="005D7792"/>
    <w:rsid w:val="005D78FF"/>
    <w:rsid w:val="005D79FE"/>
    <w:rsid w:val="005D7BA1"/>
    <w:rsid w:val="005D7CE0"/>
    <w:rsid w:val="005E360A"/>
    <w:rsid w:val="005E3654"/>
    <w:rsid w:val="005E4581"/>
    <w:rsid w:val="005F120F"/>
    <w:rsid w:val="005F41D1"/>
    <w:rsid w:val="005F5B69"/>
    <w:rsid w:val="005F62D0"/>
    <w:rsid w:val="005F76FA"/>
    <w:rsid w:val="00600303"/>
    <w:rsid w:val="00603C91"/>
    <w:rsid w:val="00604BB2"/>
    <w:rsid w:val="00605FF7"/>
    <w:rsid w:val="0061076F"/>
    <w:rsid w:val="00615858"/>
    <w:rsid w:val="00616799"/>
    <w:rsid w:val="0062625D"/>
    <w:rsid w:val="00630081"/>
    <w:rsid w:val="006307AA"/>
    <w:rsid w:val="00631806"/>
    <w:rsid w:val="006324EB"/>
    <w:rsid w:val="00633C6C"/>
    <w:rsid w:val="00634A77"/>
    <w:rsid w:val="006375AF"/>
    <w:rsid w:val="00637F5A"/>
    <w:rsid w:val="00650DAF"/>
    <w:rsid w:val="0065656F"/>
    <w:rsid w:val="0065763B"/>
    <w:rsid w:val="006607B4"/>
    <w:rsid w:val="0067203A"/>
    <w:rsid w:val="0067252D"/>
    <w:rsid w:val="00672862"/>
    <w:rsid w:val="006753F5"/>
    <w:rsid w:val="006754D1"/>
    <w:rsid w:val="00680397"/>
    <w:rsid w:val="006849DF"/>
    <w:rsid w:val="00690053"/>
    <w:rsid w:val="0069193C"/>
    <w:rsid w:val="006950B3"/>
    <w:rsid w:val="00695D0D"/>
    <w:rsid w:val="00697D7C"/>
    <w:rsid w:val="00697F05"/>
    <w:rsid w:val="006A0661"/>
    <w:rsid w:val="006A2351"/>
    <w:rsid w:val="006A32FD"/>
    <w:rsid w:val="006A3B40"/>
    <w:rsid w:val="006B1455"/>
    <w:rsid w:val="006B1AD4"/>
    <w:rsid w:val="006B21F6"/>
    <w:rsid w:val="006B61B7"/>
    <w:rsid w:val="006C0FD4"/>
    <w:rsid w:val="006C3892"/>
    <w:rsid w:val="006C534C"/>
    <w:rsid w:val="006D24EE"/>
    <w:rsid w:val="006D2982"/>
    <w:rsid w:val="006E0DA4"/>
    <w:rsid w:val="006E2C0F"/>
    <w:rsid w:val="006E5502"/>
    <w:rsid w:val="006E790A"/>
    <w:rsid w:val="006F0717"/>
    <w:rsid w:val="006F1754"/>
    <w:rsid w:val="006F434C"/>
    <w:rsid w:val="006F551D"/>
    <w:rsid w:val="00704F72"/>
    <w:rsid w:val="007070BE"/>
    <w:rsid w:val="00712D46"/>
    <w:rsid w:val="007206AA"/>
    <w:rsid w:val="0072180F"/>
    <w:rsid w:val="0072205B"/>
    <w:rsid w:val="00723ED0"/>
    <w:rsid w:val="00723F1C"/>
    <w:rsid w:val="00726C63"/>
    <w:rsid w:val="0073286C"/>
    <w:rsid w:val="00733E49"/>
    <w:rsid w:val="007351BC"/>
    <w:rsid w:val="0073766E"/>
    <w:rsid w:val="00741E10"/>
    <w:rsid w:val="00743E61"/>
    <w:rsid w:val="007440E7"/>
    <w:rsid w:val="00746E11"/>
    <w:rsid w:val="00750502"/>
    <w:rsid w:val="0075536B"/>
    <w:rsid w:val="00755C81"/>
    <w:rsid w:val="00755EF5"/>
    <w:rsid w:val="007562EB"/>
    <w:rsid w:val="00757C3B"/>
    <w:rsid w:val="00760BE5"/>
    <w:rsid w:val="00760E03"/>
    <w:rsid w:val="00763E18"/>
    <w:rsid w:val="00771E65"/>
    <w:rsid w:val="0077286F"/>
    <w:rsid w:val="00774159"/>
    <w:rsid w:val="00775293"/>
    <w:rsid w:val="00782DE8"/>
    <w:rsid w:val="00784CBE"/>
    <w:rsid w:val="0078731F"/>
    <w:rsid w:val="0079099C"/>
    <w:rsid w:val="007920BD"/>
    <w:rsid w:val="007966D2"/>
    <w:rsid w:val="007A04FA"/>
    <w:rsid w:val="007A4B23"/>
    <w:rsid w:val="007A5BB8"/>
    <w:rsid w:val="007A5F07"/>
    <w:rsid w:val="007A67A6"/>
    <w:rsid w:val="007B18FD"/>
    <w:rsid w:val="007B2280"/>
    <w:rsid w:val="007B3F19"/>
    <w:rsid w:val="007D1FB2"/>
    <w:rsid w:val="007D4250"/>
    <w:rsid w:val="007E0038"/>
    <w:rsid w:val="007E10B6"/>
    <w:rsid w:val="007E436A"/>
    <w:rsid w:val="007E7698"/>
    <w:rsid w:val="007F0D3F"/>
    <w:rsid w:val="007F1F6A"/>
    <w:rsid w:val="007F25EA"/>
    <w:rsid w:val="007F54EA"/>
    <w:rsid w:val="007F6574"/>
    <w:rsid w:val="007F66FA"/>
    <w:rsid w:val="00803BB0"/>
    <w:rsid w:val="00803C24"/>
    <w:rsid w:val="008049F1"/>
    <w:rsid w:val="00806F2A"/>
    <w:rsid w:val="008100CC"/>
    <w:rsid w:val="008125C0"/>
    <w:rsid w:val="00813746"/>
    <w:rsid w:val="008142EF"/>
    <w:rsid w:val="00826E0C"/>
    <w:rsid w:val="008341D3"/>
    <w:rsid w:val="00835288"/>
    <w:rsid w:val="00835BDC"/>
    <w:rsid w:val="008406F8"/>
    <w:rsid w:val="00843E50"/>
    <w:rsid w:val="0084437C"/>
    <w:rsid w:val="0084486C"/>
    <w:rsid w:val="00844CE8"/>
    <w:rsid w:val="00844E2C"/>
    <w:rsid w:val="008465B3"/>
    <w:rsid w:val="00854A2C"/>
    <w:rsid w:val="00860DA6"/>
    <w:rsid w:val="008610D7"/>
    <w:rsid w:val="008629C5"/>
    <w:rsid w:val="00864120"/>
    <w:rsid w:val="00870EFC"/>
    <w:rsid w:val="008710D0"/>
    <w:rsid w:val="00874A1C"/>
    <w:rsid w:val="008776EB"/>
    <w:rsid w:val="008834A2"/>
    <w:rsid w:val="00883D94"/>
    <w:rsid w:val="00896AD4"/>
    <w:rsid w:val="00897D4E"/>
    <w:rsid w:val="008A53A3"/>
    <w:rsid w:val="008A5481"/>
    <w:rsid w:val="008A64F7"/>
    <w:rsid w:val="008A77F3"/>
    <w:rsid w:val="008A7E75"/>
    <w:rsid w:val="008B00A1"/>
    <w:rsid w:val="008B0F41"/>
    <w:rsid w:val="008B154E"/>
    <w:rsid w:val="008B5926"/>
    <w:rsid w:val="008B59D4"/>
    <w:rsid w:val="008B6C52"/>
    <w:rsid w:val="008B6CE9"/>
    <w:rsid w:val="008B6D8C"/>
    <w:rsid w:val="008C00BE"/>
    <w:rsid w:val="008C01B4"/>
    <w:rsid w:val="008C2F7E"/>
    <w:rsid w:val="008C3EE0"/>
    <w:rsid w:val="008C4659"/>
    <w:rsid w:val="008C5455"/>
    <w:rsid w:val="008D0DD0"/>
    <w:rsid w:val="008E1E8A"/>
    <w:rsid w:val="008E2D6B"/>
    <w:rsid w:val="008E2F0E"/>
    <w:rsid w:val="008E4BAC"/>
    <w:rsid w:val="008E6331"/>
    <w:rsid w:val="008E7AFB"/>
    <w:rsid w:val="008F0A6C"/>
    <w:rsid w:val="008F26AF"/>
    <w:rsid w:val="008F4CBC"/>
    <w:rsid w:val="008F5451"/>
    <w:rsid w:val="008F68AA"/>
    <w:rsid w:val="008F6D3F"/>
    <w:rsid w:val="00904726"/>
    <w:rsid w:val="00911A3C"/>
    <w:rsid w:val="00912076"/>
    <w:rsid w:val="009164F5"/>
    <w:rsid w:val="00916E2E"/>
    <w:rsid w:val="00920DA7"/>
    <w:rsid w:val="00924358"/>
    <w:rsid w:val="009259BE"/>
    <w:rsid w:val="00933652"/>
    <w:rsid w:val="00934660"/>
    <w:rsid w:val="00935958"/>
    <w:rsid w:val="00936222"/>
    <w:rsid w:val="009377E2"/>
    <w:rsid w:val="00940196"/>
    <w:rsid w:val="00943D54"/>
    <w:rsid w:val="009466C8"/>
    <w:rsid w:val="0094785D"/>
    <w:rsid w:val="00954D88"/>
    <w:rsid w:val="00956528"/>
    <w:rsid w:val="00961025"/>
    <w:rsid w:val="00963233"/>
    <w:rsid w:val="00965B61"/>
    <w:rsid w:val="00966A9A"/>
    <w:rsid w:val="009731C0"/>
    <w:rsid w:val="00976B6B"/>
    <w:rsid w:val="00983E33"/>
    <w:rsid w:val="00985AB9"/>
    <w:rsid w:val="00990545"/>
    <w:rsid w:val="009923EC"/>
    <w:rsid w:val="009938C1"/>
    <w:rsid w:val="00993AE2"/>
    <w:rsid w:val="00993B1F"/>
    <w:rsid w:val="009940A0"/>
    <w:rsid w:val="009B3C19"/>
    <w:rsid w:val="009B40C6"/>
    <w:rsid w:val="009C0266"/>
    <w:rsid w:val="009C2480"/>
    <w:rsid w:val="009C3445"/>
    <w:rsid w:val="009C5AB1"/>
    <w:rsid w:val="009D2624"/>
    <w:rsid w:val="009E1DEA"/>
    <w:rsid w:val="009E2893"/>
    <w:rsid w:val="009F249C"/>
    <w:rsid w:val="009F2C12"/>
    <w:rsid w:val="009F39A3"/>
    <w:rsid w:val="00A009A6"/>
    <w:rsid w:val="00A05111"/>
    <w:rsid w:val="00A079EA"/>
    <w:rsid w:val="00A07AC1"/>
    <w:rsid w:val="00A10CFB"/>
    <w:rsid w:val="00A122EE"/>
    <w:rsid w:val="00A1414E"/>
    <w:rsid w:val="00A1499F"/>
    <w:rsid w:val="00A149B0"/>
    <w:rsid w:val="00A17908"/>
    <w:rsid w:val="00A20917"/>
    <w:rsid w:val="00A20D4D"/>
    <w:rsid w:val="00A22266"/>
    <w:rsid w:val="00A25D01"/>
    <w:rsid w:val="00A2615E"/>
    <w:rsid w:val="00A30CE0"/>
    <w:rsid w:val="00A316F0"/>
    <w:rsid w:val="00A34E6D"/>
    <w:rsid w:val="00A35645"/>
    <w:rsid w:val="00A36ADC"/>
    <w:rsid w:val="00A3744C"/>
    <w:rsid w:val="00A40D03"/>
    <w:rsid w:val="00A45DB1"/>
    <w:rsid w:val="00A534A3"/>
    <w:rsid w:val="00A53A9F"/>
    <w:rsid w:val="00A5453D"/>
    <w:rsid w:val="00A571FB"/>
    <w:rsid w:val="00A573E6"/>
    <w:rsid w:val="00A57487"/>
    <w:rsid w:val="00A60A6B"/>
    <w:rsid w:val="00A63ED6"/>
    <w:rsid w:val="00A666B9"/>
    <w:rsid w:val="00A75CFA"/>
    <w:rsid w:val="00A76C3E"/>
    <w:rsid w:val="00A7782B"/>
    <w:rsid w:val="00A818E2"/>
    <w:rsid w:val="00A831A7"/>
    <w:rsid w:val="00A874F7"/>
    <w:rsid w:val="00A87874"/>
    <w:rsid w:val="00A90E00"/>
    <w:rsid w:val="00AA48A1"/>
    <w:rsid w:val="00AA5859"/>
    <w:rsid w:val="00AA6124"/>
    <w:rsid w:val="00AA7972"/>
    <w:rsid w:val="00AB0B1C"/>
    <w:rsid w:val="00AB157B"/>
    <w:rsid w:val="00AB369C"/>
    <w:rsid w:val="00AB3A92"/>
    <w:rsid w:val="00AB46E6"/>
    <w:rsid w:val="00AB759E"/>
    <w:rsid w:val="00AC172C"/>
    <w:rsid w:val="00AC604C"/>
    <w:rsid w:val="00AC73B9"/>
    <w:rsid w:val="00AC75E6"/>
    <w:rsid w:val="00AD2B7F"/>
    <w:rsid w:val="00AD7B63"/>
    <w:rsid w:val="00AE155D"/>
    <w:rsid w:val="00AE2280"/>
    <w:rsid w:val="00AE295B"/>
    <w:rsid w:val="00AE51B6"/>
    <w:rsid w:val="00AF0BFD"/>
    <w:rsid w:val="00AF3B2B"/>
    <w:rsid w:val="00AF4791"/>
    <w:rsid w:val="00AF5059"/>
    <w:rsid w:val="00B01C98"/>
    <w:rsid w:val="00B04074"/>
    <w:rsid w:val="00B05FC2"/>
    <w:rsid w:val="00B0699D"/>
    <w:rsid w:val="00B12116"/>
    <w:rsid w:val="00B12ECD"/>
    <w:rsid w:val="00B25E99"/>
    <w:rsid w:val="00B3163F"/>
    <w:rsid w:val="00B335BA"/>
    <w:rsid w:val="00B34298"/>
    <w:rsid w:val="00B36F5B"/>
    <w:rsid w:val="00B37D12"/>
    <w:rsid w:val="00B403D9"/>
    <w:rsid w:val="00B4108C"/>
    <w:rsid w:val="00B433AA"/>
    <w:rsid w:val="00B50664"/>
    <w:rsid w:val="00B50D33"/>
    <w:rsid w:val="00B60FBF"/>
    <w:rsid w:val="00B63A9A"/>
    <w:rsid w:val="00B63D05"/>
    <w:rsid w:val="00B64998"/>
    <w:rsid w:val="00B6696D"/>
    <w:rsid w:val="00B71F5E"/>
    <w:rsid w:val="00B72AD4"/>
    <w:rsid w:val="00B817A5"/>
    <w:rsid w:val="00B93936"/>
    <w:rsid w:val="00B93EAF"/>
    <w:rsid w:val="00B94B64"/>
    <w:rsid w:val="00B94ECF"/>
    <w:rsid w:val="00BA05F0"/>
    <w:rsid w:val="00BA41D9"/>
    <w:rsid w:val="00BB5CFD"/>
    <w:rsid w:val="00BB6063"/>
    <w:rsid w:val="00BC266A"/>
    <w:rsid w:val="00BC42E5"/>
    <w:rsid w:val="00BD1C31"/>
    <w:rsid w:val="00BD3018"/>
    <w:rsid w:val="00BD55C0"/>
    <w:rsid w:val="00BD57A7"/>
    <w:rsid w:val="00BD5BA3"/>
    <w:rsid w:val="00BD73A0"/>
    <w:rsid w:val="00BE0450"/>
    <w:rsid w:val="00BE10D9"/>
    <w:rsid w:val="00BE22AF"/>
    <w:rsid w:val="00BE2FD3"/>
    <w:rsid w:val="00BE3A39"/>
    <w:rsid w:val="00BE3AE2"/>
    <w:rsid w:val="00BE3BE8"/>
    <w:rsid w:val="00BE3E13"/>
    <w:rsid w:val="00BE4C14"/>
    <w:rsid w:val="00BF03C0"/>
    <w:rsid w:val="00BF1135"/>
    <w:rsid w:val="00BF48E6"/>
    <w:rsid w:val="00BF5852"/>
    <w:rsid w:val="00C015A6"/>
    <w:rsid w:val="00C01C4D"/>
    <w:rsid w:val="00C06148"/>
    <w:rsid w:val="00C06A3C"/>
    <w:rsid w:val="00C109DC"/>
    <w:rsid w:val="00C1191D"/>
    <w:rsid w:val="00C131B1"/>
    <w:rsid w:val="00C171D8"/>
    <w:rsid w:val="00C22273"/>
    <w:rsid w:val="00C325EB"/>
    <w:rsid w:val="00C3477F"/>
    <w:rsid w:val="00C35995"/>
    <w:rsid w:val="00C35F07"/>
    <w:rsid w:val="00C374FB"/>
    <w:rsid w:val="00C41EE7"/>
    <w:rsid w:val="00C45FE3"/>
    <w:rsid w:val="00C469AA"/>
    <w:rsid w:val="00C517DC"/>
    <w:rsid w:val="00C52C0A"/>
    <w:rsid w:val="00C55818"/>
    <w:rsid w:val="00C57CB8"/>
    <w:rsid w:val="00C63C60"/>
    <w:rsid w:val="00C664CC"/>
    <w:rsid w:val="00C704B2"/>
    <w:rsid w:val="00C709EF"/>
    <w:rsid w:val="00C72AD5"/>
    <w:rsid w:val="00C73C7C"/>
    <w:rsid w:val="00C73CD8"/>
    <w:rsid w:val="00C74799"/>
    <w:rsid w:val="00C7571A"/>
    <w:rsid w:val="00C81179"/>
    <w:rsid w:val="00C84E99"/>
    <w:rsid w:val="00C85B4A"/>
    <w:rsid w:val="00C922A2"/>
    <w:rsid w:val="00C93D7F"/>
    <w:rsid w:val="00C95FEE"/>
    <w:rsid w:val="00CA1EB5"/>
    <w:rsid w:val="00CA438A"/>
    <w:rsid w:val="00CA47A0"/>
    <w:rsid w:val="00CA49F3"/>
    <w:rsid w:val="00CA5965"/>
    <w:rsid w:val="00CA70BC"/>
    <w:rsid w:val="00CB0C0E"/>
    <w:rsid w:val="00CB0D60"/>
    <w:rsid w:val="00CB1601"/>
    <w:rsid w:val="00CB1AB9"/>
    <w:rsid w:val="00CB5351"/>
    <w:rsid w:val="00CC1FB7"/>
    <w:rsid w:val="00CC67C1"/>
    <w:rsid w:val="00CC6A84"/>
    <w:rsid w:val="00CD2796"/>
    <w:rsid w:val="00CD2B58"/>
    <w:rsid w:val="00CD3B20"/>
    <w:rsid w:val="00CD52AF"/>
    <w:rsid w:val="00CD54C4"/>
    <w:rsid w:val="00CD5767"/>
    <w:rsid w:val="00CD5A22"/>
    <w:rsid w:val="00CE428D"/>
    <w:rsid w:val="00CE5B55"/>
    <w:rsid w:val="00CE6F10"/>
    <w:rsid w:val="00CE6F54"/>
    <w:rsid w:val="00CF203A"/>
    <w:rsid w:val="00CF4E3D"/>
    <w:rsid w:val="00CF5AD0"/>
    <w:rsid w:val="00D00FE6"/>
    <w:rsid w:val="00D01BDD"/>
    <w:rsid w:val="00D02DF1"/>
    <w:rsid w:val="00D02FFD"/>
    <w:rsid w:val="00D102F3"/>
    <w:rsid w:val="00D10B7C"/>
    <w:rsid w:val="00D118DE"/>
    <w:rsid w:val="00D13DEB"/>
    <w:rsid w:val="00D211A8"/>
    <w:rsid w:val="00D24EFF"/>
    <w:rsid w:val="00D26D5B"/>
    <w:rsid w:val="00D2790F"/>
    <w:rsid w:val="00D310C4"/>
    <w:rsid w:val="00D31557"/>
    <w:rsid w:val="00D377D1"/>
    <w:rsid w:val="00D37C03"/>
    <w:rsid w:val="00D43A09"/>
    <w:rsid w:val="00D46A4F"/>
    <w:rsid w:val="00D50229"/>
    <w:rsid w:val="00D5204E"/>
    <w:rsid w:val="00D525BC"/>
    <w:rsid w:val="00D54CBD"/>
    <w:rsid w:val="00D60DD7"/>
    <w:rsid w:val="00D61B28"/>
    <w:rsid w:val="00D6335C"/>
    <w:rsid w:val="00D65267"/>
    <w:rsid w:val="00D66004"/>
    <w:rsid w:val="00D73200"/>
    <w:rsid w:val="00D768C6"/>
    <w:rsid w:val="00D803BC"/>
    <w:rsid w:val="00D80A50"/>
    <w:rsid w:val="00D80EFE"/>
    <w:rsid w:val="00D80FD5"/>
    <w:rsid w:val="00D8549A"/>
    <w:rsid w:val="00D8671A"/>
    <w:rsid w:val="00D87242"/>
    <w:rsid w:val="00D961D8"/>
    <w:rsid w:val="00DA15B4"/>
    <w:rsid w:val="00DA2503"/>
    <w:rsid w:val="00DA2A56"/>
    <w:rsid w:val="00DA3AA0"/>
    <w:rsid w:val="00DA3C1C"/>
    <w:rsid w:val="00DA5384"/>
    <w:rsid w:val="00DA6B09"/>
    <w:rsid w:val="00DA7C32"/>
    <w:rsid w:val="00DB3A53"/>
    <w:rsid w:val="00DB751C"/>
    <w:rsid w:val="00DC1533"/>
    <w:rsid w:val="00DC186D"/>
    <w:rsid w:val="00DC3E69"/>
    <w:rsid w:val="00DD1735"/>
    <w:rsid w:val="00DD4F28"/>
    <w:rsid w:val="00DE27E1"/>
    <w:rsid w:val="00DF050A"/>
    <w:rsid w:val="00DF34AD"/>
    <w:rsid w:val="00DF3BD6"/>
    <w:rsid w:val="00DF5CDA"/>
    <w:rsid w:val="00E00A40"/>
    <w:rsid w:val="00E00C8B"/>
    <w:rsid w:val="00E02E3E"/>
    <w:rsid w:val="00E0344B"/>
    <w:rsid w:val="00E06206"/>
    <w:rsid w:val="00E0642C"/>
    <w:rsid w:val="00E06D9C"/>
    <w:rsid w:val="00E1020D"/>
    <w:rsid w:val="00E10996"/>
    <w:rsid w:val="00E13554"/>
    <w:rsid w:val="00E14481"/>
    <w:rsid w:val="00E17970"/>
    <w:rsid w:val="00E25932"/>
    <w:rsid w:val="00E271EA"/>
    <w:rsid w:val="00E31EFD"/>
    <w:rsid w:val="00E32292"/>
    <w:rsid w:val="00E32A39"/>
    <w:rsid w:val="00E348E3"/>
    <w:rsid w:val="00E34D8E"/>
    <w:rsid w:val="00E357EA"/>
    <w:rsid w:val="00E42C94"/>
    <w:rsid w:val="00E44347"/>
    <w:rsid w:val="00E45F17"/>
    <w:rsid w:val="00E478A9"/>
    <w:rsid w:val="00E51141"/>
    <w:rsid w:val="00E52151"/>
    <w:rsid w:val="00E54D7D"/>
    <w:rsid w:val="00E550EF"/>
    <w:rsid w:val="00E73431"/>
    <w:rsid w:val="00E823DF"/>
    <w:rsid w:val="00E874A3"/>
    <w:rsid w:val="00E903FE"/>
    <w:rsid w:val="00E94966"/>
    <w:rsid w:val="00E95C9B"/>
    <w:rsid w:val="00E967C2"/>
    <w:rsid w:val="00EA2918"/>
    <w:rsid w:val="00EA31FF"/>
    <w:rsid w:val="00EA3F54"/>
    <w:rsid w:val="00EA414C"/>
    <w:rsid w:val="00EA5CD1"/>
    <w:rsid w:val="00EA67C8"/>
    <w:rsid w:val="00EB1DEF"/>
    <w:rsid w:val="00EB279E"/>
    <w:rsid w:val="00EB2DD7"/>
    <w:rsid w:val="00EB6BC4"/>
    <w:rsid w:val="00EC22AE"/>
    <w:rsid w:val="00EC365E"/>
    <w:rsid w:val="00EC7611"/>
    <w:rsid w:val="00EC7A47"/>
    <w:rsid w:val="00EC7D0D"/>
    <w:rsid w:val="00ED0308"/>
    <w:rsid w:val="00ED0458"/>
    <w:rsid w:val="00ED1A05"/>
    <w:rsid w:val="00ED3589"/>
    <w:rsid w:val="00ED3A5C"/>
    <w:rsid w:val="00ED54A0"/>
    <w:rsid w:val="00EE3397"/>
    <w:rsid w:val="00EE4064"/>
    <w:rsid w:val="00EE4CD5"/>
    <w:rsid w:val="00EE5973"/>
    <w:rsid w:val="00EF0FB1"/>
    <w:rsid w:val="00F02706"/>
    <w:rsid w:val="00F100A3"/>
    <w:rsid w:val="00F11117"/>
    <w:rsid w:val="00F119E6"/>
    <w:rsid w:val="00F136FB"/>
    <w:rsid w:val="00F14205"/>
    <w:rsid w:val="00F14280"/>
    <w:rsid w:val="00F14362"/>
    <w:rsid w:val="00F15D10"/>
    <w:rsid w:val="00F16648"/>
    <w:rsid w:val="00F22C52"/>
    <w:rsid w:val="00F22CF8"/>
    <w:rsid w:val="00F24C61"/>
    <w:rsid w:val="00F30E30"/>
    <w:rsid w:val="00F33193"/>
    <w:rsid w:val="00F337E1"/>
    <w:rsid w:val="00F35C60"/>
    <w:rsid w:val="00F3611E"/>
    <w:rsid w:val="00F415A1"/>
    <w:rsid w:val="00F4313C"/>
    <w:rsid w:val="00F465FF"/>
    <w:rsid w:val="00F51FA8"/>
    <w:rsid w:val="00F57752"/>
    <w:rsid w:val="00F60159"/>
    <w:rsid w:val="00F611A8"/>
    <w:rsid w:val="00F6273F"/>
    <w:rsid w:val="00F66A77"/>
    <w:rsid w:val="00F722AF"/>
    <w:rsid w:val="00F765A7"/>
    <w:rsid w:val="00F7748E"/>
    <w:rsid w:val="00F81B54"/>
    <w:rsid w:val="00F8331F"/>
    <w:rsid w:val="00F84E55"/>
    <w:rsid w:val="00F9235D"/>
    <w:rsid w:val="00F92501"/>
    <w:rsid w:val="00F9561E"/>
    <w:rsid w:val="00F95E64"/>
    <w:rsid w:val="00F97874"/>
    <w:rsid w:val="00F97D00"/>
    <w:rsid w:val="00FA2DDE"/>
    <w:rsid w:val="00FB0FA8"/>
    <w:rsid w:val="00FB63EF"/>
    <w:rsid w:val="00FC03F0"/>
    <w:rsid w:val="00FC0F2D"/>
    <w:rsid w:val="00FC1A91"/>
    <w:rsid w:val="00FC1D50"/>
    <w:rsid w:val="00FC2A38"/>
    <w:rsid w:val="00FC4CAD"/>
    <w:rsid w:val="00FC50E9"/>
    <w:rsid w:val="00FC7B36"/>
    <w:rsid w:val="00FD0C31"/>
    <w:rsid w:val="00FD2608"/>
    <w:rsid w:val="00FD526A"/>
    <w:rsid w:val="00FD7D30"/>
    <w:rsid w:val="00FE2F65"/>
    <w:rsid w:val="00FE3851"/>
    <w:rsid w:val="00FE4E41"/>
    <w:rsid w:val="00FF7822"/>
  </w:rsids>
  <m:mathPr>
    <m:mathFont m:val="Cambria Math"/>
    <m:brkBin m:val="before"/>
    <m:brkBinSub m:val="--"/>
    <m:smallFrac m:val="0"/>
    <m:dispDef/>
    <m:lMargin m:val="0"/>
    <m:rMargin m:val="0"/>
    <m:defJc m:val="centerGroup"/>
    <m:wrapIndent m:val="1440"/>
    <m:intLim m:val="subSup"/>
    <m:naryLim m:val="undOvr"/>
  </m:mathPr>
  <w:themeFontLang w:val="en-US" w:eastAsia="ja-JP" w:bidi="he-IL"/>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B890F63"/>
  <w15:docId w15:val="{69F43D08-377C-C14E-8433-EA91A29408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B3BB4"/>
    <w:pPr>
      <w:spacing w:after="200" w:line="276" w:lineRule="auto"/>
    </w:pPr>
    <w:rPr>
      <w:rFonts w:eastAsiaTheme="minorHAnsi"/>
      <w:sz w:val="22"/>
      <w:szCs w:val="22"/>
      <w:lang w:val="en-GB"/>
    </w:rPr>
  </w:style>
  <w:style w:type="paragraph" w:styleId="Heading2">
    <w:name w:val="heading 2"/>
    <w:basedOn w:val="Normal"/>
    <w:next w:val="Normal"/>
    <w:link w:val="Heading2Char"/>
    <w:uiPriority w:val="99"/>
    <w:unhideWhenUsed/>
    <w:qFormat/>
    <w:rsid w:val="004B3BB4"/>
    <w:pPr>
      <w:keepNext/>
      <w:keepLines/>
      <w:numPr>
        <w:numId w:val="1"/>
      </w:numPr>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4B3BB4"/>
    <w:pPr>
      <w:keepNext/>
      <w:keepLines/>
      <w:numPr>
        <w:ilvl w:val="2"/>
        <w:numId w:val="1"/>
      </w:numPr>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9"/>
    <w:rsid w:val="004B3BB4"/>
    <w:rPr>
      <w:rFonts w:asciiTheme="majorHAnsi" w:eastAsiaTheme="majorEastAsia" w:hAnsiTheme="majorHAnsi" w:cstheme="majorBidi"/>
      <w:b/>
      <w:bCs/>
      <w:color w:val="4F81BD" w:themeColor="accent1"/>
      <w:sz w:val="26"/>
      <w:szCs w:val="26"/>
      <w:lang w:val="en-GB"/>
    </w:rPr>
  </w:style>
  <w:style w:type="character" w:customStyle="1" w:styleId="Heading3Char">
    <w:name w:val="Heading 3 Char"/>
    <w:basedOn w:val="DefaultParagraphFont"/>
    <w:link w:val="Heading3"/>
    <w:uiPriority w:val="9"/>
    <w:rsid w:val="004B3BB4"/>
    <w:rPr>
      <w:rFonts w:asciiTheme="majorHAnsi" w:eastAsiaTheme="majorEastAsia" w:hAnsiTheme="majorHAnsi" w:cstheme="majorBidi"/>
      <w:b/>
      <w:bCs/>
      <w:color w:val="4F81BD" w:themeColor="accent1"/>
      <w:sz w:val="22"/>
      <w:szCs w:val="22"/>
      <w:lang w:val="en-GB"/>
    </w:rPr>
  </w:style>
  <w:style w:type="paragraph" w:styleId="FootnoteText">
    <w:name w:val="footnote text"/>
    <w:aliases w:val="Footnote Text Char Char Char Char,FA,FA Fußnotentext Char Char,Footnote Text Char1 Char,Footnote Text Char Char Char Char Char Char,Footnote Text Char Char Char,FA Fußnotentext Char Char Char Char Char Char"/>
    <w:basedOn w:val="Normal"/>
    <w:link w:val="FootnoteTextChar"/>
    <w:unhideWhenUsed/>
    <w:rsid w:val="004B3BB4"/>
  </w:style>
  <w:style w:type="character" w:customStyle="1" w:styleId="FootnoteTextChar">
    <w:name w:val="Footnote Text Char"/>
    <w:aliases w:val="Footnote Text Char Char Char Char Char,FA Char,FA Fußnotentext Char Char Char,Footnote Text Char1 Char Char,Footnote Text Char Char Char Char Char Char Char,Footnote Text Char Char Char Char1"/>
    <w:basedOn w:val="DefaultParagraphFont"/>
    <w:link w:val="FootnoteText"/>
    <w:rsid w:val="004B3BB4"/>
    <w:rPr>
      <w:rFonts w:eastAsiaTheme="minorHAnsi"/>
      <w:sz w:val="22"/>
      <w:szCs w:val="22"/>
      <w:lang w:val="en-GB"/>
    </w:rPr>
  </w:style>
  <w:style w:type="character" w:styleId="FootnoteReference">
    <w:name w:val="footnote reference"/>
    <w:aliases w:val="Appel note de bas de page"/>
    <w:basedOn w:val="DefaultParagraphFont"/>
    <w:rsid w:val="004B3BB4"/>
    <w:rPr>
      <w:vertAlign w:val="superscript"/>
    </w:rPr>
  </w:style>
  <w:style w:type="character" w:styleId="Emphasis">
    <w:name w:val="Emphasis"/>
    <w:basedOn w:val="DefaultParagraphFont"/>
    <w:uiPriority w:val="20"/>
    <w:qFormat/>
    <w:rsid w:val="004B3BB4"/>
    <w:rPr>
      <w:rFonts w:cs="Times New Roman"/>
      <w:b/>
      <w:bCs/>
    </w:rPr>
  </w:style>
  <w:style w:type="character" w:styleId="BookTitle">
    <w:name w:val="Book Title"/>
    <w:basedOn w:val="DefaultParagraphFont"/>
    <w:uiPriority w:val="33"/>
    <w:qFormat/>
    <w:rsid w:val="00CB1AB9"/>
    <w:rPr>
      <w:b/>
      <w:bCs/>
      <w:smallCaps/>
      <w:spacing w:val="5"/>
    </w:rPr>
  </w:style>
  <w:style w:type="paragraph" w:styleId="Footer">
    <w:name w:val="footer"/>
    <w:basedOn w:val="Normal"/>
    <w:link w:val="FooterChar"/>
    <w:uiPriority w:val="99"/>
    <w:unhideWhenUsed/>
    <w:rsid w:val="00097739"/>
    <w:pPr>
      <w:tabs>
        <w:tab w:val="center" w:pos="4320"/>
        <w:tab w:val="right" w:pos="8640"/>
      </w:tabs>
      <w:spacing w:after="0" w:line="240" w:lineRule="auto"/>
    </w:pPr>
  </w:style>
  <w:style w:type="character" w:customStyle="1" w:styleId="FooterChar">
    <w:name w:val="Footer Char"/>
    <w:basedOn w:val="DefaultParagraphFont"/>
    <w:link w:val="Footer"/>
    <w:uiPriority w:val="99"/>
    <w:rsid w:val="00097739"/>
    <w:rPr>
      <w:rFonts w:eastAsiaTheme="minorHAnsi"/>
      <w:sz w:val="22"/>
      <w:szCs w:val="22"/>
      <w:lang w:val="en-GB"/>
    </w:rPr>
  </w:style>
  <w:style w:type="character" w:styleId="PageNumber">
    <w:name w:val="page number"/>
    <w:basedOn w:val="DefaultParagraphFont"/>
    <w:uiPriority w:val="99"/>
    <w:semiHidden/>
    <w:unhideWhenUsed/>
    <w:rsid w:val="00097739"/>
  </w:style>
  <w:style w:type="paragraph" w:styleId="ListParagraph">
    <w:name w:val="List Paragraph"/>
    <w:basedOn w:val="Normal"/>
    <w:uiPriority w:val="34"/>
    <w:qFormat/>
    <w:rsid w:val="005530A3"/>
    <w:pPr>
      <w:ind w:left="720"/>
      <w:contextualSpacing/>
    </w:pPr>
  </w:style>
  <w:style w:type="paragraph" w:styleId="Header">
    <w:name w:val="header"/>
    <w:basedOn w:val="Normal"/>
    <w:link w:val="HeaderChar"/>
    <w:uiPriority w:val="99"/>
    <w:unhideWhenUsed/>
    <w:rsid w:val="00A573E6"/>
    <w:pPr>
      <w:tabs>
        <w:tab w:val="center" w:pos="4320"/>
        <w:tab w:val="right" w:pos="8640"/>
      </w:tabs>
      <w:spacing w:after="0" w:line="240" w:lineRule="auto"/>
    </w:pPr>
  </w:style>
  <w:style w:type="character" w:customStyle="1" w:styleId="HeaderChar">
    <w:name w:val="Header Char"/>
    <w:basedOn w:val="DefaultParagraphFont"/>
    <w:link w:val="Header"/>
    <w:uiPriority w:val="99"/>
    <w:rsid w:val="00A573E6"/>
    <w:rPr>
      <w:rFonts w:eastAsiaTheme="minorHAnsi"/>
      <w:sz w:val="22"/>
      <w:szCs w:val="22"/>
      <w:lang w:val="en-GB"/>
    </w:rPr>
  </w:style>
  <w:style w:type="paragraph" w:styleId="BalloonText">
    <w:name w:val="Balloon Text"/>
    <w:basedOn w:val="Normal"/>
    <w:link w:val="BalloonTextChar"/>
    <w:uiPriority w:val="99"/>
    <w:semiHidden/>
    <w:unhideWhenUsed/>
    <w:rsid w:val="00D54CBD"/>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D54CBD"/>
    <w:rPr>
      <w:rFonts w:ascii="Lucida Grande" w:eastAsiaTheme="minorHAnsi" w:hAnsi="Lucida Grande" w:cs="Lucida Grande"/>
      <w:sz w:val="18"/>
      <w:szCs w:val="18"/>
      <w:lang w:val="en-GB"/>
    </w:rPr>
  </w:style>
  <w:style w:type="paragraph" w:customStyle="1" w:styleId="Default">
    <w:name w:val="Default"/>
    <w:rsid w:val="00040363"/>
    <w:pPr>
      <w:widowControl w:val="0"/>
      <w:autoSpaceDE w:val="0"/>
      <w:autoSpaceDN w:val="0"/>
      <w:adjustRightInd w:val="0"/>
    </w:pPr>
    <w:rPr>
      <w:rFonts w:ascii="Times New Roman" w:hAnsi="Times New Roman" w:cs="Times New Roman"/>
      <w:color w:val="000000"/>
    </w:rPr>
  </w:style>
  <w:style w:type="character" w:styleId="CommentReference">
    <w:name w:val="annotation reference"/>
    <w:basedOn w:val="DefaultParagraphFont"/>
    <w:uiPriority w:val="99"/>
    <w:semiHidden/>
    <w:unhideWhenUsed/>
    <w:rsid w:val="000A3ED4"/>
    <w:rPr>
      <w:sz w:val="18"/>
      <w:szCs w:val="18"/>
    </w:rPr>
  </w:style>
  <w:style w:type="paragraph" w:styleId="CommentText">
    <w:name w:val="annotation text"/>
    <w:basedOn w:val="Normal"/>
    <w:link w:val="CommentTextChar"/>
    <w:uiPriority w:val="99"/>
    <w:semiHidden/>
    <w:unhideWhenUsed/>
    <w:rsid w:val="000A3ED4"/>
    <w:pPr>
      <w:spacing w:line="240" w:lineRule="auto"/>
    </w:pPr>
    <w:rPr>
      <w:sz w:val="24"/>
      <w:szCs w:val="24"/>
    </w:rPr>
  </w:style>
  <w:style w:type="character" w:customStyle="1" w:styleId="CommentTextChar">
    <w:name w:val="Comment Text Char"/>
    <w:basedOn w:val="DefaultParagraphFont"/>
    <w:link w:val="CommentText"/>
    <w:uiPriority w:val="99"/>
    <w:semiHidden/>
    <w:rsid w:val="000A3ED4"/>
    <w:rPr>
      <w:rFonts w:eastAsiaTheme="minorHAnsi"/>
      <w:lang w:val="en-GB"/>
    </w:rPr>
  </w:style>
  <w:style w:type="paragraph" w:styleId="CommentSubject">
    <w:name w:val="annotation subject"/>
    <w:basedOn w:val="CommentText"/>
    <w:next w:val="CommentText"/>
    <w:link w:val="CommentSubjectChar"/>
    <w:uiPriority w:val="99"/>
    <w:semiHidden/>
    <w:unhideWhenUsed/>
    <w:rsid w:val="000A3ED4"/>
    <w:rPr>
      <w:b/>
      <w:bCs/>
      <w:sz w:val="20"/>
      <w:szCs w:val="20"/>
    </w:rPr>
  </w:style>
  <w:style w:type="character" w:customStyle="1" w:styleId="CommentSubjectChar">
    <w:name w:val="Comment Subject Char"/>
    <w:basedOn w:val="CommentTextChar"/>
    <w:link w:val="CommentSubject"/>
    <w:uiPriority w:val="99"/>
    <w:semiHidden/>
    <w:rsid w:val="000A3ED4"/>
    <w:rPr>
      <w:rFonts w:eastAsiaTheme="minorHAnsi"/>
      <w:b/>
      <w:bCs/>
      <w:sz w:val="20"/>
      <w:szCs w:val="20"/>
      <w:lang w:val="en-GB"/>
    </w:rPr>
  </w:style>
  <w:style w:type="paragraph" w:styleId="DocumentMap">
    <w:name w:val="Document Map"/>
    <w:basedOn w:val="Normal"/>
    <w:link w:val="DocumentMapChar"/>
    <w:uiPriority w:val="99"/>
    <w:semiHidden/>
    <w:unhideWhenUsed/>
    <w:rsid w:val="001C4963"/>
    <w:pPr>
      <w:spacing w:after="0" w:line="240" w:lineRule="auto"/>
    </w:pPr>
    <w:rPr>
      <w:rFonts w:ascii="Lucida Grande" w:hAnsi="Lucida Grande" w:cs="Lucida Grande"/>
      <w:sz w:val="24"/>
      <w:szCs w:val="24"/>
    </w:rPr>
  </w:style>
  <w:style w:type="character" w:customStyle="1" w:styleId="DocumentMapChar">
    <w:name w:val="Document Map Char"/>
    <w:basedOn w:val="DefaultParagraphFont"/>
    <w:link w:val="DocumentMap"/>
    <w:uiPriority w:val="99"/>
    <w:semiHidden/>
    <w:rsid w:val="001C4963"/>
    <w:rPr>
      <w:rFonts w:ascii="Lucida Grande" w:eastAsiaTheme="minorHAnsi" w:hAnsi="Lucida Grande" w:cs="Lucida Grande"/>
      <w:lang w:val="en-GB"/>
    </w:rPr>
  </w:style>
  <w:style w:type="character" w:customStyle="1" w:styleId="apple-converted-space">
    <w:name w:val="apple-converted-space"/>
    <w:basedOn w:val="DefaultParagraphFont"/>
    <w:rsid w:val="00E45F17"/>
  </w:style>
  <w:style w:type="character" w:styleId="Strong">
    <w:name w:val="Strong"/>
    <w:basedOn w:val="DefaultParagraphFont"/>
    <w:uiPriority w:val="99"/>
    <w:qFormat/>
    <w:rsid w:val="005171FA"/>
    <w:rPr>
      <w:rFonts w:cs="Times New Roman"/>
      <w:b/>
    </w:rPr>
  </w:style>
  <w:style w:type="paragraph" w:styleId="Revision">
    <w:name w:val="Revision"/>
    <w:hidden/>
    <w:uiPriority w:val="99"/>
    <w:semiHidden/>
    <w:rsid w:val="00FE2F65"/>
    <w:rPr>
      <w:rFonts w:eastAsiaTheme="minorHAnsi"/>
      <w:sz w:val="22"/>
      <w:szCs w:val="22"/>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03279132">
      <w:bodyDiv w:val="1"/>
      <w:marLeft w:val="0"/>
      <w:marRight w:val="0"/>
      <w:marTop w:val="0"/>
      <w:marBottom w:val="0"/>
      <w:divBdr>
        <w:top w:val="none" w:sz="0" w:space="0" w:color="auto"/>
        <w:left w:val="none" w:sz="0" w:space="0" w:color="auto"/>
        <w:bottom w:val="none" w:sz="0" w:space="0" w:color="auto"/>
        <w:right w:val="none" w:sz="0" w:space="0" w:color="auto"/>
      </w:divBdr>
    </w:div>
    <w:div w:id="1836265707">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2.xml"/><Relationship Id="rId4" Type="http://schemas.openxmlformats.org/officeDocument/2006/relationships/styles" Target="style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3" Type="http://schemas.openxmlformats.org/officeDocument/2006/relationships/hyperlink" Target="http://jicj.oxfordjournals.org/search?author1=Chantal+Meloni&amp;sortspec=date&amp;submit=Submit" TargetMode="External"/><Relationship Id="rId2" Type="http://schemas.openxmlformats.org/officeDocument/2006/relationships/hyperlink" Target="http://jicj.oxfordjournals.org/search?author1=Stefano+Manacorda&amp;sortspec=date&amp;submit=Submit" TargetMode="External"/><Relationship Id="rId1" Type="http://schemas.openxmlformats.org/officeDocument/2006/relationships/hyperlink" Target="http://encore.eui.eu/iii/encore/record/C__Rb1541420__SGerman+Criminal+Law__Orightresult__X5?lang=eng&amp;suite=de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TURABIAN.XSL" StyleName="Turabian"/>
</file>

<file path=customXml/item2.xml><?xml version="1.0" encoding="utf-8"?>
<b:Sources xmlns:b="http://schemas.openxmlformats.org/officeDocument/2006/bibliography" xmlns="http://schemas.openxmlformats.org/officeDocument/2006/bibliography" SelectedStyle="/TURABIAN.XSL" StyleName="Turabian"/>
</file>

<file path=customXml/itemProps1.xml><?xml version="1.0" encoding="utf-8"?>
<ds:datastoreItem xmlns:ds="http://schemas.openxmlformats.org/officeDocument/2006/customXml" ds:itemID="{2170C4E5-D35B-7945-997F-78FCC0F9A0E0}">
  <ds:schemaRefs>
    <ds:schemaRef ds:uri="http://schemas.openxmlformats.org/officeDocument/2006/bibliography"/>
  </ds:schemaRefs>
</ds:datastoreItem>
</file>

<file path=customXml/itemProps2.xml><?xml version="1.0" encoding="utf-8"?>
<ds:datastoreItem xmlns:ds="http://schemas.openxmlformats.org/officeDocument/2006/customXml" ds:itemID="{39DE6B99-E84E-F244-81E8-8181C0D1B0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23</Pages>
  <Words>10881</Words>
  <Characters>62026</Characters>
  <Application>Microsoft Office Word</Application>
  <DocSecurity>0</DocSecurity>
  <Lines>516</Lines>
  <Paragraphs>145</Paragraphs>
  <ScaleCrop>false</ScaleCrop>
  <HeadingPairs>
    <vt:vector size="2" baseType="variant">
      <vt:variant>
        <vt:lpstr>Title</vt:lpstr>
      </vt:variant>
      <vt:variant>
        <vt:i4>1</vt:i4>
      </vt:variant>
    </vt:vector>
  </HeadingPairs>
  <TitlesOfParts>
    <vt:vector size="1" baseType="lpstr">
      <vt:lpstr/>
    </vt:vector>
  </TitlesOfParts>
  <Company>Koninklijke Brill N.V.</Company>
  <LinksUpToDate>false</LinksUpToDate>
  <CharactersWithSpaces>72762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Marina Aksenova</dc:creator>
  <cp:lastModifiedBy>Marina Aksenova</cp:lastModifiedBy>
  <cp:revision>2</cp:revision>
  <cp:lastPrinted>2015-01-03T23:47:00Z</cp:lastPrinted>
  <dcterms:created xsi:type="dcterms:W3CDTF">2026-02-19T12:00:00Z</dcterms:created>
  <dcterms:modified xsi:type="dcterms:W3CDTF">2026-02-19T12:00:00Z</dcterms:modified>
</cp:coreProperties>
</file>