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FCF355" w14:textId="58AA0542" w:rsidR="000D4ACA" w:rsidRDefault="003F1AA4" w:rsidP="00AD488A">
      <w:pPr>
        <w:pStyle w:val="Heading1"/>
        <w:rPr>
          <w:lang w:val="en-US"/>
        </w:rPr>
      </w:pPr>
      <w:r w:rsidRPr="00101A2A">
        <w:rPr>
          <w:lang w:val="en-US"/>
        </w:rPr>
        <w:t>How regulations and consumers’ perceptions moderate the impact of Airbnb on real estate prices</w:t>
      </w:r>
    </w:p>
    <w:p w14:paraId="662A2C2A" w14:textId="77777777" w:rsidR="008C22F4" w:rsidRDefault="008C22F4" w:rsidP="008C22F4"/>
    <w:p w14:paraId="762D84ED" w14:textId="77777777" w:rsidR="008C22F4" w:rsidRDefault="008C22F4" w:rsidP="008C22F4"/>
    <w:p w14:paraId="0B53A3D5" w14:textId="6DD89A6B" w:rsidR="008C22F4" w:rsidRPr="00351C42" w:rsidRDefault="008C22F4" w:rsidP="008C22F4">
      <w:pPr>
        <w:jc w:val="center"/>
        <w:rPr>
          <w:b/>
          <w:bCs/>
        </w:rPr>
      </w:pPr>
      <w:r w:rsidRPr="00351C42">
        <w:rPr>
          <w:b/>
          <w:bCs/>
        </w:rPr>
        <w:t>Katia Meggiorin</w:t>
      </w:r>
    </w:p>
    <w:p w14:paraId="532AB445" w14:textId="0E3B2B5A" w:rsidR="008C22F4" w:rsidRDefault="008C22F4" w:rsidP="00340B63">
      <w:pPr>
        <w:spacing w:line="240" w:lineRule="auto"/>
        <w:jc w:val="center"/>
      </w:pPr>
      <w:r>
        <w:t>Stevens Institute of Technology</w:t>
      </w:r>
    </w:p>
    <w:p w14:paraId="6BC985A4" w14:textId="77777777" w:rsidR="00351C42" w:rsidRDefault="00351C42" w:rsidP="00340B63">
      <w:pPr>
        <w:spacing w:line="240" w:lineRule="auto"/>
        <w:jc w:val="center"/>
      </w:pPr>
      <w:r w:rsidRPr="00351C42">
        <w:t xml:space="preserve">1 Castle Point Terrace, </w:t>
      </w:r>
    </w:p>
    <w:p w14:paraId="471B7A75" w14:textId="2D18CC81" w:rsidR="008C22F4" w:rsidRDefault="00351C42" w:rsidP="00340B63">
      <w:pPr>
        <w:spacing w:line="240" w:lineRule="auto"/>
        <w:jc w:val="center"/>
      </w:pPr>
      <w:r w:rsidRPr="00351C42">
        <w:t>Hoboken, NJ</w:t>
      </w:r>
      <w:r>
        <w:t>,</w:t>
      </w:r>
      <w:r w:rsidRPr="00351C42">
        <w:t xml:space="preserve"> 07030</w:t>
      </w:r>
    </w:p>
    <w:p w14:paraId="2764B134" w14:textId="35012E39" w:rsidR="00351C42" w:rsidRDefault="00351C42" w:rsidP="00340B63">
      <w:pPr>
        <w:spacing w:line="240" w:lineRule="auto"/>
        <w:jc w:val="center"/>
      </w:pPr>
      <w:r>
        <w:t>United States</w:t>
      </w:r>
    </w:p>
    <w:p w14:paraId="765D63F6" w14:textId="55657DF6" w:rsidR="00351C42" w:rsidRDefault="00351C42" w:rsidP="00340B63">
      <w:pPr>
        <w:spacing w:line="240" w:lineRule="auto"/>
        <w:jc w:val="center"/>
      </w:pPr>
      <w:r>
        <w:t xml:space="preserve">Tel.: </w:t>
      </w:r>
      <w:r w:rsidRPr="00351C42">
        <w:t>(201) 216-5000</w:t>
      </w:r>
    </w:p>
    <w:p w14:paraId="4B887F95" w14:textId="75B11692" w:rsidR="008C22F4" w:rsidRDefault="00351C42" w:rsidP="00340B63">
      <w:pPr>
        <w:spacing w:line="240" w:lineRule="auto"/>
        <w:jc w:val="center"/>
      </w:pPr>
      <w:r>
        <w:t xml:space="preserve">e-mail: </w:t>
      </w:r>
      <w:r w:rsidR="008C22F4" w:rsidRPr="00351C42">
        <w:t>kmeggior@stevens.edu</w:t>
      </w:r>
    </w:p>
    <w:p w14:paraId="1D4E106B" w14:textId="77777777" w:rsidR="008C22F4" w:rsidRDefault="008C22F4" w:rsidP="00966015">
      <w:pPr>
        <w:ind w:firstLine="0"/>
      </w:pPr>
    </w:p>
    <w:p w14:paraId="3352B29F" w14:textId="77777777" w:rsidR="00102D01" w:rsidRDefault="00102D01" w:rsidP="00966015">
      <w:pPr>
        <w:ind w:firstLine="0"/>
      </w:pPr>
    </w:p>
    <w:p w14:paraId="4C8D0401" w14:textId="2FF91B8E" w:rsidR="008C22F4" w:rsidRPr="00351C42" w:rsidRDefault="008C22F4" w:rsidP="008C22F4">
      <w:pPr>
        <w:jc w:val="center"/>
        <w:rPr>
          <w:b/>
          <w:bCs/>
        </w:rPr>
      </w:pPr>
      <w:r w:rsidRPr="00351C42">
        <w:rPr>
          <w:b/>
          <w:bCs/>
        </w:rPr>
        <w:t>Caterina Moschieri</w:t>
      </w:r>
    </w:p>
    <w:p w14:paraId="4F7F36F3" w14:textId="69E68D3E" w:rsidR="008C22F4" w:rsidRDefault="008C22F4" w:rsidP="00340B63">
      <w:pPr>
        <w:spacing w:line="240" w:lineRule="auto"/>
        <w:jc w:val="center"/>
      </w:pPr>
      <w:r>
        <w:t>IE University</w:t>
      </w:r>
    </w:p>
    <w:p w14:paraId="3EF54EA9" w14:textId="77777777" w:rsidR="00351C42" w:rsidRDefault="00351C42" w:rsidP="00340B63">
      <w:pPr>
        <w:spacing w:line="240" w:lineRule="auto"/>
        <w:jc w:val="center"/>
      </w:pPr>
      <w:r w:rsidRPr="00351C42">
        <w:t xml:space="preserve">C. Cardenal </w:t>
      </w:r>
      <w:proofErr w:type="spellStart"/>
      <w:r w:rsidRPr="00351C42">
        <w:t>Zúñiga</w:t>
      </w:r>
      <w:proofErr w:type="spellEnd"/>
      <w:r w:rsidRPr="00351C42">
        <w:t>, 12,</w:t>
      </w:r>
      <w:r>
        <w:t xml:space="preserve"> </w:t>
      </w:r>
    </w:p>
    <w:p w14:paraId="34BBE483" w14:textId="77777777" w:rsidR="00351C42" w:rsidRDefault="00351C42" w:rsidP="00340B63">
      <w:pPr>
        <w:spacing w:line="240" w:lineRule="auto"/>
        <w:jc w:val="center"/>
      </w:pPr>
      <w:r w:rsidRPr="00351C42">
        <w:t>Segovia,</w:t>
      </w:r>
      <w:r>
        <w:t xml:space="preserve"> </w:t>
      </w:r>
      <w:r w:rsidRPr="00351C42">
        <w:t xml:space="preserve">40003 </w:t>
      </w:r>
    </w:p>
    <w:p w14:paraId="2F28FEDB" w14:textId="794059A4" w:rsidR="00351C42" w:rsidRDefault="00351C42" w:rsidP="00340B63">
      <w:pPr>
        <w:spacing w:line="240" w:lineRule="auto"/>
        <w:jc w:val="center"/>
      </w:pPr>
      <w:r w:rsidRPr="00351C42">
        <w:t>Spain</w:t>
      </w:r>
    </w:p>
    <w:p w14:paraId="43ED526D" w14:textId="543F46F4" w:rsidR="008C22F4" w:rsidRDefault="00340B63" w:rsidP="00340B63">
      <w:pPr>
        <w:spacing w:line="240" w:lineRule="auto"/>
        <w:jc w:val="center"/>
      </w:pPr>
      <w:r w:rsidRPr="00340B63">
        <w:t>Caterina.Moschieri@ie.edu</w:t>
      </w:r>
    </w:p>
    <w:p w14:paraId="78CD6D7E" w14:textId="77777777" w:rsidR="00340B63" w:rsidRDefault="00340B63" w:rsidP="00340B63"/>
    <w:p w14:paraId="0EFE31D2" w14:textId="77777777" w:rsidR="00102D01" w:rsidRDefault="00102D01" w:rsidP="00340B63"/>
    <w:p w14:paraId="6AEDD88A" w14:textId="77777777" w:rsidR="00340B63" w:rsidRDefault="00340B63" w:rsidP="00340B63"/>
    <w:p w14:paraId="04E9D456" w14:textId="452CDD13" w:rsidR="008C22F4" w:rsidRPr="00966015" w:rsidRDefault="00340B63" w:rsidP="00102D01">
      <w:pPr>
        <w:spacing w:line="240" w:lineRule="auto"/>
      </w:pPr>
      <w:r>
        <w:t>Acknowledgment</w:t>
      </w:r>
      <w:r w:rsidR="00B521C4">
        <w:t>s</w:t>
      </w:r>
      <w:r>
        <w:t xml:space="preserve">: </w:t>
      </w:r>
      <w:r w:rsidR="0050065A">
        <w:t xml:space="preserve">Emanuele </w:t>
      </w:r>
      <w:proofErr w:type="spellStart"/>
      <w:r w:rsidR="0050065A">
        <w:t>Bettinazzi</w:t>
      </w:r>
      <w:proofErr w:type="spellEnd"/>
      <w:r w:rsidR="0050065A">
        <w:t xml:space="preserve">, </w:t>
      </w:r>
      <w:r>
        <w:t xml:space="preserve">Gianluca </w:t>
      </w:r>
      <w:proofErr w:type="spellStart"/>
      <w:r>
        <w:t>Carnabuci</w:t>
      </w:r>
      <w:proofErr w:type="spellEnd"/>
      <w:r>
        <w:t xml:space="preserve">, Gino Cattani, Rodolphe Durand, Robert Seamans, Juan </w:t>
      </w:r>
      <w:proofErr w:type="spellStart"/>
      <w:r>
        <w:t>Santalo</w:t>
      </w:r>
      <w:proofErr w:type="spellEnd"/>
      <w:r>
        <w:t xml:space="preserve">, and Martina </w:t>
      </w:r>
      <w:proofErr w:type="spellStart"/>
      <w:r>
        <w:t>Montauti</w:t>
      </w:r>
      <w:proofErr w:type="spellEnd"/>
      <w:r>
        <w:t>. We want to acknowledge the feedback of attendees of these conferences where we presented an earlier version of this work: SMS Special Conference in Oslo (2018), the Academy of Management meeting in Chicago (2018), East Coast Doctoral Consortium in New York (2019), Medici Summer School in Paris (2019), SMS Annual Meeting in Minneapolis (2019), and Strategy Science Conference in Philadelphia (2020).</w:t>
      </w:r>
      <w:r w:rsidR="00B521C4">
        <w:t xml:space="preserve"> </w:t>
      </w:r>
      <w:r w:rsidR="00B521C4" w:rsidRPr="00B521C4">
        <w:t>Research Reported in this paper was partially funded by</w:t>
      </w:r>
      <w:r w:rsidR="00966015">
        <w:t xml:space="preserve"> </w:t>
      </w:r>
      <w:r w:rsidR="00966015" w:rsidRPr="00966015">
        <w:t>NYU Urban Doctoral Fellowship</w:t>
      </w:r>
      <w:r w:rsidR="00966015">
        <w:t xml:space="preserve"> and by</w:t>
      </w:r>
      <w:r w:rsidR="00B521C4" w:rsidRPr="00B521C4">
        <w:t xml:space="preserve"> </w:t>
      </w:r>
      <w:proofErr w:type="spellStart"/>
      <w:r w:rsidR="00B521C4" w:rsidRPr="00B521C4">
        <w:t>Agencia</w:t>
      </w:r>
      <w:proofErr w:type="spellEnd"/>
      <w:r w:rsidR="00B521C4" w:rsidRPr="00B521C4">
        <w:t xml:space="preserve"> </w:t>
      </w:r>
      <w:proofErr w:type="spellStart"/>
      <w:r w:rsidR="00B521C4" w:rsidRPr="00B521C4">
        <w:t>Estatal</w:t>
      </w:r>
      <w:proofErr w:type="spellEnd"/>
      <w:r w:rsidR="00B521C4" w:rsidRPr="00B521C4">
        <w:t xml:space="preserve"> de </w:t>
      </w:r>
      <w:proofErr w:type="spellStart"/>
      <w:r w:rsidR="00B521C4" w:rsidRPr="00B521C4">
        <w:t>Investigación</w:t>
      </w:r>
      <w:proofErr w:type="spellEnd"/>
      <w:r w:rsidR="00B521C4" w:rsidRPr="00B521C4">
        <w:t xml:space="preserve"> (AEI)-10.13039/501100011033 Grant No. PID2019-111422GB-I00</w:t>
      </w:r>
      <w:r w:rsidR="00B521C4">
        <w:t>.</w:t>
      </w:r>
    </w:p>
    <w:p w14:paraId="62601370" w14:textId="77777777" w:rsidR="00102D01" w:rsidRDefault="00102D01">
      <w:pPr>
        <w:spacing w:after="160" w:line="259" w:lineRule="auto"/>
        <w:ind w:firstLine="0"/>
        <w:rPr>
          <w:b/>
          <w:caps/>
        </w:rPr>
      </w:pPr>
      <w:r>
        <w:br w:type="page"/>
      </w:r>
    </w:p>
    <w:p w14:paraId="693751C9" w14:textId="2D42450F" w:rsidR="005F2978" w:rsidRPr="00101A2A" w:rsidRDefault="000D4ACA" w:rsidP="005B49FD">
      <w:pPr>
        <w:pStyle w:val="Heading1"/>
        <w:rPr>
          <w:lang w:val="en-US"/>
        </w:rPr>
      </w:pPr>
      <w:r w:rsidRPr="00101A2A">
        <w:rPr>
          <w:lang w:val="en-US"/>
        </w:rPr>
        <w:lastRenderedPageBreak/>
        <w:t>ABSTRACT</w:t>
      </w:r>
    </w:p>
    <w:p w14:paraId="0C56F21D" w14:textId="12391FDF" w:rsidR="005F2978" w:rsidRPr="00101A2A" w:rsidRDefault="00C12759" w:rsidP="00DE1E3E">
      <w:pPr>
        <w:rPr>
          <w:b/>
          <w:bCs/>
        </w:rPr>
      </w:pPr>
      <w:r w:rsidRPr="00101A2A">
        <w:t xml:space="preserve">The sharing economy </w:t>
      </w:r>
      <w:r w:rsidR="00490F0D" w:rsidRPr="00101A2A">
        <w:t>facilitates private transactions</w:t>
      </w:r>
      <w:r w:rsidRPr="00101A2A">
        <w:t xml:space="preserve"> among individuals</w:t>
      </w:r>
      <w:r w:rsidR="004943A9" w:rsidRPr="00101A2A">
        <w:t xml:space="preserve"> and is </w:t>
      </w:r>
      <w:r w:rsidR="00DA4B14" w:rsidRPr="00101A2A">
        <w:t xml:space="preserve">thought to </w:t>
      </w:r>
      <w:r w:rsidRPr="00101A2A">
        <w:t>increas</w:t>
      </w:r>
      <w:r w:rsidR="004943A9" w:rsidRPr="00101A2A">
        <w:t xml:space="preserve">e </w:t>
      </w:r>
      <w:r w:rsidRPr="00101A2A">
        <w:t>the demand for</w:t>
      </w:r>
      <w:r w:rsidR="00351C42">
        <w:t>,</w:t>
      </w:r>
      <w:r w:rsidRPr="00101A2A">
        <w:t xml:space="preserve"> and the price of the resources</w:t>
      </w:r>
      <w:r w:rsidR="00490F0D" w:rsidRPr="00101A2A">
        <w:t xml:space="preserve"> transacted</w:t>
      </w:r>
      <w:r w:rsidRPr="00101A2A">
        <w:t xml:space="preserve">. This study focuses on Airbnb </w:t>
      </w:r>
      <w:r w:rsidR="00514FD5" w:rsidRPr="00101A2A">
        <w:t xml:space="preserve">and real estate prices. It </w:t>
      </w:r>
      <w:r w:rsidR="008E5308" w:rsidRPr="00101A2A">
        <w:t xml:space="preserve">explores </w:t>
      </w:r>
      <w:r w:rsidRPr="00101A2A">
        <w:t xml:space="preserve">whether </w:t>
      </w:r>
      <w:r w:rsidR="00787A67" w:rsidRPr="00101A2A">
        <w:t>consumer</w:t>
      </w:r>
      <w:r w:rsidRPr="00101A2A">
        <w:t>s’ perceptions</w:t>
      </w:r>
      <w:r w:rsidR="00514FD5" w:rsidRPr="00101A2A">
        <w:t>,</w:t>
      </w:r>
      <w:r w:rsidRPr="00101A2A">
        <w:t xml:space="preserve"> </w:t>
      </w:r>
      <w:r w:rsidR="00EA40ED" w:rsidRPr="00101A2A">
        <w:t xml:space="preserve">specifically </w:t>
      </w:r>
      <w:r w:rsidRPr="00101A2A">
        <w:t xml:space="preserve">about </w:t>
      </w:r>
      <w:r w:rsidR="0039151B" w:rsidRPr="00101A2A">
        <w:t xml:space="preserve">spanner </w:t>
      </w:r>
      <w:r w:rsidR="00F44B69" w:rsidRPr="00101A2A">
        <w:t>hosts</w:t>
      </w:r>
      <w:r w:rsidR="002A150B" w:rsidRPr="00101A2A">
        <w:t>—</w:t>
      </w:r>
      <w:r w:rsidR="0039151B" w:rsidRPr="00101A2A">
        <w:t>firms</w:t>
      </w:r>
      <w:r w:rsidRPr="00101A2A">
        <w:t xml:space="preserve"> </w:t>
      </w:r>
      <w:r w:rsidR="002A150B" w:rsidRPr="00101A2A">
        <w:t xml:space="preserve">that </w:t>
      </w:r>
      <w:r w:rsidR="009F6CDF" w:rsidRPr="00101A2A">
        <w:t xml:space="preserve">shift properties </w:t>
      </w:r>
      <w:r w:rsidR="00EA40ED" w:rsidRPr="00101A2A">
        <w:t xml:space="preserve">from the long-term </w:t>
      </w:r>
      <w:r w:rsidR="00C10FE8" w:rsidRPr="00101A2A">
        <w:t xml:space="preserve">rental </w:t>
      </w:r>
      <w:r w:rsidR="00EA40ED" w:rsidRPr="00101A2A">
        <w:t>market</w:t>
      </w:r>
      <w:r w:rsidRPr="00101A2A">
        <w:t xml:space="preserve"> </w:t>
      </w:r>
      <w:r w:rsidR="004943A9" w:rsidRPr="00101A2A">
        <w:t>o</w:t>
      </w:r>
      <w:r w:rsidRPr="00101A2A">
        <w:t>n</w:t>
      </w:r>
      <w:r w:rsidR="007569DD" w:rsidRPr="00101A2A">
        <w:t>to</w:t>
      </w:r>
      <w:r w:rsidRPr="00101A2A">
        <w:t xml:space="preserve"> </w:t>
      </w:r>
      <w:r w:rsidR="0015772B" w:rsidRPr="00101A2A">
        <w:t>Airbnb</w:t>
      </w:r>
      <w:r w:rsidR="00DA4B14" w:rsidRPr="00101A2A">
        <w:t>, spanning the two markets</w:t>
      </w:r>
      <w:r w:rsidR="002A150B" w:rsidRPr="00101A2A">
        <w:t>—</w:t>
      </w:r>
      <w:r w:rsidR="004A5A14">
        <w:t>contribute to the</w:t>
      </w:r>
      <w:r w:rsidR="003B7D29" w:rsidRPr="00101A2A">
        <w:t xml:space="preserve"> increase of real estate prices attributable to the sharing economy</w:t>
      </w:r>
      <w:r w:rsidRPr="00101A2A">
        <w:t xml:space="preserve">. </w:t>
      </w:r>
      <w:r w:rsidR="00685516" w:rsidRPr="00101A2A">
        <w:t>Using longitudinal data of Airbnb hosts in 10 major U</w:t>
      </w:r>
      <w:r w:rsidR="002A150B" w:rsidRPr="00101A2A">
        <w:t>.</w:t>
      </w:r>
      <w:r w:rsidR="00685516" w:rsidRPr="00101A2A">
        <w:t>S</w:t>
      </w:r>
      <w:r w:rsidR="002A150B" w:rsidRPr="00101A2A">
        <w:t>.</w:t>
      </w:r>
      <w:r w:rsidR="00685516" w:rsidRPr="00101A2A">
        <w:t xml:space="preserve"> cities</w:t>
      </w:r>
      <w:r w:rsidR="0039151B" w:rsidRPr="00101A2A">
        <w:t xml:space="preserve"> over seven years</w:t>
      </w:r>
      <w:r w:rsidR="00685516" w:rsidRPr="00101A2A">
        <w:t xml:space="preserve">, </w:t>
      </w:r>
      <w:r w:rsidR="004943A9" w:rsidRPr="00101A2A">
        <w:t>we</w:t>
      </w:r>
      <w:r w:rsidR="00685516" w:rsidRPr="00101A2A">
        <w:t xml:space="preserve"> </w:t>
      </w:r>
      <w:r w:rsidR="00FE2577" w:rsidRPr="00101A2A">
        <w:t xml:space="preserve">discover </w:t>
      </w:r>
      <w:r w:rsidR="00685516" w:rsidRPr="00101A2A">
        <w:t xml:space="preserve">that </w:t>
      </w:r>
      <w:r w:rsidR="007E0A5E">
        <w:t>spanning</w:t>
      </w:r>
      <w:r w:rsidR="00010BC8" w:rsidRPr="00101A2A">
        <w:t xml:space="preserve"> firms (and not individuals</w:t>
      </w:r>
      <w:r w:rsidR="00514BE4" w:rsidRPr="00101A2A">
        <w:t xml:space="preserve"> listing only one property</w:t>
      </w:r>
      <w:r w:rsidR="00010BC8" w:rsidRPr="00101A2A">
        <w:t>)</w:t>
      </w:r>
      <w:r w:rsidR="004943A9" w:rsidRPr="00101A2A">
        <w:t xml:space="preserve"> are responsible for the price increase of real estate properties</w:t>
      </w:r>
      <w:r w:rsidR="0015772B" w:rsidRPr="00101A2A">
        <w:t xml:space="preserve">. We also find </w:t>
      </w:r>
      <w:r w:rsidR="004943A9" w:rsidRPr="00101A2A">
        <w:t xml:space="preserve">that </w:t>
      </w:r>
      <w:r w:rsidR="00377A6A" w:rsidRPr="00101A2A">
        <w:t xml:space="preserve">this increase can be weakened by </w:t>
      </w:r>
      <w:r w:rsidR="004943A9" w:rsidRPr="00101A2A">
        <w:t xml:space="preserve">changes in consumers’ perceptions and the regulation </w:t>
      </w:r>
      <w:r w:rsidR="002A150B" w:rsidRPr="00101A2A">
        <w:t>of</w:t>
      </w:r>
      <w:r w:rsidR="004943A9" w:rsidRPr="00101A2A">
        <w:t xml:space="preserve"> the sharing economy</w:t>
      </w:r>
      <w:r w:rsidR="00010BC8" w:rsidRPr="00101A2A">
        <w:t>—</w:t>
      </w:r>
      <w:r w:rsidR="008C1458" w:rsidRPr="00101A2A">
        <w:t xml:space="preserve">that </w:t>
      </w:r>
      <w:r w:rsidR="004943A9" w:rsidRPr="00101A2A">
        <w:t>separat</w:t>
      </w:r>
      <w:r w:rsidR="008C1458" w:rsidRPr="00101A2A">
        <w:t>e</w:t>
      </w:r>
      <w:r w:rsidR="004943A9" w:rsidRPr="00101A2A">
        <w:t xml:space="preserve"> </w:t>
      </w:r>
      <w:r w:rsidR="008C567D" w:rsidRPr="00101A2A">
        <w:t>the spanner host category</w:t>
      </w:r>
      <w:r w:rsidR="00377A6A" w:rsidRPr="00101A2A">
        <w:t xml:space="preserve"> </w:t>
      </w:r>
      <w:r w:rsidR="004943A9" w:rsidRPr="00101A2A">
        <w:t xml:space="preserve">from other categories in the industry (e.g., </w:t>
      </w:r>
      <w:r w:rsidR="008C567D" w:rsidRPr="00101A2A">
        <w:t>individuals listing only one property</w:t>
      </w:r>
      <w:r w:rsidR="004943A9" w:rsidRPr="00101A2A">
        <w:t xml:space="preserve">). </w:t>
      </w:r>
      <w:r w:rsidR="0015772B" w:rsidRPr="00101A2A">
        <w:t>Finally, w</w:t>
      </w:r>
      <w:r w:rsidR="004943A9" w:rsidRPr="00101A2A">
        <w:t xml:space="preserve">e </w:t>
      </w:r>
      <w:r w:rsidR="00FE2577" w:rsidRPr="00101A2A">
        <w:t xml:space="preserve">find </w:t>
      </w:r>
      <w:r w:rsidR="004943A9" w:rsidRPr="00101A2A">
        <w:t>that</w:t>
      </w:r>
      <w:r w:rsidR="001F36FC" w:rsidRPr="00101A2A">
        <w:t xml:space="preserve"> the </w:t>
      </w:r>
      <w:r w:rsidR="00224CCC" w:rsidRPr="00101A2A">
        <w:t xml:space="preserve">moderating effect of regulations is </w:t>
      </w:r>
      <w:r w:rsidR="00B26C47" w:rsidRPr="00101A2A">
        <w:t>associated with</w:t>
      </w:r>
      <w:r w:rsidR="00224CCC" w:rsidRPr="00101A2A">
        <w:t xml:space="preserve"> change</w:t>
      </w:r>
      <w:r w:rsidR="0039151B" w:rsidRPr="00101A2A">
        <w:t>s</w:t>
      </w:r>
      <w:r w:rsidR="00224CCC" w:rsidRPr="00101A2A">
        <w:t xml:space="preserve"> in consumers</w:t>
      </w:r>
      <w:r w:rsidR="002A150B" w:rsidRPr="00101A2A">
        <w:t>’</w:t>
      </w:r>
      <w:r w:rsidR="00224CCC" w:rsidRPr="00101A2A">
        <w:t xml:space="preserve"> perceptions of the typical sharing economy host</w:t>
      </w:r>
      <w:r w:rsidR="00A425F4">
        <w:t xml:space="preserve"> when the </w:t>
      </w:r>
      <w:r w:rsidR="00B4247F">
        <w:t>regulation change is discussed,</w:t>
      </w:r>
      <w:r w:rsidR="00224CCC" w:rsidRPr="00101A2A">
        <w:t xml:space="preserve"> </w:t>
      </w:r>
      <w:r w:rsidR="00447175">
        <w:t>not</w:t>
      </w:r>
      <w:r w:rsidR="00A425F4">
        <w:t xml:space="preserve"> with</w:t>
      </w:r>
      <w:r w:rsidR="00B26C47" w:rsidRPr="00101A2A">
        <w:t xml:space="preserve"> </w:t>
      </w:r>
      <w:r w:rsidR="00A72A49" w:rsidRPr="00101A2A">
        <w:t>regulation</w:t>
      </w:r>
      <w:r w:rsidR="00224CCC" w:rsidRPr="00101A2A">
        <w:t xml:space="preserve"> enforcement. </w:t>
      </w:r>
      <w:r w:rsidR="00B26C47" w:rsidRPr="00101A2A">
        <w:t>T</w:t>
      </w:r>
      <w:r w:rsidR="00224CCC" w:rsidRPr="00101A2A">
        <w:t>he more consumers become aware of spanners</w:t>
      </w:r>
      <w:r w:rsidR="0060480F" w:rsidRPr="00101A2A">
        <w:t xml:space="preserve"> </w:t>
      </w:r>
      <w:r w:rsidR="006F788D" w:rsidRPr="00101A2A">
        <w:t>on Airbnb</w:t>
      </w:r>
      <w:r w:rsidR="00224CCC" w:rsidRPr="00101A2A">
        <w:t xml:space="preserve">, the </w:t>
      </w:r>
      <w:r w:rsidR="00DA4B14" w:rsidRPr="00101A2A">
        <w:t xml:space="preserve">less those </w:t>
      </w:r>
      <w:r w:rsidR="00224CCC" w:rsidRPr="00101A2A">
        <w:t xml:space="preserve">spanners </w:t>
      </w:r>
      <w:r w:rsidR="00DA4B14" w:rsidRPr="00101A2A">
        <w:t>affect the</w:t>
      </w:r>
      <w:r w:rsidR="00224CCC" w:rsidRPr="00101A2A">
        <w:t xml:space="preserve"> </w:t>
      </w:r>
      <w:r w:rsidR="00A41C4B">
        <w:t xml:space="preserve">real estate </w:t>
      </w:r>
      <w:r w:rsidR="00224CCC" w:rsidRPr="00101A2A">
        <w:t>price</w:t>
      </w:r>
      <w:r w:rsidR="00A41C4B">
        <w:t>s</w:t>
      </w:r>
      <w:r w:rsidR="0039151B" w:rsidRPr="00101A2A">
        <w:t>, even before the law is enforced</w:t>
      </w:r>
      <w:r w:rsidR="00224CCC" w:rsidRPr="00101A2A">
        <w:t>.</w:t>
      </w:r>
    </w:p>
    <w:p w14:paraId="117F91A0" w14:textId="77777777" w:rsidR="000F577D" w:rsidRPr="00101A2A" w:rsidRDefault="000F577D" w:rsidP="00CF04AA"/>
    <w:p w14:paraId="0645F5FF" w14:textId="1AFEA8AE" w:rsidR="000F577D" w:rsidRPr="00101A2A" w:rsidRDefault="000F577D" w:rsidP="00E57C71">
      <w:pPr>
        <w:ind w:firstLine="0"/>
      </w:pPr>
      <w:r w:rsidRPr="00101A2A">
        <w:rPr>
          <w:b/>
          <w:bCs/>
          <w:caps/>
        </w:rPr>
        <w:t>Keywords</w:t>
      </w:r>
      <w:r w:rsidRPr="00101A2A">
        <w:rPr>
          <w:caps/>
        </w:rPr>
        <w:t>:</w:t>
      </w:r>
      <w:r w:rsidRPr="00101A2A">
        <w:t xml:space="preserve"> </w:t>
      </w:r>
      <w:r w:rsidR="005E3325" w:rsidRPr="00101A2A">
        <w:t>Airbnb, categories, real estate</w:t>
      </w:r>
      <w:r w:rsidR="005E3325">
        <w:t xml:space="preserve">, regulation, </w:t>
      </w:r>
      <w:r w:rsidR="005E3325" w:rsidRPr="00101A2A">
        <w:t>platforms</w:t>
      </w:r>
      <w:r w:rsidRPr="00101A2A">
        <w:t>.</w:t>
      </w:r>
    </w:p>
    <w:p w14:paraId="0772B487" w14:textId="77777777" w:rsidR="0039241E" w:rsidRPr="00101A2A" w:rsidRDefault="0039241E">
      <w:pPr>
        <w:spacing w:after="160" w:line="259" w:lineRule="auto"/>
        <w:ind w:firstLine="0"/>
        <w:rPr>
          <w:b/>
          <w:caps/>
        </w:rPr>
      </w:pPr>
      <w:r w:rsidRPr="00101A2A">
        <w:br w:type="page"/>
      </w:r>
    </w:p>
    <w:p w14:paraId="51177A17" w14:textId="5FA06E22" w:rsidR="00A41C4B" w:rsidRPr="0005709D" w:rsidRDefault="0005709D" w:rsidP="0005709D">
      <w:pPr>
        <w:pStyle w:val="Heading1"/>
        <w:rPr>
          <w:lang w:val="en-US"/>
        </w:rPr>
      </w:pPr>
      <w:r>
        <w:rPr>
          <w:lang w:val="en-US"/>
        </w:rPr>
        <w:lastRenderedPageBreak/>
        <w:t>INTRODUCTION</w:t>
      </w:r>
    </w:p>
    <w:p w14:paraId="5047113A" w14:textId="46024F15" w:rsidR="005C5FFD" w:rsidRPr="00101A2A" w:rsidRDefault="00287429" w:rsidP="0005709D">
      <w:r w:rsidRPr="00101A2A">
        <w:t>The sharing economy is increasingly attracting the interest of policymakers</w:t>
      </w:r>
      <w:r w:rsidR="00F420F7" w:rsidRPr="00101A2A">
        <w:t>, managers,</w:t>
      </w:r>
      <w:r w:rsidRPr="00101A2A">
        <w:t xml:space="preserve"> and </w:t>
      </w:r>
      <w:r w:rsidR="00943024" w:rsidRPr="00101A2A">
        <w:t xml:space="preserve">management </w:t>
      </w:r>
      <w:r w:rsidRPr="00101A2A">
        <w:t>scholars alike</w:t>
      </w:r>
      <w:r w:rsidR="00D819FF" w:rsidRPr="00101A2A">
        <w:t xml:space="preserve"> </w:t>
      </w:r>
      <w:r w:rsidR="00D945B4" w:rsidRPr="00101A2A">
        <w:fldChar w:fldCharType="begin" w:fldLock="1"/>
      </w:r>
      <w:r w:rsidR="00920500">
        <w:instrText>ADDIN CSL_CITATION {"citationItems":[{"id":"ITEM-1","itemData":{"DOI":"10.5465/amd.2016.0161","abstract":"Based on a qualitative interview study and on a quantitative survey among users of the room-sharing platform Airbnb, we show that situational closeness between sharing economy consumers and providers may prompt instances of interpersonal contamination which in turn negatively impact reviewer behavior and intention to engage in room sharing in the future. However, we also show that authenticity plays a significant alleviating role in shaping such closeness perceptions. Users whose sense of authenticity is evoked in their sharing experiences are significantly less bothered by negative instances of interpersonal closeness and are thus more liable to use sharing services. Our results point to the integral nature of both authenticity and the invocation of notions ofauthenticity for sharing business models who are reliant, by their very nature, on alleviating the imperfections of amateur production.","author":[{"dropping-particle":"","family":"Bucher","given":"Eliane","non-dropping-particle":"","parse-names":false,"suffix":""},{"dropping-particle":"","family":"Fieseler","given":"Christian","non-dropping-particle":"","parse-names":false,"suffix":""},{"dropping-particle":"","family":"Fleck","given":"Matthes","non-dropping-particle":"","parse-names":false,"suffix":""},{"dropping-particle":"","family":"Lutz","given":"Christoph","non-dropping-particle":"","parse-names":false,"suffix":""}],"container-title":"Academy of Management Discoveries","id":"ITEM-1","issue":"3","issued":{"date-parts":[["2018"]]},"page":"294-313","title":"Authenticity and the Sharing Economy","type":"article-journal","volume":"4"},"uris":["http://www.mendeley.com/documents/?uuid=62afe73d-8b02-4ca9-9a61-b37d3b29e1be"]},{"id":"ITEM-2","itemData":{"DOI":"10.5465/amd.2020.0091","abstract":"Industry platforms have become an increasingly popular topic. Scholars in fields ranging from economics and strategy to operations management, marketing, law, and computer science all are contributing to the growing body of research. Several previously separate streams in the strategy field seem to be converging around platform dynamics, business models, and ecosystems. The topic also has attracted considerable attention in the media at least in part because the most valuable companies and the first trillion-dollar businesses are built around industry platforms-Apple, Microsoft, Alphabet-Google, Amazon, Facebook, Tencent, and Alibaba. At the same time, dominant platforms have come under increasing scrutiny for their accumulation of market power as well as abuses or misuses of that power. What specifically are platform businesses and how did they become a focus of such broad and intense inquiry? What gaps remain in the research? These questions are the subject of this essay. Abstract Industry platforms have become an increasingly popular topic. Scholars in fields ranging from","author":[{"dropping-particle":"","family":"Cusumano","given":"Michael A.","non-dropping-particle":"","parse-names":false,"suffix":""}],"container-title":"Academy of Management Discoveries","id":"ITEM-2","issue":"1","issued":{"date-parts":[["2022"]]},"page":"7-14","title":"The Evolution of Research on Industry Platforms","type":"article-journal","volume":"8"},"uris":["http://www.mendeley.com/documents/?uuid=09288599-434b-483f-b8e6-d623e7a313d2"]},{"id":"ITEM-3","itemData":{"author":[{"dropping-particle":"","family":"Laamanen","given":"Tomi","non-dropping-particle":"","parse-names":false,"suffix":""},{"dropping-particle":"","family":"Pfeffer","given":"Jeffrey","non-dropping-particle":"","parse-names":false,"suffix":""},{"dropping-particle":"","family":"Rong","given":"Ke","non-dropping-particle":"","parse-names":false,"suffix":""},{"dropping-particle":"","family":"Ven","given":"Andrew","non-dropping-particle":"Van de","parse-names":false,"suffix":""}],"container-title":"Academy of Management Discoveries","id":"ITEM-3","issue":"3","issued":{"date-parts":[["2018"]]},"page":"213-219","title":"Business Models , Ecosystems , and Society in the Sharing Economy","type":"article-journal","volume":"4"},"uris":["http://www.mendeley.com/documents/?uuid=c74bb75f-9574-4790-b1e7-6d4518167e7b"]},{"id":"ITEM-4","itemData":{"DOI":"10.5465/amd.2016.0153","author":[{"dropping-particle":"","family":"Uzunca","given":"Bilgehan","non-dropping-particle":"","parse-names":false,"suffix":""},{"dropping-particle":"","family":"Rigtering","given":"J.P. Coen","non-dropping-particle":"","parse-names":false,"suffix":""},{"dropping-particle":"","family":"Ozcan","given":"Pinar","non-dropping-particle":"","parse-names":false,"suffix":""}],"container-title":"Academy of Management Discoveries","id":"ITEM-4","issue":"3","issued":{"date-parts":[["2018"]]},"note":"Discussion is called &amp;quot;theoretical contributions&amp;quot;. It may be because it is a qualitative satudy. Anyway, long discussion, that discusses controibutions to open questions of the beginning.\n\ncite for:\nstudy on airbnb and its institutional environment","page":"248-272","title":"Sharing and Shaping: A cross-country comparison of how sharing economy firms shape their institutional environment to gain legitimacy","type":"article-journal","volume":"4"},"uris":["http://www.mendeley.com/documents/?uuid=7e7040b2-d2c2-4e17-99bb-e2620b7be82a"]},{"id":"ITEM-5","itemData":{"author":[{"dropping-particle":"","family":"Vaskelainen","given":"Taneli","non-dropping-particle":"","parse-names":false,"suffix":""},{"dropping-particle":"","family":"Munzel","given":"Karla","non-dropping-particle":"","parse-names":false,"suffix":""}],"container-title":"Academy of Management Discoveries","id":"ITEM-5","issue":"3","issued":{"date-parts":[["2018"]]},"note":"cite for definition of SE\n\nLong dis cussion:\nresults intertwined with literature to show that they are counterintuitive, hence proposing future RQs\n\ncite for:\ndifferent providers in the sharing economy use different insittutional logics, therefore different business models.","page":"273-293","title":"The effect of institutional logics on business model development in the sharing economy: The case of German carsharing services","type":"article-journal","volume":"4"},"uris":["http://www.mendeley.com/documents/?uuid=7b65851b-d884-4557-a9a0-fb4c6fb620c8"]}],"mendeley":{"formattedCitation":"(Bucher, Fieseler, Fleck, &amp; Lutz, 2018; Cusumano, 2022; Laamanen, Pfeffer, Rong, &amp; Van de Ven, 2018; Uzunca, Rigtering, &amp; Ozcan, 2018; Vaskelainen &amp; Munzel, 2018)","manualFormatting":"(Bucher, Fieseler, Fleck, &amp; Lutz, 2018; Cusumano, 2022; Laamanen, Pfeffer, Rong, &amp; Van de Ven, 2018; Uzunca, Rigtering, &amp; Ozcan, 2018; Vaskelainen &amp; Munzel, 2018)","plainTextFormattedCitation":"(Bucher, Fieseler, Fleck, &amp; Lutz, 2018; Cusumano, 2022; Laamanen, Pfeffer, Rong, &amp; Van de Ven, 2018; Uzunca, Rigtering, &amp; Ozcan, 2018; Vaskelainen &amp; Munzel, 2018)","previouslyFormattedCitation":"(Bucher, Fieseler, Fleck, &amp; Lutz, 2018; Cusumano, 2022; Laamanen, Pfeffer, Rong, &amp; Van de Ven, 2018; Uzunca, Rigtering, &amp; Ozcan, 2018; Vaskelainen &amp; Munzel, 2018)"},"properties":{"noteIndex":0},"schema":"https://github.com/citation-style-language/schema/raw/master/csl-citation.json"}</w:instrText>
      </w:r>
      <w:r w:rsidR="00D945B4" w:rsidRPr="00101A2A">
        <w:fldChar w:fldCharType="separate"/>
      </w:r>
      <w:r w:rsidR="00056834" w:rsidRPr="001D04B8">
        <w:rPr>
          <w:noProof/>
          <w:lang w:val="es-ES"/>
        </w:rPr>
        <w:t>(Bucher</w:t>
      </w:r>
      <w:r w:rsidR="0039241E" w:rsidRPr="001D04B8">
        <w:rPr>
          <w:noProof/>
          <w:lang w:val="es-ES"/>
        </w:rPr>
        <w:t>, Fieseler, Fleck, &amp; Lutz,</w:t>
      </w:r>
      <w:r w:rsidR="00056834" w:rsidRPr="001D04B8">
        <w:rPr>
          <w:noProof/>
          <w:lang w:val="es-ES"/>
        </w:rPr>
        <w:t xml:space="preserve"> 2018</w:t>
      </w:r>
      <w:r w:rsidR="0039241E" w:rsidRPr="001D04B8">
        <w:rPr>
          <w:noProof/>
          <w:lang w:val="es-ES"/>
        </w:rPr>
        <w:t>;</w:t>
      </w:r>
      <w:r w:rsidR="00056834" w:rsidRPr="001D04B8">
        <w:rPr>
          <w:noProof/>
          <w:lang w:val="es-ES"/>
        </w:rPr>
        <w:t xml:space="preserve"> Cusumano</w:t>
      </w:r>
      <w:r w:rsidR="0039241E" w:rsidRPr="001D04B8">
        <w:rPr>
          <w:noProof/>
          <w:lang w:val="es-ES"/>
        </w:rPr>
        <w:t>,</w:t>
      </w:r>
      <w:r w:rsidR="00056834" w:rsidRPr="001D04B8">
        <w:rPr>
          <w:noProof/>
          <w:lang w:val="es-ES"/>
        </w:rPr>
        <w:t xml:space="preserve"> 2022</w:t>
      </w:r>
      <w:r w:rsidR="0039241E" w:rsidRPr="001D04B8">
        <w:rPr>
          <w:noProof/>
          <w:lang w:val="es-ES"/>
        </w:rPr>
        <w:t>;</w:t>
      </w:r>
      <w:r w:rsidR="00056834" w:rsidRPr="001D04B8">
        <w:rPr>
          <w:noProof/>
          <w:lang w:val="es-ES"/>
        </w:rPr>
        <w:t xml:space="preserve"> Laamanen</w:t>
      </w:r>
      <w:r w:rsidR="0039241E" w:rsidRPr="001D04B8">
        <w:rPr>
          <w:noProof/>
          <w:lang w:val="es-ES"/>
        </w:rPr>
        <w:t>, Pfeffer, Rong, &amp; Van de Ven,</w:t>
      </w:r>
      <w:r w:rsidR="00056834" w:rsidRPr="001D04B8">
        <w:rPr>
          <w:noProof/>
          <w:lang w:val="es-ES"/>
        </w:rPr>
        <w:t xml:space="preserve"> 2018</w:t>
      </w:r>
      <w:r w:rsidR="0039241E" w:rsidRPr="001D04B8">
        <w:rPr>
          <w:noProof/>
          <w:lang w:val="es-ES"/>
        </w:rPr>
        <w:t>;</w:t>
      </w:r>
      <w:r w:rsidR="00056834" w:rsidRPr="001D04B8">
        <w:rPr>
          <w:noProof/>
          <w:lang w:val="es-ES"/>
        </w:rPr>
        <w:t xml:space="preserve"> Uzunca</w:t>
      </w:r>
      <w:r w:rsidR="0039241E" w:rsidRPr="001D04B8">
        <w:rPr>
          <w:noProof/>
          <w:lang w:val="es-ES"/>
        </w:rPr>
        <w:t>, Rigtering, &amp; Ozcan,</w:t>
      </w:r>
      <w:r w:rsidR="00056834" w:rsidRPr="001D04B8">
        <w:rPr>
          <w:noProof/>
          <w:lang w:val="es-ES"/>
        </w:rPr>
        <w:t xml:space="preserve"> 2018</w:t>
      </w:r>
      <w:r w:rsidR="0039241E" w:rsidRPr="001D04B8">
        <w:rPr>
          <w:noProof/>
          <w:lang w:val="es-ES"/>
        </w:rPr>
        <w:t>;</w:t>
      </w:r>
      <w:r w:rsidR="00056834" w:rsidRPr="001D04B8">
        <w:rPr>
          <w:noProof/>
          <w:lang w:val="es-ES"/>
        </w:rPr>
        <w:t xml:space="preserve"> Vaskelainen </w:t>
      </w:r>
      <w:r w:rsidR="0039241E" w:rsidRPr="001D04B8">
        <w:rPr>
          <w:noProof/>
          <w:lang w:val="es-ES"/>
        </w:rPr>
        <w:t>&amp;</w:t>
      </w:r>
      <w:r w:rsidR="00056834" w:rsidRPr="001D04B8">
        <w:rPr>
          <w:noProof/>
          <w:lang w:val="es-ES"/>
        </w:rPr>
        <w:t xml:space="preserve"> Munzel</w:t>
      </w:r>
      <w:r w:rsidR="0039241E" w:rsidRPr="001D04B8">
        <w:rPr>
          <w:noProof/>
          <w:lang w:val="es-ES"/>
        </w:rPr>
        <w:t>,</w:t>
      </w:r>
      <w:r w:rsidR="00056834" w:rsidRPr="001D04B8">
        <w:rPr>
          <w:noProof/>
          <w:lang w:val="es-ES"/>
        </w:rPr>
        <w:t xml:space="preserve"> 2018)</w:t>
      </w:r>
      <w:r w:rsidR="00D945B4" w:rsidRPr="00101A2A">
        <w:fldChar w:fldCharType="end"/>
      </w:r>
      <w:r w:rsidRPr="001D04B8">
        <w:rPr>
          <w:noProof/>
          <w:lang w:val="es-ES"/>
        </w:rPr>
        <w:t xml:space="preserve">. </w:t>
      </w:r>
      <w:r w:rsidR="002921D0" w:rsidRPr="002921D0">
        <w:t>The sharing economy</w:t>
      </w:r>
      <w:r w:rsidR="00A425F4">
        <w:t xml:space="preserve"> (SE)</w:t>
      </w:r>
      <w:r w:rsidR="002921D0" w:rsidRPr="002921D0">
        <w:t xml:space="preserve">, exemplified by platforms like Airbnb, was initially </w:t>
      </w:r>
      <w:r w:rsidR="00F83437">
        <w:t>conceived</w:t>
      </w:r>
      <w:r w:rsidR="002921D0" w:rsidRPr="002921D0">
        <w:t xml:space="preserve"> </w:t>
      </w:r>
      <w:r w:rsidR="00CF03C7" w:rsidRPr="00CF03C7">
        <w:t xml:space="preserve">as a way for private property owners to </w:t>
      </w:r>
      <w:r w:rsidR="00F9337D" w:rsidRPr="00CF03C7">
        <w:t xml:space="preserve">transact </w:t>
      </w:r>
      <w:r w:rsidR="00F9337D">
        <w:t xml:space="preserve">and </w:t>
      </w:r>
      <w:r w:rsidR="00CF03C7" w:rsidRPr="00CF03C7">
        <w:t>monetize slack resources, such as extra space in a house</w:t>
      </w:r>
      <w:r w:rsidR="00CF03C7">
        <w:t xml:space="preserve"> </w:t>
      </w:r>
      <w:r w:rsidR="00500B5F" w:rsidRPr="00101A2A">
        <w:fldChar w:fldCharType="begin" w:fldLock="1"/>
      </w:r>
      <w:r w:rsidR="003749C2">
        <w:instrText>ADDIN CSL_CITATION {"citationItems":[{"id":"ITEM-1","itemData":{"author":[{"dropping-particle":"","family":"Vaskelainen","given":"Taneli","non-dropping-particle":"","parse-names":false,"suffix":""},{"dropping-particle":"","family":"Munzel","given":"Karla","non-dropping-particle":"","parse-names":false,"suffix":""}],"container-title":"Academy of Management Discoveries","id":"ITEM-1","issue":"3","issued":{"date-parts":[["2018"]]},"note":"cite for definition of SE\n\nLong dis cussion:\nresults intertwined with literature to show that they are counterintuitive, hence proposing future RQs\n\ncite for:\ndifferent providers in the sharing economy use different insittutional logics, therefore different business models.","page":"273-293","title":"The effect of institutional logics on business model development in the sharing economy: The case of German carsharing services","type":"article-journal","volume":"4"},"uris":["http://www.mendeley.com/documents/?uuid=7b65851b-d884-4557-a9a0-fb4c6fb620c8"]}],"mendeley":{"formattedCitation":"(Vaskelainen &amp; Munzel, 2018)","manualFormatting":"(Vaskelainen &amp; Munzel 2018)","plainTextFormattedCitation":"(Vaskelainen &amp; Munzel, 2018)","previouslyFormattedCitation":"(Vaskelainen &amp; Munzel, 2018)"},"properties":{"noteIndex":0},"schema":"https://github.com/citation-style-language/schema/raw/master/csl-citation.json"}</w:instrText>
      </w:r>
      <w:r w:rsidR="00500B5F" w:rsidRPr="00101A2A">
        <w:fldChar w:fldCharType="separate"/>
      </w:r>
      <w:r w:rsidR="00500B5F" w:rsidRPr="00101A2A">
        <w:rPr>
          <w:noProof/>
        </w:rPr>
        <w:t xml:space="preserve">(Vaskelainen </w:t>
      </w:r>
      <w:r w:rsidR="0039241E" w:rsidRPr="00101A2A">
        <w:rPr>
          <w:noProof/>
        </w:rPr>
        <w:t>&amp;</w:t>
      </w:r>
      <w:r w:rsidR="00500B5F" w:rsidRPr="00101A2A">
        <w:rPr>
          <w:noProof/>
        </w:rPr>
        <w:t xml:space="preserve"> Munzel 2018)</w:t>
      </w:r>
      <w:r w:rsidR="00500B5F" w:rsidRPr="00101A2A">
        <w:fldChar w:fldCharType="end"/>
      </w:r>
      <w:r w:rsidR="002921D0">
        <w:t>. However</w:t>
      </w:r>
      <w:r w:rsidR="00105A84" w:rsidRPr="00101A2A">
        <w:t xml:space="preserve">, </w:t>
      </w:r>
      <w:r w:rsidR="00525801" w:rsidRPr="00101A2A">
        <w:t xml:space="preserve">the </w:t>
      </w:r>
      <w:r w:rsidR="005B6CDB" w:rsidRPr="00101A2A">
        <w:t>SE</w:t>
      </w:r>
      <w:r w:rsidR="00105A84" w:rsidRPr="00101A2A">
        <w:t xml:space="preserve"> has </w:t>
      </w:r>
      <w:r w:rsidR="00B4247F">
        <w:t>also attracted</w:t>
      </w:r>
      <w:r w:rsidR="005B6CDB" w:rsidRPr="00101A2A">
        <w:t xml:space="preserve"> firms from other industries </w:t>
      </w:r>
      <w:r w:rsidR="005B6CDB" w:rsidRPr="00101A2A">
        <w:fldChar w:fldCharType="begin" w:fldLock="1"/>
      </w:r>
      <w:r w:rsidR="00920500">
        <w:instrText>ADDIN CSL_CITATION {"citationItems":[{"id":"ITEM-1","itemData":{"DOI":"10.2139/ssrn.3435105","abstract":"This paper examines the impact of Airbnb on the local rental housing market. Airbnb provides landlords an alternative opportunity to rent to short-term tourists, potentially causing some property owners to switch away from long-term rental to local residents, thereby affecting the rental housing supply and afforability. Despite recent government regulations to address this concern, it remains unclear whether and what type of properties are switching.","author":[{"dropping-particle":"","family":"Li","given":"Hui","non-dropping-particle":"","parse-names":false,"suffix":""},{"dropping-particle":"","family":"Kim","given":"Yijin","non-dropping-particle":"","parse-names":false,"suffix":""},{"dropping-particle":"","family":"Srinivasan","given":"Kannan","non-dropping-particle":"","parse-names":false,"suffix":""}],"container-title":"Management Science","id":"ITEM-1","issue":"11","issued":{"date-parts":[["2022"]]},"page":"8015-8044","title":"Market Shifts in the Sharing Economy: The Impact of Airbnb on Housing Rentals","type":"article-journal","volume":"68"},"uris":["http://www.mendeley.com/documents/?uuid=a9115a92-0fdb-435d-92ec-630176016aea"]}],"mendeley":{"formattedCitation":"(Li, Kim, &amp; Srinivasan, 2022)","manualFormatting":"(Li, Kim, &amp; Srinivasan, 2022)","plainTextFormattedCitation":"(Li, Kim, &amp; Srinivasan, 2022)","previouslyFormattedCitation":"(Li, Kim, &amp; Srinivasan, 2022)"},"properties":{"noteIndex":0},"schema":"https://github.com/citation-style-language/schema/raw/master/csl-citation.json"}</w:instrText>
      </w:r>
      <w:r w:rsidR="005B6CDB" w:rsidRPr="00101A2A">
        <w:fldChar w:fldCharType="separate"/>
      </w:r>
      <w:r w:rsidR="00036D29" w:rsidRPr="00101A2A">
        <w:rPr>
          <w:noProof/>
        </w:rPr>
        <w:t>(Li</w:t>
      </w:r>
      <w:r w:rsidR="0039241E" w:rsidRPr="00101A2A">
        <w:rPr>
          <w:noProof/>
        </w:rPr>
        <w:t>, Kim, &amp; Srinivasan,</w:t>
      </w:r>
      <w:r w:rsidR="00036D29" w:rsidRPr="00101A2A">
        <w:rPr>
          <w:noProof/>
        </w:rPr>
        <w:t xml:space="preserve"> 2022)</w:t>
      </w:r>
      <w:r w:rsidR="005B6CDB" w:rsidRPr="00101A2A">
        <w:fldChar w:fldCharType="end"/>
      </w:r>
      <w:r w:rsidR="00B4247F">
        <w:t>. It</w:t>
      </w:r>
      <w:r w:rsidR="006F788D" w:rsidRPr="00101A2A">
        <w:t xml:space="preserve"> </w:t>
      </w:r>
      <w:r w:rsidR="00836984">
        <w:t xml:space="preserve">has </w:t>
      </w:r>
      <w:r w:rsidR="00377A6A" w:rsidRPr="00101A2A">
        <w:t xml:space="preserve">given </w:t>
      </w:r>
      <w:r w:rsidR="006F788D" w:rsidRPr="00101A2A">
        <w:t xml:space="preserve">these resources a new economic </w:t>
      </w:r>
      <w:r w:rsidR="00F44B69" w:rsidRPr="00101A2A">
        <w:t>value</w:t>
      </w:r>
      <w:r w:rsidR="00EB233E">
        <w:t>,</w:t>
      </w:r>
      <w:r w:rsidR="00F44B69" w:rsidRPr="00101A2A">
        <w:t xml:space="preserve"> </w:t>
      </w:r>
      <w:r w:rsidR="006F788D" w:rsidRPr="00101A2A">
        <w:t>steep</w:t>
      </w:r>
      <w:r w:rsidR="00097A1C" w:rsidRPr="00101A2A">
        <w:t>ly</w:t>
      </w:r>
      <w:r w:rsidR="006F788D" w:rsidRPr="00101A2A">
        <w:t xml:space="preserve"> increas</w:t>
      </w:r>
      <w:r w:rsidR="002921D0">
        <w:t>ing</w:t>
      </w:r>
      <w:r w:rsidR="006F788D" w:rsidRPr="00101A2A">
        <w:t xml:space="preserve"> their </w:t>
      </w:r>
      <w:r w:rsidR="00F44B69" w:rsidRPr="00101A2A">
        <w:t xml:space="preserve">sale </w:t>
      </w:r>
      <w:r w:rsidR="00337AB5" w:rsidRPr="00101A2A">
        <w:t>price</w:t>
      </w:r>
      <w:r w:rsidR="006F788D" w:rsidRPr="00101A2A">
        <w:t xml:space="preserve"> </w:t>
      </w:r>
      <w:r w:rsidR="006F788D" w:rsidRPr="00101A2A">
        <w:fldChar w:fldCharType="begin" w:fldLock="1"/>
      </w:r>
      <w:r w:rsidR="003749C2">
        <w:instrText>ADDIN CSL_CITATION {"citationItems":[{"id":"ITEM-1","itemData":{"abstract":"We assess the impact of home-sharing on residential house prices and rental rates. Using a comprehensive dataset on Airbnb listings from the whole United States, we regress zipcode level house prices and rental rates on the number of Airbnb listings, controlling for endogeneity using a shift-share instrumental variable strategy. We find that a 10% increase in Airbnb listings leads to a 0.39% increase in rents and a 0.64% increase in house prices. Moreover, we find that the effect of Airbnb is smaller in zipcodes with a larger share of owner-occupiers, suggesting that it is the absentee landlords who are on the margin of substituting their homes away from the rental market and into Airbnb. We present a simple model that rationalizes these findings.","author":[{"dropping-particle":"","family":"Barron","given":"Kyle","non-dropping-particle":"","parse-names":false,"suffix":""},{"dropping-particle":"","family":"Kung","given":"Edward","non-dropping-particle":"","parse-names":false,"suffix":""},{"dropping-particle":"","family":"Proserpio","given":"Davide","non-dropping-particle":"","parse-names":false,"suffix":""}],"container-title":"Marketing Science","id":"ITEM-1","issue":"1","issued":{"date-parts":[["2021"]]},"page":"23-47","title":"The effect of home-sharing on house prices and rents: Evidence from Airbnb","type":"article-journal","volume":"40"},"uris":["http://www.mendeley.com/documents/?uuid=c3795c9e-bff0-472b-89fd-6e5c064ded01"]}],"mendeley":{"formattedCitation":"(Barron, Kung, &amp; Proserpio, 2021)","manualFormatting":"(Barron et al., 2021)","plainTextFormattedCitation":"(Barron, Kung, &amp; Proserpio, 2021)","previouslyFormattedCitation":"(Barron, Kung, &amp; Proserpio, 2021)"},"properties":{"noteIndex":0},"schema":"https://github.com/citation-style-language/schema/raw/master/csl-citation.json"}</w:instrText>
      </w:r>
      <w:r w:rsidR="006F788D" w:rsidRPr="00101A2A">
        <w:fldChar w:fldCharType="separate"/>
      </w:r>
      <w:r w:rsidR="006F788D" w:rsidRPr="00101A2A">
        <w:rPr>
          <w:noProof/>
        </w:rPr>
        <w:t>(Barron et al.</w:t>
      </w:r>
      <w:r w:rsidR="006E0981" w:rsidRPr="00101A2A">
        <w:rPr>
          <w:noProof/>
        </w:rPr>
        <w:t>,</w:t>
      </w:r>
      <w:r w:rsidR="006F788D" w:rsidRPr="00101A2A">
        <w:rPr>
          <w:noProof/>
        </w:rPr>
        <w:t xml:space="preserve"> 2021)</w:t>
      </w:r>
      <w:r w:rsidR="006F788D" w:rsidRPr="00101A2A">
        <w:fldChar w:fldCharType="end"/>
      </w:r>
      <w:r w:rsidR="006F788D" w:rsidRPr="00101A2A">
        <w:t>.</w:t>
      </w:r>
      <w:r w:rsidR="005C5FFD" w:rsidRPr="00101A2A">
        <w:t xml:space="preserve"> Prior research examining the causes for this effect has distinguished between spanner hosts</w:t>
      </w:r>
      <w:r w:rsidR="00836984">
        <w:t xml:space="preserve"> </w:t>
      </w:r>
      <w:r w:rsidR="00836984" w:rsidRPr="00101A2A">
        <w:t>and prototypical SE hosts</w:t>
      </w:r>
      <w:r w:rsidR="00836984">
        <w:t>. The former are</w:t>
      </w:r>
      <w:r w:rsidR="00836984" w:rsidRPr="00101A2A">
        <w:t xml:space="preserve"> </w:t>
      </w:r>
      <w:r w:rsidR="005C5FFD" w:rsidRPr="00101A2A">
        <w:t xml:space="preserve">hosts that manage multiple properties full-time </w:t>
      </w:r>
      <w:r w:rsidR="001A6CA1">
        <w:t>o</w:t>
      </w:r>
      <w:r w:rsidR="001A6CA1" w:rsidRPr="00101A2A">
        <w:t xml:space="preserve">n </w:t>
      </w:r>
      <w:r w:rsidR="005C5FFD" w:rsidRPr="00101A2A">
        <w:t>Airbnb and are probably firms spanning from other industries</w:t>
      </w:r>
      <w:r w:rsidR="00836984">
        <w:t xml:space="preserve">, while the latter are </w:t>
      </w:r>
      <w:r w:rsidR="005C5FFD" w:rsidRPr="00101A2A">
        <w:t xml:space="preserve">single-listing hosts who manage on Airbnb only one property, which likely is a slack resource rented part-time (the house they </w:t>
      </w:r>
      <w:r w:rsidR="00B4247F">
        <w:t>usually</w:t>
      </w:r>
      <w:r w:rsidR="005C5FFD" w:rsidRPr="00101A2A">
        <w:t xml:space="preserve"> live in, with their clothes in the closet and their food in the fridge) </w:t>
      </w:r>
      <w:r w:rsidR="005C5FFD" w:rsidRPr="00101A2A">
        <w:fldChar w:fldCharType="begin" w:fldLock="1"/>
      </w:r>
      <w:r w:rsidR="00920500">
        <w:instrText>ADDIN CSL_CITATION {"citationItems":[{"id":"ITEM-1","itemData":{"abstract":"We assess the impact of home-sharing on residential house prices and rental rates. Using a comprehensive dataset on Airbnb listings from the whole United States, we regress zipcode level house prices and rental rates on the number of Airbnb listings, controlling for endogeneity using a shift-share instrumental variable strategy. We find that a 10% increase in Airbnb listings leads to a 0.39% increase in rents and a 0.64% increase in house prices. Moreover, we find that the effect of Airbnb is smaller in zipcodes with a larger share of owner-occupiers, suggesting that it is the absentee landlords who are on the margin of substituting their homes away from the rental market and into Airbnb. We present a simple model that rationalizes these findings.","author":[{"dropping-particle":"","family":"Barron","given":"Kyle","non-dropping-particle":"","parse-names":false,"suffix":""},{"dropping-particle":"","family":"Kung","given":"Edward","non-dropping-particle":"","parse-names":false,"suffix":""},{"dropping-particle":"","family":"Proserpio","given":"Davide","non-dropping-particle":"","parse-names":false,"suffix":""}],"container-title":"Marketing Science","id":"ITEM-1","issue":"1","issued":{"date-parts":[["2021"]]},"page":"23-47","title":"The effect of home-sharing on house prices and rents: Evidence from Airbnb","type":"article-journal","volume":"40"},"uris":["http://www.mendeley.com/documents/?uuid=c3795c9e-bff0-472b-89fd-6e5c064ded01"]},{"id":"ITEM-2","itemData":{"DOI":"10.2139/ssrn.3257521","ISBN":"0000000302","abstract":"As cities debate how to regulate Airbnb and other home-sharing services, we study the impacts of home sharing on local residential real estate markets. By accommodating transient travelers with short-term rental properties, home-sharing platforms have evolved as a major alternative channel that attracts the growing supply of residential properties. However, on the demand side of local residential markets, home-sharing platforms are not a viable option for residents. To demonstrate this dynamic between home sharing and local residential markets, we leverage a unique quasi-experiment on Airbnb—a platform policy that caps the number of properties a host can manage in a city—and find that the policy reduced rents (in the long-term rental markets) and home values (in the for-sale housing markets) by about 3% and did not affect the price-to-rent ratio. Consistent with the conjecture, we find that the policy impacts can be attributed to increased supply in local residential markets because of the policy. Quantitatively, our estimates suggest that, if the density of affected Airbnb properties is 1% higher in a market, the policy may further decrease rents and home values by about 0.03%–0.06%, which is similar across each policy-affected city. Our empirical findings add to the debate about the impacts of home sharing on local residential markets with a novel data set and a unique identification strategy. Practically speaking, our research is a timely response to the debate on regulating home sharing and has implications for various stakeholders of the residential real estate markets.","author":[{"dropping-particle":"","family":"Chen","given":"Wei","non-dropping-particle":"","parse-names":false,"suffix":""},{"dropping-particle":"","family":"Wei","given":"Zaiyan","non-dropping-particle":"","parse-names":false,"suffix":""},{"dropping-particle":"","family":"Xie","given":"Karen","non-dropping-particle":"","parse-names":false,"suffix":""}],"container-title":"Management Science","id":"ITEM-2","issue":"12","issued":{"date-parts":[["2022"]]},"page":"8589-8612","title":"The Battle for Homes: How Does Home Sharing Disrupt Local Residential Markets?","type":"article-journal","volume":"68"},"uris":["http://www.mendeley.com/documents/?uuid=5112e5d4-27be-416a-819a-a389df846e47"]},{"id":"ITEM-3","itemData":{"DOI":"10.2139/ssrn.3435105","abstract":"This paper examines the impact of Airbnb on the local rental housing market. Airbnb provides landlords an alternative opportunity to rent to short-term tourists, potentially causing some property owners to switch away from long-term rental to local residents, thereby affecting the rental housing supply and afforability. Despite recent government regulations to address this concern, it remains unclear whether and what type of properties are switching.","author":[{"dropping-particle":"","family":"Li","given":"Hui","non-dropping-particle":"","parse-names":false,"suffix":""},{"dropping-particle":"","family":"Kim","given":"Yijin","non-dropping-particle":"","parse-names":false,"suffix":""},{"dropping-particle":"","family":"Srinivasan","given":"Kannan","non-dropping-particle":"","parse-names":false,"suffix":""}],"container-title":"Management Science","id":"ITEM-3","issue":"11","issued":{"date-parts":[["2022"]]},"page":"8015-8044","title":"Market Shifts in the Sharing Economy: The Impact of Airbnb on Housing Rentals","type":"article-journal","volume":"68"},"uris":["http://www.mendeley.com/documents/?uuid=a9115a92-0fdb-435d-92ec-630176016aea"]}],"mendeley":{"formattedCitation":"(Barron et al., 2021; Chen, Wei, &amp; Xie, 2022; Li et al., 2022)","manualFormatting":"(Barron et al., 2021; Chen, Wei, &amp; Xie, 2022; Li et al., 2022)","plainTextFormattedCitation":"(Barron et al., 2021; Chen, Wei, &amp; Xie, 2022; Li et al., 2022)","previouslyFormattedCitation":"(Barron et al., 2021; Chen, Wei, &amp; Xie, 2022; Li et al., 2022)"},"properties":{"noteIndex":0},"schema":"https://github.com/citation-style-language/schema/raw/master/csl-citation.json"}</w:instrText>
      </w:r>
      <w:r w:rsidR="005C5FFD" w:rsidRPr="00101A2A">
        <w:fldChar w:fldCharType="separate"/>
      </w:r>
      <w:r w:rsidR="005C5FFD" w:rsidRPr="00101A2A">
        <w:rPr>
          <w:noProof/>
        </w:rPr>
        <w:t>(Barron et al., 2021; Chen, Wei, &amp; Xie, 2022; Li et al., 2022)</w:t>
      </w:r>
      <w:r w:rsidR="005C5FFD" w:rsidRPr="00101A2A">
        <w:fldChar w:fldCharType="end"/>
      </w:r>
      <w:r w:rsidR="005C5FFD" w:rsidRPr="00101A2A">
        <w:t xml:space="preserve">. </w:t>
      </w:r>
    </w:p>
    <w:p w14:paraId="307E7D4F" w14:textId="1FCACF25" w:rsidR="005C5FFD" w:rsidRPr="00101A2A" w:rsidRDefault="004C1C10" w:rsidP="005C5FFD">
      <w:r w:rsidRPr="00101A2A">
        <w:t>Within this stream of work, r</w:t>
      </w:r>
      <w:r w:rsidR="005C5FFD" w:rsidRPr="00101A2A">
        <w:t xml:space="preserve">esearchers adopting a </w:t>
      </w:r>
      <w:r w:rsidR="001A6CA1" w:rsidRPr="00101A2A">
        <w:t>supply</w:t>
      </w:r>
      <w:r w:rsidR="001A6CA1">
        <w:t>-</w:t>
      </w:r>
      <w:r w:rsidR="005C5FFD" w:rsidRPr="00101A2A">
        <w:t xml:space="preserve">side view found that spanner hosts contributed most to increasing the price of real estate properties because they allegedly created a shortage of houses by moving multiple real estate properties from other commercial uses (especially the long-term rental market) into the sharing economy </w:t>
      </w:r>
      <w:r w:rsidR="005C5FFD" w:rsidRPr="00101A2A">
        <w:fldChar w:fldCharType="begin" w:fldLock="1"/>
      </w:r>
      <w:r w:rsidR="00920500">
        <w:instrText>ADDIN CSL_CITATION {"citationItems":[{"id":"ITEM-1","itemData":{"abstract":"We assess the impact of home-sharing on residential house prices and rental rates. Using a comprehensive dataset on Airbnb listings from the whole United States, we regress zipcode level house prices and rental rates on the number of Airbnb listings, controlling for endogeneity using a shift-share instrumental variable strategy. We find that a 10% increase in Airbnb listings leads to a 0.39% increase in rents and a 0.64% increase in house prices. Moreover, we find that the effect of Airbnb is smaller in zipcodes with a larger share of owner-occupiers, suggesting that it is the absentee landlords who are on the margin of substituting their homes away from the rental market and into Airbnb. We present a simple model that rationalizes these findings.","author":[{"dropping-particle":"","family":"Barron","given":"Kyle","non-dropping-particle":"","parse-names":false,"suffix":""},{"dropping-particle":"","family":"Kung","given":"Edward","non-dropping-particle":"","parse-names":false,"suffix":""},{"dropping-particle":"","family":"Proserpio","given":"Davide","non-dropping-particle":"","parse-names":false,"suffix":""}],"container-title":"Marketing Science","id":"ITEM-1","issue":"1","issued":{"date-parts":[["2021"]]},"page":"23-47","title":"The effect of home-sharing on house prices and rents: Evidence from Airbnb","type":"article-journal","volume":"40"},"uris":["http://www.mendeley.com/documents/?uuid=c3795c9e-bff0-472b-89fd-6e5c064ded01"]},{"id":"ITEM-2","itemData":{"DOI":"10.2139/ssrn.3257521","ISBN":"0000000302","abstract":"As cities debate how to regulate Airbnb and other home-sharing services, we study the impacts of home sharing on local residential real estate markets. By accommodating transient travelers with short-term rental properties, home-sharing platforms have evolved as a major alternative channel that attracts the growing supply of residential properties. However, on the demand side of local residential markets, home-sharing platforms are not a viable option for residents. To demonstrate this dynamic between home sharing and local residential markets, we leverage a unique quasi-experiment on Airbnb—a platform policy that caps the number of properties a host can manage in a city—and find that the policy reduced rents (in the long-term rental markets) and home values (in the for-sale housing markets) by about 3% and did not affect the price-to-rent ratio. Consistent with the conjecture, we find that the policy impacts can be attributed to increased supply in local residential markets because of the policy. Quantitatively, our estimates suggest that, if the density of affected Airbnb properties is 1% higher in a market, the policy may further decrease rents and home values by about 0.03%–0.06%, which is similar across each policy-affected city. Our empirical findings add to the debate about the impacts of home sharing on local residential markets with a novel data set and a unique identification strategy. Practically speaking, our research is a timely response to the debate on regulating home sharing and has implications for various stakeholders of the residential real estate markets.","author":[{"dropping-particle":"","family":"Chen","given":"Wei","non-dropping-particle":"","parse-names":false,"suffix":""},{"dropping-particle":"","family":"Wei","given":"Zaiyan","non-dropping-particle":"","parse-names":false,"suffix":""},{"dropping-particle":"","family":"Xie","given":"Karen","non-dropping-particle":"","parse-names":false,"suffix":""}],"container-title":"Management Science","id":"ITEM-2","issue":"12","issued":{"date-parts":[["2022"]]},"page":"8589-8612","title":"The Battle for Homes: How Does Home Sharing Disrupt Local Residential Markets?","type":"article-journal","volume":"68"},"uris":["http://www.mendeley.com/documents/?uuid=5112e5d4-27be-416a-819a-a389df846e47"]},{"id":"ITEM-3","itemData":{"DOI":"10.2139/ssrn.3435105","abstract":"This paper examines the impact of Airbnb on the local rental housing market. Airbnb provides landlords an alternative opportunity to rent to short-term tourists, potentially causing some property owners to switch away from long-term rental to local residents, thereby affecting the rental housing supply and afforability. Despite recent government regulations to address this concern, it remains unclear whether and what type of properties are switching.","author":[{"dropping-particle":"","family":"Li","given":"Hui","non-dropping-particle":"","parse-names":false,"suffix":""},{"dropping-particle":"","family":"Kim","given":"Yijin","non-dropping-particle":"","parse-names":false,"suffix":""},{"dropping-particle":"","family":"Srinivasan","given":"Kannan","non-dropping-particle":"","parse-names":false,"suffix":""}],"container-title":"Management Science","id":"ITEM-3","issue":"11","issued":{"date-parts":[["2022"]]},"page":"8015-8044","title":"Market Shifts in the Sharing Economy: The Impact of Airbnb on Housing Rentals","type":"article-journal","volume":"68"},"uris":["http://www.mendeley.com/documents/?uuid=a9115a92-0fdb-435d-92ec-630176016aea"]}],"mendeley":{"formattedCitation":"(Barron et al., 2021; Chen et al., 2022; Li et al., 2022)","manualFormatting":"(Barron et al., 2021; Chen et al., 2022; Li et al., 2022)","plainTextFormattedCitation":"(Barron et al., 2021; Chen et al., 2022; Li et al., 2022)","previouslyFormattedCitation":"(Barron et al., 2021; Chen et al., 2022; Li et al., 2022)"},"properties":{"noteIndex":0},"schema":"https://github.com/citation-style-language/schema/raw/master/csl-citation.json"}</w:instrText>
      </w:r>
      <w:r w:rsidR="005C5FFD" w:rsidRPr="00101A2A">
        <w:fldChar w:fldCharType="separate"/>
      </w:r>
      <w:r w:rsidR="005C5FFD" w:rsidRPr="00101A2A">
        <w:rPr>
          <w:noProof/>
        </w:rPr>
        <w:t>(Barron et al., 2021; Chen et al., 2022; Li et al., 2022)</w:t>
      </w:r>
      <w:r w:rsidR="005C5FFD" w:rsidRPr="00101A2A">
        <w:fldChar w:fldCharType="end"/>
      </w:r>
      <w:r w:rsidR="005C5FFD" w:rsidRPr="00101A2A">
        <w:t xml:space="preserve">. In contrast, researchers adopting a </w:t>
      </w:r>
      <w:r w:rsidR="001A6CA1" w:rsidRPr="00101A2A">
        <w:t>demand</w:t>
      </w:r>
      <w:r w:rsidR="001A6CA1">
        <w:t>-</w:t>
      </w:r>
      <w:r w:rsidR="005C5FFD" w:rsidRPr="00101A2A">
        <w:t>side view linked the increase in real estate prices to Airbnb’s continuous success and a higher demand from consumers for these properties</w:t>
      </w:r>
      <w:r w:rsidR="004A5C78">
        <w:t xml:space="preserve">. </w:t>
      </w:r>
      <w:r w:rsidR="004A5C78" w:rsidRPr="004A5C78">
        <w:t>Th</w:t>
      </w:r>
      <w:r w:rsidR="00F9337D">
        <w:t>e success of</w:t>
      </w:r>
      <w:r w:rsidR="004A5C78" w:rsidRPr="004A5C78">
        <w:t xml:space="preserve"> </w:t>
      </w:r>
      <w:r w:rsidR="00F9337D" w:rsidRPr="00101A2A">
        <w:t xml:space="preserve">Airbnb </w:t>
      </w:r>
      <w:r w:rsidR="004A5C78" w:rsidRPr="004A5C78">
        <w:t>has led to a change in homeowners' purchasing habits, where</w:t>
      </w:r>
      <w:r w:rsidR="00F9337D">
        <w:t>by the opportunity to monetize their home through the short-term rental market</w:t>
      </w:r>
      <w:r w:rsidR="004A5C78" w:rsidRPr="004A5C78">
        <w:t xml:space="preserve"> </w:t>
      </w:r>
      <w:r w:rsidR="00F9337D">
        <w:t>is influencing their</w:t>
      </w:r>
      <w:r w:rsidR="004A5C78" w:rsidRPr="004A5C78">
        <w:t xml:space="preserve"> housing purchasing decisions</w:t>
      </w:r>
      <w:r w:rsidR="002742A5">
        <w:t xml:space="preserve"> and willingness to pay</w:t>
      </w:r>
      <w:r w:rsidR="005C5FFD" w:rsidRPr="00101A2A">
        <w:t xml:space="preserve"> </w:t>
      </w:r>
      <w:r w:rsidR="005C5FFD" w:rsidRPr="00101A2A">
        <w:fldChar w:fldCharType="begin" w:fldLock="1"/>
      </w:r>
      <w:r w:rsidR="003749C2">
        <w:instrText>ADDIN CSL_CITATION {"citationItems":[{"id":"ITEM-1","itemData":{"DOI":"10.1111/1540-6229.12330","ISSN":"15406229","abstract":"This study examines the effects of regulations targeting Airbnb and other short-term rental (STR) suppliers in the urban center of New Orleans. I show that although the new ordinances reduced participation in the STR market as intended, STR usage actually increased in the neighborhoods adjacent to areas the most affected by the regulations. I subsequently show that the new regulations depressed property values in the neighborhoods facing the tightest regulations by approximately 30%, implying that homeowners factor into their housing purchasing decisions the option to participate in the STR market.","author":[{"dropping-particle":"","family":"Valentin","given":"Maxence","non-dropping-particle":"","parse-names":false,"suffix":""}],"container-title":"Real Estate Economics","id":"ITEM-1","issue":"1","issued":{"date-parts":[["2021"]]},"page":"152-186","title":"Regulating short-term rental housing: Evidence from New Orleans","type":"article-journal","volume":"49"},"uris":["http://www.mendeley.com/documents/?uuid=31b9ce88-61f9-4ad3-8367-2eb948e86877"]},{"id":"ITEM-2","itemData":{"DOI":"10.2139/ssrn.2746197","ISBN":"0000000154260","abstract":"New Internet-based markets enable consumer/owners to rent out their durable goods when not using them. Such markets are modeled to determine ownership, rental rates, quantities, and surplus generated. Both the short run, before consumers can revise their ownership decisions, and the long run, in which they can, are examined to assess how these markets change ownership and consumption. The analysis examines bringing-to-market costs, such as labor costs and transaction costs, and considers the operating platform’s pricing problem. A survey of consumers broadly supports the modeling assumptions employed. For example, ownership is determined by individuals’ forward-looking assessments of planned usage.","author":[{"dropping-particle":"","family":"Filippas","given":"Apostolos","non-dropping-particle":"","parse-names":false,"suffix":""},{"dropping-particle":"","family":"Horton","given":"John J.","non-dropping-particle":"","parse-names":false,"suffix":""},{"dropping-particle":"","family":"Zeckhauser","given":"Richard J.","non-dropping-particle":"","parse-names":false,"suffix":""}],"container-title":"Management Science","id":"ITEM-2","issue":"9","issued":{"date-parts":[["2020"]]},"page":"4152-4172","title":"Owning, using and renting: Some simple economics of the 'Sharing Economy'","type":"article-journal","volume":"66"},"uris":["http://www.mendeley.com/documents/?uuid=1db26509-e073-4656-b067-562a18acff44"]},{"id":"ITEM-3","itemData":{"DOI":"10.1145/2872427.2874815","ISBN":"9781450341431","abstract":"Sharing economy platforms have become extremely popular in the last few years, and they have changed the way in which we commute, travel, and borrow among many other activities. Despite their popularity among consumers, such companies are poorly regulated. For example, Airbnb, one of the most successful examples of sharing economy platform, is often criticized by regulators and policy makers. While, in theory, municipalities should regulate the emergence of Airbnb through evidence-based policy making, in practice, they engage in a false dichotomy: some municipalities allow the business without imposing any regulation, while others ban it altogether. That is because there is no evidence upon which to draft policies. Here we propose to gather evidence from the Web. After crawling Airbnb data for the entire city of London, we find out where and when Airbnb listings are offered and, by matching such listing information with census and hotel data, we determine the socio-economic conditions of the areas that actually benefit from the hospitality platform. The reality is more nuanced than one would expect, and it has changed over the years. Airbnb demand and offering have changed over time, and traditional regulations have not been able to respond to those changes. That is why, finally, we rely on our data analysis to envision regulations that are responsive to real-Time demands, contributing to the emerging idea of \"algorithmic regulation\".","author":[{"dropping-particle":"","family":"Quattrone","given":"Giovanni","non-dropping-particle":"","parse-names":false,"suffix":""},{"dropping-particle":"","family":"Proserpio","given":"Davide","non-dropping-particle":"","parse-names":false,"suffix":""},{"dropping-particle":"","family":"Quercia","given":"Daniele","non-dropping-particle":"","parse-names":false,"suffix":""},{"dropping-particle":"","family":"Capra","given":"Licia","non-dropping-particle":"","parse-names":false,"suffix":""},{"dropping-particle":"","family":"Musolesi","given":"Mirco","non-dropping-particle":"","parse-names":false,"suffix":""}],"container-title":"Proceedings of the 25th international conference on world wide web","id":"ITEM-3","issued":{"date-parts":[["2016"]]},"page":"1385-1394","title":"Who benefits from the \"sharing\" economy of airbnb?","type":"article-journal","volume":"April"},"uris":["http://www.mendeley.com/documents/?uuid=9156c225-ac65-408a-8523-ad200dea419e"]}],"mendeley":{"formattedCitation":"(Filippas, Horton, &amp; Zeckhauser, 2020; Quattrone, Proserpio, Quercia, Capra, &amp; Musolesi, 2016; Valentin, 2021)","manualFormatting":"(Filippas,  Horton, &amp; Zeckhauser, 2020; Quattrone, Proserpio, Quercia, Capra, &amp; Musolesi, 2016; Valentin, 2021)","plainTextFormattedCitation":"(Filippas, Horton, &amp; Zeckhauser, 2020; Quattrone, Proserpio, Quercia, Capra, &amp; Musolesi, 2016; Valentin, 2021)","previouslyFormattedCitation":"(Filippas, Horton, &amp; Zeckhauser, 2020; Quattrone, Proserpio, Quercia, Capra, &amp; Musolesi, 2016; Valentin, 2021)"},"properties":{"noteIndex":0},"schema":"https://github.com/citation-style-language/schema/raw/master/csl-citation.json"}</w:instrText>
      </w:r>
      <w:r w:rsidR="005C5FFD" w:rsidRPr="00101A2A">
        <w:fldChar w:fldCharType="separate"/>
      </w:r>
      <w:r w:rsidR="005C5FFD" w:rsidRPr="00101A2A">
        <w:rPr>
          <w:noProof/>
        </w:rPr>
        <w:t xml:space="preserve">(Filippas,  </w:t>
      </w:r>
      <w:r w:rsidR="005C5FFD" w:rsidRPr="00101A2A">
        <w:rPr>
          <w:noProof/>
        </w:rPr>
        <w:lastRenderedPageBreak/>
        <w:t>Horton, &amp; Zeckhauser, 2020; Quattrone, Proserpio, Quercia, Capra, &amp; Musolesi, 2016; Valentin, 2021)</w:t>
      </w:r>
      <w:r w:rsidR="005C5FFD" w:rsidRPr="00101A2A">
        <w:fldChar w:fldCharType="end"/>
      </w:r>
      <w:r w:rsidR="00A95D55" w:rsidRPr="00101A2A">
        <w:t xml:space="preserve">. </w:t>
      </w:r>
      <w:r w:rsidR="002742A5">
        <w:t xml:space="preserve">This apparent tension </w:t>
      </w:r>
      <w:r w:rsidR="00D06442">
        <w:t>highlight</w:t>
      </w:r>
      <w:r w:rsidR="002742A5">
        <w:t>s</w:t>
      </w:r>
      <w:r w:rsidR="00D06442" w:rsidRPr="00D06442">
        <w:t xml:space="preserve"> the need </w:t>
      </w:r>
      <w:r w:rsidR="00D06442">
        <w:t>(</w:t>
      </w:r>
      <w:r w:rsidR="00D06442" w:rsidRPr="00D06442">
        <w:t>for scholars and regulators</w:t>
      </w:r>
      <w:r w:rsidR="00D06442">
        <w:t xml:space="preserve"> alike)</w:t>
      </w:r>
      <w:r w:rsidR="00D06442" w:rsidRPr="00D06442">
        <w:t xml:space="preserve"> to understand </w:t>
      </w:r>
      <w:r w:rsidR="00F9337D">
        <w:t>the underlying causes for this effect</w:t>
      </w:r>
      <w:r w:rsidR="00D06442" w:rsidRPr="00D06442">
        <w:t>.</w:t>
      </w:r>
    </w:p>
    <w:p w14:paraId="58CDF32D" w14:textId="020978A7" w:rsidR="00B95AD8" w:rsidRPr="00101A2A" w:rsidRDefault="003373E9" w:rsidP="00A425F4">
      <w:r w:rsidRPr="009055A9">
        <w:t xml:space="preserve">Given the now-recognized effect of Airbnb on real estate prices and the novelty of the marketspace, multiple audiences (e.g., consumers, competitors, neighbors) </w:t>
      </w:r>
      <w:r w:rsidR="00F83437">
        <w:t>started</w:t>
      </w:r>
      <w:r w:rsidRPr="009055A9">
        <w:t xml:space="preserve"> pressuring local and national authorities to regulate the operations of Airbnb and similar SE platforms </w:t>
      </w:r>
      <w:r w:rsidRPr="009055A9">
        <w:fldChar w:fldCharType="begin" w:fldLock="1"/>
      </w:r>
      <w:r w:rsidR="003749C2">
        <w:instrText>ADDIN CSL_CITATION {"citationItems":[{"id":"ITEM-1","itemData":{"DOI":"10.2139/ssrn.2658603","ISSN":"1556-5068","abstract":"New software platforms use modern information technology, including full-featured web sites and mobile apps, to allow service providers and consumers to transact with relative ease and increased trust. These platforms provide notable benefits including reducing transaction costs, improving allocation of resources, and information and pricing efficiencies. Yet they also raise questions of regulation, including how regulation should adapt to new services and capabilities, and how to correct market failures that may arise. We explore these challenges and suggest an updated regulatory framework that is sufficiently flexible to allow software platforms to operate and deliver their benefits, while ensuring that service providers, users and third parties are adequately protected from harms that may arise.","author":[{"dropping-particle":"","family":"Edelman","given":"Benjamin G.","non-dropping-particle":"","parse-names":false,"suffix":""},{"dropping-particle":"","family":"Geradin","given":"Damien","non-dropping-particle":"","parse-names":false,"suffix":""}],"container-title":"Stanford Technology Law Review","id":"ITEM-1","issued":{"date-parts":[["2015"]]},"page":"293","title":"Efficiencies and regulatory shortcuts: How should we regulate companies like Airbnb and Uber?","type":"article-journal","volume":"19"},"uris":["http://www.mendeley.com/documents/?uuid=823094c3-56b9-410c-9c1e-0768e6490117"]},{"id":"ITEM-2","itemData":{"DOI":"10.1080/15480755.2013.766496","ISSN":"15480755","abstract":"The country has been in the midst of an economic recession, leaving many people with the need to supplement their traditional incomes by alternative means. Motivated home owners are leveraging their largest asset by renting out their homes for short periods of time. These homes include single-family residences commonly located in a residential neighborhood or zoning district. This phenomenon is growing rapidly across the country and presenting policy concerns for state and local governments. The explosion of websites allowing home owners to advertise their residential properties for rent has amplified the short-term rental industry. © 2013 Copyright Taylor and Francis Group, LLC.","author":[{"dropping-particle":"","family":"Gottlieb","given":"Charles","non-dropping-particle":"","parse-names":false,"suffix":""}],"container-title":"Planning and Environmental Law","id":"ITEM-2","issue":"2","issued":{"date-parts":[["2013"]]},"page":"4-9","title":"Residential Short-Term Rentals: Should Local Governments Regulate the 'Industry'?","type":"article-journal","volume":"65"},"uris":["http://www.mendeley.com/documents/?uuid=3b805b9e-d038-42fa-9677-578a40bb1e6b"]}],"mendeley":{"formattedCitation":"(Edelman &amp; Geradin, 2015; Gottlieb, 2013)","manualFormatting":"(Edelman &amp; Geradin, 2015; Gottlieb, 2013)","plainTextFormattedCitation":"(Edelman &amp; Geradin, 2015; Gottlieb, 2013)","previouslyFormattedCitation":"(Edelman &amp; Geradin, 2015; Gottlieb, 2013)"},"properties":{"noteIndex":0},"schema":"https://github.com/citation-style-language/schema/raw/master/csl-citation.json"}</w:instrText>
      </w:r>
      <w:r w:rsidRPr="009055A9">
        <w:fldChar w:fldCharType="separate"/>
      </w:r>
      <w:r w:rsidRPr="009055A9">
        <w:rPr>
          <w:noProof/>
        </w:rPr>
        <w:t>(Edelman &amp; Geradin, 2015; Gottlieb, 2013)</w:t>
      </w:r>
      <w:r w:rsidRPr="009055A9">
        <w:fldChar w:fldCharType="end"/>
      </w:r>
      <w:r w:rsidRPr="009055A9">
        <w:t xml:space="preserve">. </w:t>
      </w:r>
      <w:r w:rsidR="00287AA2">
        <w:t xml:space="preserve">While both the supply-side and demand-side views </w:t>
      </w:r>
      <w:r w:rsidR="00B4247F">
        <w:t xml:space="preserve">inform regulatory efforts, they </w:t>
      </w:r>
      <w:r w:rsidR="00287AA2">
        <w:t>lead to</w:t>
      </w:r>
      <w:r w:rsidR="004A513A" w:rsidRPr="004A513A">
        <w:t xml:space="preserve"> a</w:t>
      </w:r>
      <w:r w:rsidR="00B44BA6">
        <w:t>n apparent tension</w:t>
      </w:r>
      <w:r w:rsidR="00EB233E">
        <w:t xml:space="preserve">: </w:t>
      </w:r>
      <w:r w:rsidR="004A513A" w:rsidRPr="004A513A">
        <w:t>enforcing regulations may reduce the supply on SE platforms</w:t>
      </w:r>
      <w:r w:rsidR="00B44BA6">
        <w:t xml:space="preserve"> and thus the purchasing of properties for this purpose, harnessing their price increase;</w:t>
      </w:r>
      <w:r w:rsidR="004A513A" w:rsidRPr="004A513A">
        <w:t xml:space="preserve"> </w:t>
      </w:r>
      <w:r w:rsidR="00EB233E">
        <w:t>but</w:t>
      </w:r>
      <w:r>
        <w:t xml:space="preserve"> regulations might legitimize the emerging market, further </w:t>
      </w:r>
      <w:r w:rsidR="00B4247F">
        <w:t>augmenting</w:t>
      </w:r>
      <w:r w:rsidR="00EB233E">
        <w:t xml:space="preserve"> </w:t>
      </w:r>
      <w:r w:rsidR="004A513A" w:rsidRPr="004A513A">
        <w:t>the steady consumer demand for SE products</w:t>
      </w:r>
      <w:r w:rsidR="00B44BA6">
        <w:t>, and thus the purchasing of properties for this purpose, fueling their price increase</w:t>
      </w:r>
      <w:r w:rsidR="004A513A" w:rsidRPr="004A513A">
        <w:t>.</w:t>
      </w:r>
      <w:r w:rsidR="000D7D5C">
        <w:t xml:space="preserve"> </w:t>
      </w:r>
      <w:r w:rsidR="004A513A" w:rsidRPr="00101A2A">
        <w:t>To disentangle these potentially opposite effects</w:t>
      </w:r>
      <w:r w:rsidR="004A513A">
        <w:t xml:space="preserve"> of </w:t>
      </w:r>
      <w:r w:rsidR="00A425F4">
        <w:t>these factors</w:t>
      </w:r>
      <w:r w:rsidR="004A513A" w:rsidRPr="00101A2A">
        <w:t>, we examine the effect of spanner</w:t>
      </w:r>
      <w:r w:rsidR="00EB233E">
        <w:t xml:space="preserve"> host</w:t>
      </w:r>
      <w:r w:rsidR="004A513A" w:rsidRPr="00101A2A">
        <w:t>s on real estate prices over time, after regulatory changes</w:t>
      </w:r>
      <w:r w:rsidR="00B4247F">
        <w:t>,</w:t>
      </w:r>
      <w:r w:rsidR="004A513A" w:rsidRPr="00101A2A">
        <w:t xml:space="preserve"> and after consumers become able to distinguish—in other words, to categorize—spanner hosts.</w:t>
      </w:r>
      <w:r w:rsidR="004A513A">
        <w:t xml:space="preserve"> </w:t>
      </w:r>
      <w:r w:rsidR="00287AA2">
        <w:t>Therefore</w:t>
      </w:r>
      <w:r w:rsidR="002C0862" w:rsidRPr="00101A2A">
        <w:t xml:space="preserve">, we ask: </w:t>
      </w:r>
      <w:r w:rsidR="002C0862" w:rsidRPr="00101A2A">
        <w:rPr>
          <w:i/>
          <w:iCs/>
        </w:rPr>
        <w:t>How can</w:t>
      </w:r>
      <w:r w:rsidR="000B0F18" w:rsidRPr="00101A2A">
        <w:rPr>
          <w:i/>
          <w:iCs/>
        </w:rPr>
        <w:t xml:space="preserve"> </w:t>
      </w:r>
      <w:r w:rsidR="002C0862" w:rsidRPr="00101A2A">
        <w:rPr>
          <w:i/>
          <w:iCs/>
        </w:rPr>
        <w:t>these two types of audiences (consumers and regulators) shape the effect of Airbnb</w:t>
      </w:r>
      <w:r w:rsidR="005476D0" w:rsidRPr="00101A2A">
        <w:rPr>
          <w:i/>
          <w:iCs/>
        </w:rPr>
        <w:t>’s</w:t>
      </w:r>
      <w:r w:rsidR="002C0862" w:rsidRPr="00101A2A">
        <w:rPr>
          <w:i/>
          <w:iCs/>
        </w:rPr>
        <w:t xml:space="preserve"> spanner hosts on real estate prices?</w:t>
      </w:r>
      <w:r w:rsidR="002C0862" w:rsidRPr="00101A2A">
        <w:t xml:space="preserve"> </w:t>
      </w:r>
    </w:p>
    <w:p w14:paraId="10C5F05A" w14:textId="2C10D8AF" w:rsidR="00105A84" w:rsidRPr="00101A2A" w:rsidRDefault="00B4247F" w:rsidP="001F626A">
      <w:r>
        <w:t>Because of</w:t>
      </w:r>
      <w:r w:rsidR="001A50D4" w:rsidRPr="00101A2A">
        <w:t xml:space="preserve"> </w:t>
      </w:r>
      <w:r w:rsidR="0038495D" w:rsidRPr="00101A2A">
        <w:t xml:space="preserve">the </w:t>
      </w:r>
      <w:r w:rsidR="002E46AE" w:rsidRPr="00101A2A">
        <w:t xml:space="preserve">novelty and </w:t>
      </w:r>
      <w:r w:rsidR="0038495D" w:rsidRPr="00101A2A">
        <w:t xml:space="preserve">relevance of the phenomenon and </w:t>
      </w:r>
      <w:r w:rsidR="001A50D4" w:rsidRPr="00101A2A">
        <w:t>our exploratory question, w</w:t>
      </w:r>
      <w:r w:rsidR="000060FA" w:rsidRPr="00101A2A">
        <w:t>e</w:t>
      </w:r>
      <w:r w:rsidR="00105A84" w:rsidRPr="00101A2A">
        <w:t xml:space="preserve"> examine a unique, hand-coded longitudinal dataset of approximately 61,000 </w:t>
      </w:r>
      <w:r w:rsidR="00D70DDB" w:rsidRPr="00101A2A">
        <w:t xml:space="preserve">hosts </w:t>
      </w:r>
      <w:r w:rsidR="00105A84" w:rsidRPr="00101A2A">
        <w:t>on Airbnb, matched with real estate market data from Zillow, legal data, ordinances</w:t>
      </w:r>
      <w:r w:rsidR="00D66B89" w:rsidRPr="00101A2A">
        <w:t>,</w:t>
      </w:r>
      <w:r w:rsidR="00105A84" w:rsidRPr="00101A2A">
        <w:t xml:space="preserve"> and media reports from 10 U.S. cities </w:t>
      </w:r>
      <w:r w:rsidR="00D66B89" w:rsidRPr="00101A2A">
        <w:t>between</w:t>
      </w:r>
      <w:r w:rsidR="00105A84" w:rsidRPr="00101A2A">
        <w:t xml:space="preserve"> 2008</w:t>
      </w:r>
      <w:r w:rsidR="00D66B89" w:rsidRPr="00101A2A">
        <w:t xml:space="preserve"> and </w:t>
      </w:r>
      <w:r w:rsidR="00105A84" w:rsidRPr="00101A2A">
        <w:t xml:space="preserve">2015. </w:t>
      </w:r>
      <w:r w:rsidR="00BE672E" w:rsidRPr="00101A2A">
        <w:t xml:space="preserve">The granularity of this </w:t>
      </w:r>
      <w:r w:rsidR="002E46AE" w:rsidRPr="00101A2A">
        <w:t xml:space="preserve">new </w:t>
      </w:r>
      <w:r w:rsidR="00BE672E" w:rsidRPr="00101A2A">
        <w:t>dataset</w:t>
      </w:r>
      <w:r w:rsidR="00D66B89" w:rsidRPr="00101A2A">
        <w:t>—</w:t>
      </w:r>
      <w:r w:rsidR="00BE672E" w:rsidRPr="00101A2A">
        <w:t xml:space="preserve">in terms of geographical detail at the city level, time, and the actors involved </w:t>
      </w:r>
      <w:r w:rsidR="00D66B89" w:rsidRPr="00101A2A">
        <w:t>(</w:t>
      </w:r>
      <w:r w:rsidR="00BE672E" w:rsidRPr="00101A2A">
        <w:t>consumers, private hosts versus firms, and regulators</w:t>
      </w:r>
      <w:r w:rsidR="00D66B89" w:rsidRPr="00101A2A">
        <w:t>)—</w:t>
      </w:r>
      <w:r w:rsidR="00BE672E" w:rsidRPr="00101A2A">
        <w:t xml:space="preserve">allows us to examine </w:t>
      </w:r>
      <w:r w:rsidR="007E306E" w:rsidRPr="00101A2A">
        <w:t xml:space="preserve">the effect of </w:t>
      </w:r>
      <w:r w:rsidR="00787A67" w:rsidRPr="00101A2A">
        <w:t>consumer</w:t>
      </w:r>
      <w:r w:rsidR="00BE672E" w:rsidRPr="00101A2A">
        <w:t xml:space="preserve">s’ perceptions about </w:t>
      </w:r>
      <w:r w:rsidR="003F72C3" w:rsidRPr="00101A2A">
        <w:t xml:space="preserve">the </w:t>
      </w:r>
      <w:r w:rsidR="00BE672E" w:rsidRPr="00101A2A">
        <w:t xml:space="preserve">prototypicality of the </w:t>
      </w:r>
      <w:r w:rsidR="003F72C3" w:rsidRPr="00101A2A">
        <w:t>hosts</w:t>
      </w:r>
      <w:r w:rsidR="00BE672E" w:rsidRPr="00101A2A">
        <w:t xml:space="preserve"> operating in the SE</w:t>
      </w:r>
      <w:r w:rsidR="003F72C3" w:rsidRPr="00101A2A">
        <w:t xml:space="preserve"> category</w:t>
      </w:r>
      <w:r w:rsidR="007E306E" w:rsidRPr="00101A2A">
        <w:t xml:space="preserve">, </w:t>
      </w:r>
      <w:r w:rsidR="00621769" w:rsidRPr="00101A2A">
        <w:t>and</w:t>
      </w:r>
      <w:r w:rsidR="00BE672E" w:rsidRPr="00101A2A">
        <w:t xml:space="preserve"> </w:t>
      </w:r>
      <w:r w:rsidR="007E306E" w:rsidRPr="00101A2A">
        <w:t xml:space="preserve">the </w:t>
      </w:r>
      <w:r>
        <w:t>impact</w:t>
      </w:r>
      <w:r w:rsidR="007E306E" w:rsidRPr="00101A2A">
        <w:t xml:space="preserve"> of regulation. </w:t>
      </w:r>
      <w:r w:rsidR="00910A12">
        <w:t xml:space="preserve">During </w:t>
      </w:r>
      <w:r w:rsidR="00910A12">
        <w:lastRenderedPageBreak/>
        <w:t xml:space="preserve">our observation period, </w:t>
      </w:r>
      <w:r>
        <w:t xml:space="preserve">three of the ten cities analyzed new municipal regulations that </w:t>
      </w:r>
      <w:r w:rsidR="00764271" w:rsidRPr="00101A2A">
        <w:t xml:space="preserve">defined </w:t>
      </w:r>
      <w:r w:rsidR="000C2C4D" w:rsidRPr="00101A2A">
        <w:t>SE category attributes</w:t>
      </w:r>
      <w:r w:rsidR="00764271" w:rsidRPr="00101A2A">
        <w:t>, i.e.</w:t>
      </w:r>
      <w:r w:rsidR="0061253F" w:rsidRPr="00101A2A">
        <w:t>,</w:t>
      </w:r>
      <w:r w:rsidR="00764271" w:rsidRPr="00101A2A">
        <w:t xml:space="preserve"> the characteristics that </w:t>
      </w:r>
      <w:r>
        <w:t>host</w:t>
      </w:r>
      <w:r w:rsidR="00764271" w:rsidRPr="00101A2A">
        <w:t xml:space="preserve"> need to have to operate </w:t>
      </w:r>
      <w:r w:rsidR="00760287" w:rsidRPr="00101A2A">
        <w:t xml:space="preserve">legitimately </w:t>
      </w:r>
      <w:r w:rsidR="00764271" w:rsidRPr="00101A2A">
        <w:t>on Airbnb</w:t>
      </w:r>
      <w:r w:rsidR="000C2C4D" w:rsidRPr="00101A2A">
        <w:t xml:space="preserve">. </w:t>
      </w:r>
    </w:p>
    <w:p w14:paraId="33E3B669" w14:textId="4040313A" w:rsidR="001229E6" w:rsidRPr="00101A2A" w:rsidRDefault="00CF592C" w:rsidP="007E6F8D">
      <w:r w:rsidRPr="00101A2A">
        <w:t xml:space="preserve">Our </w:t>
      </w:r>
      <w:r w:rsidR="000C2C4D" w:rsidRPr="00101A2A">
        <w:t xml:space="preserve">findings </w:t>
      </w:r>
      <w:r w:rsidR="001E41E9" w:rsidRPr="00101A2A">
        <w:t xml:space="preserve">confirm </w:t>
      </w:r>
      <w:r w:rsidR="00C50591" w:rsidRPr="00101A2A">
        <w:t xml:space="preserve">that </w:t>
      </w:r>
      <w:r w:rsidR="00105A84" w:rsidRPr="00101A2A">
        <w:t xml:space="preserve">the increase in </w:t>
      </w:r>
      <w:r w:rsidR="00A901E1" w:rsidRPr="00101A2A">
        <w:t>real estate prices</w:t>
      </w:r>
      <w:r w:rsidR="00105A84" w:rsidRPr="00101A2A">
        <w:t xml:space="preserve"> credited to the SE is </w:t>
      </w:r>
      <w:r w:rsidR="00D66B89" w:rsidRPr="00101A2A">
        <w:t xml:space="preserve">indeed </w:t>
      </w:r>
      <w:r w:rsidR="007519DB" w:rsidRPr="00101A2A">
        <w:t xml:space="preserve">partially </w:t>
      </w:r>
      <w:r w:rsidR="00105A84" w:rsidRPr="00101A2A">
        <w:t xml:space="preserve">attributable to participation in the SE by </w:t>
      </w:r>
      <w:r w:rsidR="0014140D" w:rsidRPr="00101A2A">
        <w:t xml:space="preserve">firms shifting properties from the </w:t>
      </w:r>
      <w:r w:rsidR="00A963BE" w:rsidRPr="00101A2A">
        <w:t xml:space="preserve">long-term rental </w:t>
      </w:r>
      <w:r w:rsidR="0014140D" w:rsidRPr="00101A2A">
        <w:t xml:space="preserve">market </w:t>
      </w:r>
      <w:r w:rsidR="0061253F" w:rsidRPr="00101A2A">
        <w:t xml:space="preserve">to Airbnb </w:t>
      </w:r>
      <w:r w:rsidR="0013349E" w:rsidRPr="00101A2A">
        <w:fldChar w:fldCharType="begin" w:fldLock="1"/>
      </w:r>
      <w:r w:rsidR="00920500">
        <w:instrText>ADDIN CSL_CITATION {"citationItems":[{"id":"ITEM-1","itemData":{"abstract":"We assess the impact of home-sharing on residential house prices and rental rates. Using a comprehensive dataset on Airbnb listings from the whole United States, we regress zipcode level house prices and rental rates on the number of Airbnb listings, controlling for endogeneity using a shift-share instrumental variable strategy. We find that a 10% increase in Airbnb listings leads to a 0.39% increase in rents and a 0.64% increase in house prices. Moreover, we find that the effect of Airbnb is smaller in zipcodes with a larger share of owner-occupiers, suggesting that it is the absentee landlords who are on the margin of substituting their homes away from the rental market and into Airbnb. We present a simple model that rationalizes these findings.","author":[{"dropping-particle":"","family":"Barron","given":"Kyle","non-dropping-particle":"","parse-names":false,"suffix":""},{"dropping-particle":"","family":"Kung","given":"Edward","non-dropping-particle":"","parse-names":false,"suffix":""},{"dropping-particle":"","family":"Proserpio","given":"Davide","non-dropping-particle":"","parse-names":false,"suffix":""}],"container-title":"Marketing Science","id":"ITEM-1","issue":"1","issued":{"date-parts":[["2021"]]},"page":"23-47","title":"The effect of home-sharing on house prices and rents: Evidence from Airbnb","type":"article-journal","volume":"40"},"uris":["http://www.mendeley.com/documents/?uuid=c3795c9e-bff0-472b-89fd-6e5c064ded01"]},{"id":"ITEM-2","itemData":{"abstract":"Online short-term rental (STR) platforms such as Airbnb have grown spectacularly. We study the effects of regu- lation of these platforms on the housing market using a quasi-experimental research design. 18 out of 88 cities in Los Angeles County have severely restricted short-term rentals by adopting Home Sharing Ordinances. We apply a panel regression-discontinuity design around the cities’ borders. Ordinances reduced listings by 50% and hous- ing prices by 2%. Additional difference-in-differences estimates show that ordinances reduced rents also by 2%. These estimates imply large effects of Airbnb on property values in areas attractive to tourists ( e.g. an increase in house prices of 15% within 2.5km of Hollywood’s Walk of Fame).","author":[{"dropping-particle":"","family":"Koster","given":"Hans","non-dropping-particle":"","parse-names":false,"suffix":""},{"dropping-particle":"","family":"Ommeren","given":"Jos","non-dropping-particle":"Van","parse-names":false,"suffix":""},{"dropping-particle":"","family":"Volkhausen","given":"Nicolas","non-dropping-particle":"","parse-names":false,"suffix":""}],"container-title":"Journal of Urban Economics","id":"ITEM-2","issued":{"date-parts":[["2021"]]},"note":"data sources:\nTomslee.net collects only a sample of all listings in a city. (It is not clear whether he does it voluntarily. In a note posted on October 2013 he wriets: &amp;quot; I collected 9527 places rented by 7112 hosts in New York. Airbnb claims 15,000 hosts, but I suspect the others are not doing much business because the searches I did over several days did not find them.&amp;quot; (http://tomslee.net/2013/10/notes-on-airbnbs-new-york-business.html)\nIt collected 29 samples of LA between Sept 2014 and July 2017.\n\nMonthly data are available on InsideAirbnb.com since April 2018. The study data collection ends in September 2018.\n\nThere is no reference to the dates of the regulatory changes, nor any description of the regulatory changes specifically.\n\nIt is possible that the data used for the analyses are biased by missing data (because they may mostly be from Tomslee.com)\nIt is also unclear which time window (before/after regulatory change) the authors used in their analyses.","page":"103356","title":"Short-term rentals and the housing market: Quasi-experimental evidence from Airbnb in Los Angeles","type":"article-journal","volume":"124"},"uris":["http://www.mendeley.com/documents/?uuid=aae15b89-e1f7-47c3-ad07-2fc6c5e41615"]},{"id":"ITEM-3","itemData":{"DOI":"10.2139/ssrn.3257521","ISBN":"0000000302","abstract":"As cities debate how to regulate Airbnb and other home-sharing services, we study the impacts of home sharing on local residential real estate markets. By accommodating transient travelers with short-term rental properties, home-sharing platforms have evolved as a major alternative channel that attracts the growing supply of residential properties. However, on the demand side of local residential markets, home-sharing platforms are not a viable option for residents. To demonstrate this dynamic between home sharing and local residential markets, we leverage a unique quasi-experiment on Airbnb—a platform policy that caps the number of properties a host can manage in a city—and find that the policy reduced rents (in the long-term rental markets) and home values (in the for-sale housing markets) by about 3% and did not affect the price-to-rent ratio. Consistent with the conjecture, we find that the policy impacts can be attributed to increased supply in local residential markets because of the policy. Quantitatively, our estimates suggest that, if the density of affected Airbnb properties is 1% higher in a market, the policy may further decrease rents and home values by about 0.03%–0.06%, which is similar across each policy-affected city. Our empirical findings add to the debate about the impacts of home sharing on local residential markets with a novel data set and a unique identification strategy. Practically speaking, our research is a timely response to the debate on regulating home sharing and has implications for various stakeholders of the residential real estate markets.","author":[{"dropping-particle":"","family":"Chen","given":"Wei","non-dropping-particle":"","parse-names":false,"suffix":""},{"dropping-particle":"","family":"Wei","given":"Zaiyan","non-dropping-particle":"","parse-names":false,"suffix":""},{"dropping-particle":"","family":"Xie","given":"Karen","non-dropping-particle":"","parse-names":false,"suffix":""}],"container-title":"Management Science","id":"ITEM-3","issue":"12","issued":{"date-parts":[["2022"]]},"page":"8589-8612","title":"The Battle for Homes: How Does Home Sharing Disrupt Local Residential Markets?","type":"article-journal","volume":"68"},"uris":["http://www.mendeley.com/documents/?uuid=5112e5d4-27be-416a-819a-a389df846e47"]}],"mendeley":{"formattedCitation":"(Barron et al., 2021; Chen et al., 2022; H. Koster, Van Ommeren, &amp; Volkhausen, 2021)","manualFormatting":"(Barron et al., 2021; Chen et al., 2022; Koster, van Ommeren, &amp; Volkhausen, 2021)","plainTextFormattedCitation":"(Barron et al., 2021; Chen et al., 2022; H. Koster, Van Ommeren, &amp; Volkhausen, 2021)","previouslyFormattedCitation":"(Barron et al., 2021; Chen et al., 2022; H. Koster, Van Ommeren, &amp; Volkhausen, 2021)"},"properties":{"noteIndex":0},"schema":"https://github.com/citation-style-language/schema/raw/master/csl-citation.json"}</w:instrText>
      </w:r>
      <w:r w:rsidR="0013349E" w:rsidRPr="00101A2A">
        <w:fldChar w:fldCharType="separate"/>
      </w:r>
      <w:r w:rsidR="0013349E" w:rsidRPr="00101A2A">
        <w:rPr>
          <w:noProof/>
        </w:rPr>
        <w:t>(Barron et al.</w:t>
      </w:r>
      <w:r w:rsidR="006E0981" w:rsidRPr="00101A2A">
        <w:rPr>
          <w:noProof/>
        </w:rPr>
        <w:t>,</w:t>
      </w:r>
      <w:r w:rsidR="0013349E" w:rsidRPr="00101A2A">
        <w:rPr>
          <w:noProof/>
        </w:rPr>
        <w:t xml:space="preserve"> 2021</w:t>
      </w:r>
      <w:r w:rsidR="006E0981" w:rsidRPr="00101A2A">
        <w:rPr>
          <w:noProof/>
        </w:rPr>
        <w:t>;</w:t>
      </w:r>
      <w:r w:rsidR="0013349E" w:rsidRPr="00101A2A">
        <w:rPr>
          <w:noProof/>
        </w:rPr>
        <w:t xml:space="preserve"> Chen et al.</w:t>
      </w:r>
      <w:r w:rsidR="006E0981" w:rsidRPr="00101A2A">
        <w:rPr>
          <w:noProof/>
        </w:rPr>
        <w:t>,</w:t>
      </w:r>
      <w:r w:rsidR="0013349E" w:rsidRPr="00101A2A">
        <w:rPr>
          <w:noProof/>
        </w:rPr>
        <w:t xml:space="preserve"> 2022</w:t>
      </w:r>
      <w:r w:rsidR="006E0981" w:rsidRPr="00101A2A">
        <w:rPr>
          <w:noProof/>
        </w:rPr>
        <w:t>;</w:t>
      </w:r>
      <w:r w:rsidR="0013349E" w:rsidRPr="00101A2A">
        <w:rPr>
          <w:noProof/>
        </w:rPr>
        <w:t xml:space="preserve"> Koster</w:t>
      </w:r>
      <w:r w:rsidR="006E0981" w:rsidRPr="00101A2A">
        <w:rPr>
          <w:noProof/>
        </w:rPr>
        <w:t>, van Ommeren, &amp; Volkhausen,</w:t>
      </w:r>
      <w:r w:rsidR="0013349E" w:rsidRPr="00101A2A">
        <w:rPr>
          <w:noProof/>
        </w:rPr>
        <w:t xml:space="preserve"> 2021)</w:t>
      </w:r>
      <w:r w:rsidR="0013349E" w:rsidRPr="00101A2A">
        <w:fldChar w:fldCharType="end"/>
      </w:r>
      <w:r w:rsidR="0013349E" w:rsidRPr="00101A2A">
        <w:t>.</w:t>
      </w:r>
      <w:r w:rsidR="001E41E9" w:rsidRPr="00101A2A">
        <w:t xml:space="preserve"> </w:t>
      </w:r>
      <w:r w:rsidR="000C2C4D" w:rsidRPr="00101A2A">
        <w:t>W</w:t>
      </w:r>
      <w:r w:rsidR="001503D1" w:rsidRPr="00101A2A">
        <w:t>e</w:t>
      </w:r>
      <w:r w:rsidR="000C2C4D" w:rsidRPr="00101A2A">
        <w:t xml:space="preserve"> also</w:t>
      </w:r>
      <w:r w:rsidR="001E41E9" w:rsidRPr="00101A2A">
        <w:t xml:space="preserve"> </w:t>
      </w:r>
      <w:r w:rsidR="00381B5D" w:rsidRPr="00101A2A">
        <w:t xml:space="preserve">discover </w:t>
      </w:r>
      <w:r w:rsidR="001503D1" w:rsidRPr="00101A2A">
        <w:t>that consumers</w:t>
      </w:r>
      <w:r w:rsidR="00D66B89" w:rsidRPr="00101A2A">
        <w:t>’</w:t>
      </w:r>
      <w:r w:rsidR="001503D1" w:rsidRPr="00101A2A">
        <w:t xml:space="preserve"> perceptions </w:t>
      </w:r>
      <w:r w:rsidR="000C2C4D" w:rsidRPr="00101A2A">
        <w:t xml:space="preserve">and regulations </w:t>
      </w:r>
      <w:r w:rsidR="00760287" w:rsidRPr="00101A2A">
        <w:t>moderate</w:t>
      </w:r>
      <w:r w:rsidR="000C2C4D" w:rsidRPr="00101A2A">
        <w:t xml:space="preserve"> this </w:t>
      </w:r>
      <w:r w:rsidR="003F72C3" w:rsidRPr="00101A2A">
        <w:t>result</w:t>
      </w:r>
      <w:r w:rsidR="001503D1" w:rsidRPr="00101A2A">
        <w:t>.</w:t>
      </w:r>
      <w:r w:rsidR="00797D81" w:rsidRPr="00101A2A">
        <w:t xml:space="preserve"> </w:t>
      </w:r>
      <w:r w:rsidR="000C2C4D" w:rsidRPr="00101A2A">
        <w:t>These effects have a sizeable economic significance.</w:t>
      </w:r>
      <w:r w:rsidR="00105A84" w:rsidRPr="00101A2A">
        <w:t xml:space="preserve"> </w:t>
      </w:r>
      <w:r w:rsidR="0093576F" w:rsidRPr="00101A2A">
        <w:rPr>
          <w:bCs/>
          <w:iCs/>
        </w:rPr>
        <w:t>A</w:t>
      </w:r>
      <w:r w:rsidR="000C2C4D" w:rsidRPr="00101A2A">
        <w:rPr>
          <w:bCs/>
          <w:iCs/>
        </w:rPr>
        <w:t>n increase of one s</w:t>
      </w:r>
      <w:r w:rsidR="00D66B89" w:rsidRPr="00101A2A">
        <w:rPr>
          <w:bCs/>
          <w:iCs/>
        </w:rPr>
        <w:t>tandar</w:t>
      </w:r>
      <w:r w:rsidR="000C2C4D" w:rsidRPr="00101A2A">
        <w:rPr>
          <w:bCs/>
          <w:iCs/>
        </w:rPr>
        <w:t>d</w:t>
      </w:r>
      <w:r w:rsidR="00D66B89" w:rsidRPr="00101A2A">
        <w:rPr>
          <w:bCs/>
          <w:iCs/>
        </w:rPr>
        <w:t xml:space="preserve"> deviation</w:t>
      </w:r>
      <w:r w:rsidR="000C2C4D" w:rsidRPr="00101A2A">
        <w:rPr>
          <w:bCs/>
          <w:iCs/>
        </w:rPr>
        <w:t xml:space="preserve"> in </w:t>
      </w:r>
      <w:r w:rsidR="00D66B89" w:rsidRPr="00101A2A">
        <w:rPr>
          <w:bCs/>
          <w:iCs/>
        </w:rPr>
        <w:t xml:space="preserve">the proportion of </w:t>
      </w:r>
      <w:r w:rsidR="000C2C4D" w:rsidRPr="00101A2A">
        <w:rPr>
          <w:bCs/>
          <w:iCs/>
        </w:rPr>
        <w:t>spanner</w:t>
      </w:r>
      <w:r w:rsidR="00D66B89" w:rsidRPr="00101A2A">
        <w:rPr>
          <w:bCs/>
          <w:iCs/>
        </w:rPr>
        <w:t>s</w:t>
      </w:r>
      <w:r w:rsidR="000C2C4D" w:rsidRPr="00101A2A">
        <w:rPr>
          <w:bCs/>
          <w:iCs/>
        </w:rPr>
        <w:t xml:space="preserve"> </w:t>
      </w:r>
      <w:r w:rsidR="000F2930" w:rsidRPr="00101A2A">
        <w:rPr>
          <w:bCs/>
          <w:iCs/>
        </w:rPr>
        <w:t>is associated with a</w:t>
      </w:r>
      <w:r w:rsidR="000C2C4D" w:rsidRPr="00101A2A">
        <w:rPr>
          <w:bCs/>
          <w:iCs/>
        </w:rPr>
        <w:t xml:space="preserve"> $</w:t>
      </w:r>
      <w:r w:rsidR="00306968">
        <w:rPr>
          <w:bCs/>
          <w:iCs/>
        </w:rPr>
        <w:t>8,000</w:t>
      </w:r>
      <w:r w:rsidR="000C2C4D" w:rsidRPr="00101A2A">
        <w:rPr>
          <w:bCs/>
          <w:iCs/>
        </w:rPr>
        <w:t xml:space="preserve"> increase </w:t>
      </w:r>
      <w:r w:rsidR="00EF0971" w:rsidRPr="00101A2A">
        <w:rPr>
          <w:bCs/>
          <w:iCs/>
        </w:rPr>
        <w:t>in</w:t>
      </w:r>
      <w:r w:rsidR="000C2C4D" w:rsidRPr="00101A2A">
        <w:rPr>
          <w:bCs/>
          <w:iCs/>
        </w:rPr>
        <w:t xml:space="preserve"> </w:t>
      </w:r>
      <w:r w:rsidR="00B85857" w:rsidRPr="00101A2A">
        <w:rPr>
          <w:bCs/>
          <w:iCs/>
        </w:rPr>
        <w:t>real estate</w:t>
      </w:r>
      <w:r w:rsidR="000C2C4D" w:rsidRPr="00101A2A">
        <w:rPr>
          <w:bCs/>
          <w:iCs/>
        </w:rPr>
        <w:t xml:space="preserve"> price</w:t>
      </w:r>
      <w:r w:rsidR="00B85857" w:rsidRPr="00101A2A">
        <w:rPr>
          <w:bCs/>
          <w:iCs/>
        </w:rPr>
        <w:t>s</w:t>
      </w:r>
      <w:r w:rsidR="000C2C4D" w:rsidRPr="00101A2A">
        <w:rPr>
          <w:bCs/>
          <w:iCs/>
        </w:rPr>
        <w:t xml:space="preserve">. </w:t>
      </w:r>
      <w:r w:rsidR="0061253F" w:rsidRPr="00101A2A">
        <w:rPr>
          <w:bCs/>
          <w:iCs/>
        </w:rPr>
        <w:t>In contrast,</w:t>
      </w:r>
      <w:r w:rsidR="00EF0971" w:rsidRPr="00101A2A">
        <w:rPr>
          <w:bCs/>
          <w:iCs/>
        </w:rPr>
        <w:t xml:space="preserve"> a</w:t>
      </w:r>
      <w:r w:rsidR="000C2C4D" w:rsidRPr="00101A2A">
        <w:rPr>
          <w:bCs/>
          <w:iCs/>
        </w:rPr>
        <w:t xml:space="preserve">n increase </w:t>
      </w:r>
      <w:r w:rsidR="00EF0971" w:rsidRPr="00101A2A">
        <w:rPr>
          <w:bCs/>
          <w:iCs/>
        </w:rPr>
        <w:t>of</w:t>
      </w:r>
      <w:r w:rsidR="000C2C4D" w:rsidRPr="00101A2A">
        <w:rPr>
          <w:bCs/>
          <w:iCs/>
        </w:rPr>
        <w:t xml:space="preserve"> one s</w:t>
      </w:r>
      <w:r w:rsidR="00EF0971" w:rsidRPr="00101A2A">
        <w:rPr>
          <w:bCs/>
          <w:iCs/>
        </w:rPr>
        <w:t xml:space="preserve">tandard </w:t>
      </w:r>
      <w:r w:rsidR="000C2C4D" w:rsidRPr="00101A2A">
        <w:rPr>
          <w:bCs/>
          <w:iCs/>
        </w:rPr>
        <w:t>d</w:t>
      </w:r>
      <w:r w:rsidR="00EF0971" w:rsidRPr="00101A2A">
        <w:rPr>
          <w:bCs/>
          <w:iCs/>
        </w:rPr>
        <w:t>eviation</w:t>
      </w:r>
      <w:r w:rsidR="000C2C4D" w:rsidRPr="00101A2A">
        <w:rPr>
          <w:bCs/>
          <w:iCs/>
        </w:rPr>
        <w:t xml:space="preserve"> in </w:t>
      </w:r>
      <w:r w:rsidR="00787A67" w:rsidRPr="00101A2A">
        <w:rPr>
          <w:bCs/>
          <w:iCs/>
        </w:rPr>
        <w:t>consumer</w:t>
      </w:r>
      <w:r w:rsidR="000C2C4D" w:rsidRPr="00101A2A">
        <w:rPr>
          <w:bCs/>
          <w:iCs/>
        </w:rPr>
        <w:t xml:space="preserve"> attention interacted with </w:t>
      </w:r>
      <w:r w:rsidR="007519DB" w:rsidRPr="00101A2A">
        <w:rPr>
          <w:bCs/>
          <w:iCs/>
        </w:rPr>
        <w:t xml:space="preserve">spanner </w:t>
      </w:r>
      <w:r w:rsidR="000C2C4D" w:rsidRPr="00101A2A">
        <w:rPr>
          <w:bCs/>
          <w:iCs/>
        </w:rPr>
        <w:t xml:space="preserve">proportion </w:t>
      </w:r>
      <w:r w:rsidR="000F2930" w:rsidRPr="00101A2A">
        <w:rPr>
          <w:bCs/>
          <w:iCs/>
        </w:rPr>
        <w:t xml:space="preserve">is </w:t>
      </w:r>
      <w:r w:rsidR="00B4247F">
        <w:rPr>
          <w:bCs/>
          <w:iCs/>
        </w:rPr>
        <w:t>related to</w:t>
      </w:r>
      <w:r w:rsidR="000F2930" w:rsidRPr="00101A2A">
        <w:rPr>
          <w:bCs/>
          <w:iCs/>
        </w:rPr>
        <w:t xml:space="preserve"> a </w:t>
      </w:r>
      <w:r w:rsidR="000C2C4D" w:rsidRPr="00101A2A">
        <w:rPr>
          <w:bCs/>
          <w:iCs/>
        </w:rPr>
        <w:t>decrease</w:t>
      </w:r>
      <w:r w:rsidR="00F462E1" w:rsidRPr="00101A2A">
        <w:rPr>
          <w:bCs/>
          <w:iCs/>
        </w:rPr>
        <w:t xml:space="preserve"> of</w:t>
      </w:r>
      <w:r w:rsidR="000C2C4D" w:rsidRPr="00101A2A">
        <w:rPr>
          <w:bCs/>
          <w:iCs/>
        </w:rPr>
        <w:t xml:space="preserve"> the average real estate price </w:t>
      </w:r>
      <w:r w:rsidR="00EF0971" w:rsidRPr="00101A2A">
        <w:rPr>
          <w:bCs/>
          <w:iCs/>
        </w:rPr>
        <w:t>by</w:t>
      </w:r>
      <w:r w:rsidR="000C2C4D" w:rsidRPr="00101A2A">
        <w:rPr>
          <w:bCs/>
          <w:iCs/>
        </w:rPr>
        <w:t xml:space="preserve"> $</w:t>
      </w:r>
      <w:r w:rsidR="00B13CDC">
        <w:rPr>
          <w:bCs/>
          <w:iCs/>
        </w:rPr>
        <w:t>8</w:t>
      </w:r>
      <w:r w:rsidR="00306968">
        <w:rPr>
          <w:bCs/>
          <w:iCs/>
        </w:rPr>
        <w:t>00</w:t>
      </w:r>
      <w:r w:rsidR="000C2C4D" w:rsidRPr="00101A2A">
        <w:rPr>
          <w:bCs/>
          <w:iCs/>
        </w:rPr>
        <w:t xml:space="preserve">, </w:t>
      </w:r>
      <w:r w:rsidR="00E301B4">
        <w:rPr>
          <w:bCs/>
          <w:iCs/>
        </w:rPr>
        <w:t>and</w:t>
      </w:r>
      <w:r w:rsidR="00E301B4" w:rsidRPr="00101A2A">
        <w:rPr>
          <w:bCs/>
          <w:iCs/>
        </w:rPr>
        <w:t xml:space="preserve"> </w:t>
      </w:r>
      <w:r w:rsidR="00A72A49" w:rsidRPr="00101A2A">
        <w:rPr>
          <w:bCs/>
          <w:iCs/>
        </w:rPr>
        <w:t xml:space="preserve">the adoption of </w:t>
      </w:r>
      <w:r w:rsidR="000C2C4D" w:rsidRPr="00101A2A">
        <w:rPr>
          <w:bCs/>
          <w:iCs/>
        </w:rPr>
        <w:t>a</w:t>
      </w:r>
      <w:r w:rsidR="000C2C4D" w:rsidRPr="00101A2A">
        <w:t xml:space="preserve"> </w:t>
      </w:r>
      <w:r w:rsidR="007B5749" w:rsidRPr="00101A2A">
        <w:t xml:space="preserve">short-term rental market </w:t>
      </w:r>
      <w:r w:rsidR="000C2C4D" w:rsidRPr="00101A2A">
        <w:t xml:space="preserve">regulation interacted with spanner proportion </w:t>
      </w:r>
      <w:r w:rsidR="00F462E1" w:rsidRPr="00101A2A">
        <w:rPr>
          <w:bCs/>
          <w:iCs/>
        </w:rPr>
        <w:t xml:space="preserve">is associated with a </w:t>
      </w:r>
      <w:r w:rsidR="00B4247F">
        <w:rPr>
          <w:bCs/>
          <w:iCs/>
        </w:rPr>
        <w:t>reduction</w:t>
      </w:r>
      <w:r w:rsidR="00F462E1" w:rsidRPr="00101A2A">
        <w:t xml:space="preserve"> of</w:t>
      </w:r>
      <w:r w:rsidR="000C2C4D" w:rsidRPr="00101A2A">
        <w:t xml:space="preserve"> </w:t>
      </w:r>
      <w:r w:rsidR="0093576F" w:rsidRPr="00101A2A">
        <w:rPr>
          <w:bCs/>
          <w:iCs/>
        </w:rPr>
        <w:t xml:space="preserve">the average real estate price </w:t>
      </w:r>
      <w:r w:rsidR="00306968">
        <w:rPr>
          <w:bCs/>
          <w:iCs/>
        </w:rPr>
        <w:t xml:space="preserve">of </w:t>
      </w:r>
      <w:r w:rsidR="000C2C4D" w:rsidRPr="00101A2A">
        <w:rPr>
          <w:bCs/>
          <w:iCs/>
        </w:rPr>
        <w:t>$</w:t>
      </w:r>
      <w:r w:rsidR="00306968">
        <w:rPr>
          <w:bCs/>
          <w:iCs/>
        </w:rPr>
        <w:t>8,</w:t>
      </w:r>
      <w:r w:rsidR="00B13CDC">
        <w:rPr>
          <w:bCs/>
          <w:iCs/>
        </w:rPr>
        <w:t>5</w:t>
      </w:r>
      <w:r w:rsidR="00306968">
        <w:rPr>
          <w:bCs/>
          <w:iCs/>
        </w:rPr>
        <w:t>00</w:t>
      </w:r>
      <w:r w:rsidR="000C2C4D" w:rsidRPr="00101A2A">
        <w:rPr>
          <w:bCs/>
          <w:iCs/>
        </w:rPr>
        <w:t xml:space="preserve">. </w:t>
      </w:r>
    </w:p>
    <w:p w14:paraId="0D4D069A" w14:textId="502A8650" w:rsidR="00A5209B" w:rsidRPr="00101A2A" w:rsidRDefault="004C1C10" w:rsidP="007E306E">
      <w:r w:rsidRPr="00101A2A">
        <w:t xml:space="preserve">To account for these discoveries, we borrow from –and contribute to – </w:t>
      </w:r>
      <w:r w:rsidR="00240714" w:rsidRPr="00101A2A">
        <w:t>ongoing conversations on</w:t>
      </w:r>
      <w:r w:rsidR="00105A84" w:rsidRPr="00101A2A">
        <w:t xml:space="preserve"> </w:t>
      </w:r>
      <w:r w:rsidR="00C01944" w:rsidRPr="00101A2A">
        <w:t xml:space="preserve">categories </w:t>
      </w:r>
      <w:r w:rsidR="00AB0F14" w:rsidRPr="00101A2A">
        <w:fldChar w:fldCharType="begin" w:fldLock="1"/>
      </w:r>
      <w:r w:rsidR="00920500">
        <w:instrText>ADDIN CSL_CITATION {"citationItems":[{"id":"ITEM-1","itemData":{"DOI":"10.1016/j.respol.2019.103911","ISSN":"00487333","abstract":"Industries with emerging market categories offer greater opportunities for firms to innovate. However, such opportunities are not a matter of “the more, the better.” An increasing number of emerging market categories poses a dilemma. While more emerging market categories arguably bring about increasing growth opportunities, they can also generate greater ambiguity for incumbent firms, which may hinder their innovation efforts. This study attempts to address this dilemma by proposing that the number of emerging market categories in an industry will have an inverted U-shaped relationship with incumbent firms’ innovation efforts. We further argue that this curvilinear relationship will be influenced by the socio-cognitive context of a firm's focal industry, in the sense that the degree of collective identity incoherence at the industry level will intensify the proposed inverted U-shaped relationship, whereas the prevalence of trade associations in the industry will depress this relationship. We test our hypotheses by examining research and development (R&amp;D) investments of a sample of U.S. high-technology manufacturing firms and find support for our main prediction and the hypothesized effect of collective identity incoherence. We also find a surprising but intriguing moderating effect of trade associations.","author":[{"dropping-particle":"","family":"Lo","given":"Jade Y.","non-dropping-particle":"","parse-names":false,"suffix":""},{"dropping-particle":"","family":"Nag","given":"Rajiv","non-dropping-particle":"","parse-names":false,"suffix":""},{"dropping-particle":"","family":"Xu","given":"Lei","non-dropping-particle":"","parse-names":false,"suffix":""},{"dropping-particle":"","family":"Agung","given":"Shanti D.","non-dropping-particle":"","parse-names":false,"suffix":""}],"container-title":"Research Policy","id":"ITEM-1","issue":"3","issued":{"date-parts":[["2020"]]},"page":"103911","publisher":"Elsevier","title":"Organizational innovation efforts in multiple emerging market categories: Exploring the interplay of opportunity, ambiguity, and socio-cognitive contexts","type":"article-journal","volume":"49"},"uris":["http://www.mendeley.com/documents/?uuid=e059ff12-0d6b-4ded-b8d1-5bfb2c7bf71a"]},{"id":"ITEM-2","itemData":{"DOI":"10.1016/j.respol.2014.08.003","ISSN":"00487333","abstract":"Technology transfer offices (TTOs) are of strategic importance to universities committed to the commercialization of academic knowledge. Within the university, TTOs' relationship with academics and management is single agent-multiple principal. When two principals exist in an agency relationship, conflicting expectations can naturally arise. We explore how TTOs build legitimacy by shaping identity with university academics and management. In undertaking this research we draw on 63 interviews with TTO executives across 22 universities in the Ireland, New Zealand and the United States. We find that TTOs use identity-conformance and identity-manipulation to shape a dual identity, one scientific and the other business, with academics and management respectively. We show how this combination of identity strategies is ineffective for legitimizing the TTO. We propose that TTOs' identity shaping strategies are incomplete and need to incorporate a wholly distinctive identity to complement and reinforce preliminary legitimacy claims made through conformance and manipulation. We discuss the potential implications of these findings for scholars, TTO executives and university management.","author":[{"dropping-particle":"","family":"O'Kane","given":"Conor","non-dropping-particle":"","parse-names":false,"suffix":""},{"dropping-particle":"","family":"Mangematin","given":"Vincent","non-dropping-particle":"","parse-names":false,"suffix":""},{"dropping-particle":"","family":"Geoghegan","given":"Will","non-dropping-particle":"","parse-names":false,"suffix":""},{"dropping-particle":"","family":"Fitzgerald","given":"Ciara","non-dropping-particle":"","parse-names":false,"suffix":""}],"container-title":"Research Policy","id":"ITEM-2","issue":"2","issued":{"date-parts":[["2015"]]},"page":"421-437","publisher":"Elsevier B.V.","title":"University technology transfer offices: The search for identity to build legitimacy","type":"article-journal","volume":"44"},"uris":["http://www.mendeley.com/documents/?uuid=62eebfff-b9c5-49ac-b089-d25512129eef"]},{"id":"ITEM-3","itemData":{"DOI":"10.5465/amd.2016.0153","author":[{"dropping-particle":"","family":"Uzunca","given":"Bilgehan","non-dropping-particle":"","parse-names":false,"suffix":""},{"dropping-particle":"","family":"Rigtering","given":"J.P. Coen","non-dropping-particle":"","parse-names":false,"suffix":""},{"dropping-particle":"","family":"Ozcan","given":"Pinar","non-dropping-particle":"","parse-names":false,"suffix":""}],"container-title":"Academy of Management Discoveries","id":"ITEM-3","issue":"3","issued":{"date-parts":[["2018"]]},"note":"Discussion is called &amp;quot;theoretical contributions&amp;quot;. It may be because it is a qualitative satudy. Anyway, long discussion, that discusses controibutions to open questions of the beginning.\n\ncite for:\nstudy on airbnb and its institutional environment","page":"248-272","title":"Sharing and Shaping: A cross-country comparison of how sharing economy firms shape their institutional environment to gain legitimacy","type":"article-journal","volume":"4"},"uris":["http://www.mendeley.com/documents/?uuid=7e7040b2-d2c2-4e17-99bb-e2620b7be82a"]}],"mendeley":{"formattedCitation":"(Lo, Nag, Xu, &amp; Agung, 2020; O’Kane, Mangematin, Geoghegan, &amp; Fitzgerald, 2015; Uzunca et al., 2018)","manualFormatting":"(Lo, Nag, Xu, &amp; Agung, 2020; O’Kane, Mangematin, Geoghegan, &amp; Fitzgerald, 2015; Uzunca et al., 2018)","plainTextFormattedCitation":"(Lo, Nag, Xu, &amp; Agung, 2020; O’Kane, Mangematin, Geoghegan, &amp; Fitzgerald, 2015; Uzunca et al., 2018)","previouslyFormattedCitation":"(Lo, Nag, Xu, &amp; Agung, 2020; O’Kane, Mangematin, Geoghegan, &amp; Fitzgerald, 2015; Uzunca et al., 2018)"},"properties":{"noteIndex":0},"schema":"https://github.com/citation-style-language/schema/raw/master/csl-citation.json"}</w:instrText>
      </w:r>
      <w:r w:rsidR="00AB0F14" w:rsidRPr="00101A2A">
        <w:fldChar w:fldCharType="separate"/>
      </w:r>
      <w:r w:rsidR="00D945B4" w:rsidRPr="00101A2A">
        <w:rPr>
          <w:noProof/>
        </w:rPr>
        <w:t>(Lo</w:t>
      </w:r>
      <w:r w:rsidR="006E0981" w:rsidRPr="00101A2A">
        <w:rPr>
          <w:noProof/>
        </w:rPr>
        <w:t>, Nag, Xu, &amp; Agung,</w:t>
      </w:r>
      <w:r w:rsidR="00D945B4" w:rsidRPr="00101A2A">
        <w:rPr>
          <w:noProof/>
        </w:rPr>
        <w:t xml:space="preserve"> 2020</w:t>
      </w:r>
      <w:r w:rsidR="006E0981" w:rsidRPr="00101A2A">
        <w:rPr>
          <w:noProof/>
        </w:rPr>
        <w:t>;</w:t>
      </w:r>
      <w:r w:rsidR="00D945B4" w:rsidRPr="00101A2A">
        <w:rPr>
          <w:noProof/>
        </w:rPr>
        <w:t xml:space="preserve"> O’Kane</w:t>
      </w:r>
      <w:r w:rsidR="00D239C6" w:rsidRPr="00101A2A">
        <w:rPr>
          <w:noProof/>
        </w:rPr>
        <w:t>, Mangematin, Geoghegan, &amp;</w:t>
      </w:r>
      <w:r w:rsidR="00D945B4" w:rsidRPr="00101A2A">
        <w:rPr>
          <w:noProof/>
        </w:rPr>
        <w:t xml:space="preserve"> </w:t>
      </w:r>
      <w:r w:rsidR="00D239C6" w:rsidRPr="00101A2A">
        <w:rPr>
          <w:noProof/>
        </w:rPr>
        <w:t xml:space="preserve">Fitzgerald, </w:t>
      </w:r>
      <w:r w:rsidR="00D945B4" w:rsidRPr="00101A2A">
        <w:rPr>
          <w:noProof/>
        </w:rPr>
        <w:t>2015</w:t>
      </w:r>
      <w:r w:rsidR="00D239C6" w:rsidRPr="00101A2A">
        <w:rPr>
          <w:noProof/>
        </w:rPr>
        <w:t>;</w:t>
      </w:r>
      <w:r w:rsidR="00D945B4" w:rsidRPr="00101A2A">
        <w:rPr>
          <w:noProof/>
        </w:rPr>
        <w:t xml:space="preserve"> Uzunca et al.</w:t>
      </w:r>
      <w:r w:rsidR="00D239C6" w:rsidRPr="00101A2A">
        <w:rPr>
          <w:noProof/>
        </w:rPr>
        <w:t>,</w:t>
      </w:r>
      <w:r w:rsidR="00D945B4" w:rsidRPr="00101A2A">
        <w:rPr>
          <w:noProof/>
        </w:rPr>
        <w:t xml:space="preserve"> 2018)</w:t>
      </w:r>
      <w:r w:rsidR="00AB0F14" w:rsidRPr="00101A2A">
        <w:fldChar w:fldCharType="end"/>
      </w:r>
      <w:r w:rsidR="00943024" w:rsidRPr="00101A2A">
        <w:t xml:space="preserve">. </w:t>
      </w:r>
      <w:r w:rsidR="008C49A3" w:rsidRPr="00101A2A">
        <w:t xml:space="preserve">We </w:t>
      </w:r>
      <w:r w:rsidR="00043892" w:rsidRPr="00101A2A">
        <w:t xml:space="preserve">discover </w:t>
      </w:r>
      <w:r w:rsidR="006E400B" w:rsidRPr="00101A2A">
        <w:t>that</w:t>
      </w:r>
      <w:r w:rsidR="00043892" w:rsidRPr="00101A2A">
        <w:t xml:space="preserve"> within a category</w:t>
      </w:r>
      <w:r w:rsidR="00C01944" w:rsidRPr="00101A2A">
        <w:t>,</w:t>
      </w:r>
      <w:r w:rsidR="00043892" w:rsidRPr="00101A2A">
        <w:t xml:space="preserve"> regulations can change consumers</w:t>
      </w:r>
      <w:r w:rsidR="006E400B" w:rsidRPr="00101A2A">
        <w:t>’</w:t>
      </w:r>
      <w:r w:rsidR="00043892" w:rsidRPr="00101A2A">
        <w:t xml:space="preserve"> preferences</w:t>
      </w:r>
      <w:r w:rsidR="00771178">
        <w:t xml:space="preserve"> </w:t>
      </w:r>
      <w:r w:rsidR="00043892" w:rsidRPr="00101A2A">
        <w:fldChar w:fldCharType="begin" w:fldLock="1"/>
      </w:r>
      <w:r w:rsidR="00920500">
        <w:instrText>ADDIN CSL_CITATION {"citationItems":[{"id":"ITEM-1","itemData":{"DOI":"10.1016/j.respol.2022.104560","ISSN":"00487333","abstract":"Existing work has shown how, in platform ecosystems, firms can capture above-average rents by controlling hard-to-replace segments. However, initial conditions can have a lasting effect on a platform owner's ability to capture value as the ecosystem in which it operates evolves. We develop a theoretical framework that first considers the role of bargaining power and industry life cycle stage, showing how these shape initial governance arrangements and the platform owner's subsequent ability to capture value based on the rigidity of these arrangements. We then develop propositions, focusing on contingencies that moderate this degree of governance rigidity in platform ecosystems. Our framework helps understand the combined effects of initial conditions and governance rigidity as key drivers of a platform owner's ability to capture rents. Once we consider these dynamics, controlling a hard-to-replace segment may neither be \r\nsufficient\r\n nor \r\nnecessary\r\n to obtain a large share of the value created by an ecosystem.","author":[{"dropping-particle":"","family":"Uzunca","given":"Bilgehan","non-dropping-particle":"","parse-names":false,"suffix":""},{"dropping-particle":"","family":"Sharapov","given":"Dmitry","non-dropping-particle":"","parse-names":false,"suffix":""},{"dropping-particle":"","family":"Tee","given":"Richard","non-dropping-particle":"","parse-names":false,"suffix":""}],"container-title":"Research Policy","id":"ITEM-1","issue":"7","issued":{"date-parts":[["2022"]]},"note":"possible cite about path dependence, vale capure change and governance","page":"104560","publisher":"Elsevier B.V.","title":"Governance rigidity, industry evolution, and value capture in platform ecosystems","type":"article-journal","volume":"51"},"uris":["http://www.mendeley.com/documents/?uuid=bcdf0028-16ae-49d0-baaf-811e4cf7ec0f"]},{"id":"ITEM-2","itemData":{"DOI":"10.5465/amd.2016.0153","author":[{"dropping-particle":"","family":"Uzunca","given":"Bilgehan","non-dropping-particle":"","parse-names":false,"suffix":""},{"dropping-particle":"","family":"Rigtering","given":"J.P. Coen","non-dropping-particle":"","parse-names":false,"suffix":""},{"dropping-particle":"","family":"Ozcan","given":"Pinar","non-dropping-particle":"","parse-names":false,"suffix":""}],"container-title":"Academy of Management Discoveries","id":"ITEM-2","issue":"3","issued":{"date-parts":[["2018"]]},"note":"Discussion is called &amp;quot;theoretical contributions&amp;quot;. It may be because it is a qualitative satudy. Anyway, long discussion, that discusses controibutions to open questions of the beginning.\n\ncite for:\nstudy on airbnb and its institutional environment","page":"248-272","title":"Sharing and Shaping: A cross-country comparison of how sharing economy firms shape their institutional environment to gain legitimacy","type":"article-journal","volume":"4"},"uris":["http://www.mendeley.com/documents/?uuid=7e7040b2-d2c2-4e17-99bb-e2620b7be82a"]},{"id":"ITEM-3","itemData":{"DOI":"10.5465/amd.2016.0161","abstract":"Based on a qualitative interview study and on a quantitative survey among users of the room-sharing platform Airbnb, we show that situational closeness between sharing economy consumers and providers may prompt instances of interpersonal contamination which in turn negatively impact reviewer behavior and intention to engage in room sharing in the future. However, we also show that authenticity plays a significant alleviating role in shaping such closeness perceptions. Users whose sense of authenticity is evoked in their sharing experiences are significantly less bothered by negative instances of interpersonal closeness and are thus more liable to use sharing services. Our results point to the integral nature of both authenticity and the invocation of notions ofauthenticity for sharing business models who are reliant, by their very nature, on alleviating the imperfections of amateur production.","author":[{"dropping-particle":"","family":"Bucher","given":"Eliane","non-dropping-particle":"","parse-names":false,"suffix":""},{"dropping-particle":"","family":"Fieseler","given":"Christian","non-dropping-particle":"","parse-names":false,"suffix":""},{"dropping-particle":"","family":"Fleck","given":"Matthes","non-dropping-particle":"","parse-names":false,"suffix":""},{"dropping-particle":"","family":"Lutz","given":"Christoph","non-dropping-particle":"","parse-names":false,"suffix":""}],"container-title":"Academy of Management Discoveries","id":"ITEM-3","issue":"3","issued":{"date-parts":[["2018"]]},"page":"294-313","title":"Authenticity and the Sharing Economy","type":"article-journal","volume":"4"},"uris":["http://www.mendeley.com/documents/?uuid=62afe73d-8b02-4ca9-9a61-b37d3b29e1be"]}],"mendeley":{"formattedCitation":"(Bucher et al., 2018; Uzunca et al., 2018; Uzunca, Sharapov, &amp; Tee, 2022)","manualFormatting":"(Bucher et al., 2018; Uzunca et al. 2018, 2022)","plainTextFormattedCitation":"(Bucher et al., 2018; Uzunca et al., 2018; Uzunca, Sharapov, &amp; Tee, 2022)","previouslyFormattedCitation":"(Bucher et al., 2018; Uzunca et al., 2018; Uzunca, Sharapov, &amp; Tee, 2022)"},"properties":{"noteIndex":0},"schema":"https://github.com/citation-style-language/schema/raw/master/csl-citation.json"}</w:instrText>
      </w:r>
      <w:r w:rsidR="00043892" w:rsidRPr="00101A2A">
        <w:fldChar w:fldCharType="separate"/>
      </w:r>
      <w:r w:rsidR="00056834" w:rsidRPr="00101A2A">
        <w:rPr>
          <w:noProof/>
        </w:rPr>
        <w:t>(Bucher et al.</w:t>
      </w:r>
      <w:r w:rsidR="00D239C6" w:rsidRPr="00101A2A">
        <w:rPr>
          <w:noProof/>
        </w:rPr>
        <w:t>,</w:t>
      </w:r>
      <w:r w:rsidR="00056834" w:rsidRPr="00101A2A">
        <w:rPr>
          <w:noProof/>
        </w:rPr>
        <w:t xml:space="preserve"> 2018</w:t>
      </w:r>
      <w:r w:rsidR="00D239C6" w:rsidRPr="00101A2A">
        <w:rPr>
          <w:noProof/>
        </w:rPr>
        <w:t>;</w:t>
      </w:r>
      <w:r w:rsidR="00056834" w:rsidRPr="00101A2A">
        <w:rPr>
          <w:noProof/>
        </w:rPr>
        <w:t xml:space="preserve"> Uzunca et al. 2018, 2022)</w:t>
      </w:r>
      <w:r w:rsidR="00043892" w:rsidRPr="00101A2A">
        <w:fldChar w:fldCharType="end"/>
      </w:r>
      <w:r w:rsidR="00043892" w:rsidRPr="00101A2A">
        <w:t xml:space="preserve"> </w:t>
      </w:r>
      <w:r w:rsidR="006E400B" w:rsidRPr="00101A2A">
        <w:t xml:space="preserve">and </w:t>
      </w:r>
      <w:r w:rsidR="00043892" w:rsidRPr="00101A2A">
        <w:t xml:space="preserve">that </w:t>
      </w:r>
      <w:r w:rsidR="007519DB" w:rsidRPr="00101A2A">
        <w:t xml:space="preserve">a </w:t>
      </w:r>
      <w:r w:rsidR="00B4247F">
        <w:t>law</w:t>
      </w:r>
      <w:r w:rsidR="00105A84" w:rsidRPr="00101A2A">
        <w:t xml:space="preserve"> </w:t>
      </w:r>
      <w:r w:rsidR="00383906" w:rsidRPr="00101A2A">
        <w:t xml:space="preserve">that </w:t>
      </w:r>
      <w:r w:rsidR="006E400B" w:rsidRPr="00101A2A">
        <w:t>legitimates one</w:t>
      </w:r>
      <w:r w:rsidR="00043892" w:rsidRPr="00101A2A">
        <w:t xml:space="preserve"> subset of actors operating on the platform can be consequential even before </w:t>
      </w:r>
      <w:r w:rsidR="007519DB" w:rsidRPr="00101A2A">
        <w:t>it is</w:t>
      </w:r>
      <w:r w:rsidR="00043892" w:rsidRPr="00101A2A">
        <w:t xml:space="preserve"> enforced</w:t>
      </w:r>
      <w:r w:rsidR="00105A84" w:rsidRPr="00101A2A">
        <w:t xml:space="preserve">. </w:t>
      </w:r>
      <w:r w:rsidR="006E400B" w:rsidRPr="00101A2A">
        <w:t>W</w:t>
      </w:r>
      <w:r w:rsidR="00D9178C" w:rsidRPr="00101A2A">
        <w:t xml:space="preserve">e </w:t>
      </w:r>
      <w:r w:rsidR="006E400B" w:rsidRPr="00101A2A">
        <w:t>thus elucidate</w:t>
      </w:r>
      <w:r w:rsidR="00D9178C" w:rsidRPr="00101A2A">
        <w:t xml:space="preserve"> the dynamics within and across categories and the consequences of regulatory intervention in the attempt to define them</w:t>
      </w:r>
      <w:r w:rsidR="007B5749" w:rsidRPr="00101A2A">
        <w:t xml:space="preserve"> </w:t>
      </w:r>
      <w:r w:rsidR="007B5749" w:rsidRPr="00101A2A">
        <w:fldChar w:fldCharType="begin" w:fldLock="1"/>
      </w:r>
      <w:r w:rsidR="003749C2">
        <w:instrText>ADDIN CSL_CITATION {"citationItems":[{"id":"ITEM-1","itemData":{"DOI":"10.1177/0001839214554830","ISSN":"19303815","abstract":"Regulators, much like market actors, rely on categorical distinctions. Innovations that are ambiguous to regulatory categories but not to market actors present a problem for regulators and an opportunity for innovative firms. Using a wide range of primary and secondary, qualitative and quantitative sources, we trace the history of one class of innovative financial derivatives—interest rate and foreign exchange swaps—to show how these instruments undermined the separation of commercial and investment banking established by the Glass–Steagall Act of 1933 even as overt political action failed to do so. Swaps did not fit neatly into existing product categories—futures, securities, loans—and thus evaded regulatory scrutiny for many years. The market success of swaps put commercial and investment banks into direct competition and, in so doing, undermined Glass–Steagall. Drawing on this case, we theorize that ambiguous innovations may disrupt the regulatory status quo and shift the political burden onto parties that want to maintain existing regulations. Our findings also suggest that category-spanning innovations may be more valuable to market participants if regulators find them difficult to interpret.","author":[{"dropping-particle":"","family":"Funk","given":"Russell J.","non-dropping-particle":"","parse-names":false,"suffix":""},{"dropping-particle":"","family":"Hirschman","given":"Daniel","non-dropping-particle":"","parse-names":false,"suffix":""}],"container-title":"Administrative Science Quarterly","id":"ITEM-1","issue":"4","issued":{"date-parts":[["2014"]]},"page":"669-704","title":"Derivatives and Deregulation: Financial Innovation and the Demise of Glass–Steagall","type":"article-journal","volume":"59"},"uris":["http://www.mendeley.com/documents/?uuid=2891e643-26fb-4ad3-8bea-fce735b5d95c"]},{"id":"ITEM-2","itemData":{"author":[{"dropping-particle":"","family":"Ozcan","given":"Pinar","non-dropping-particle":"","parse-names":false,"suffix":""},{"dropping-particle":"","family":"Gurses","given":"Kerem","non-dropping-particle":"","parse-names":false,"suffix":""}],"container-title":"Academy of Management Journal","id":"ITEM-2","issue":"5","issued":{"date-parts":[["2018"]]},"note":"THIS IS A PRELIMINARY VERSION OF THE PAPER. \nNOT THE FINAL PUBLISHED","page":"1789-1820","title":"Playing cat and mouse: Contests over regulatory categorization of dietary supplements in the US","type":"article-journal","volume":"61"},"uris":["http://www.mendeley.com/documents/?uuid=509029e6-a90f-4f12-a1ac-7db371246093"]}],"mendeley":{"formattedCitation":"(Funk &amp; Hirschman, 2014; Ozcan &amp; Gurses, 2018)","manualFormatting":"(Funk &amp; Hirschman, 2014; Ozcan &amp; Gurses, 2018)","plainTextFormattedCitation":"(Funk &amp; Hirschman, 2014; Ozcan &amp; Gurses, 2018)","previouslyFormattedCitation":"(Funk &amp; Hirschman, 2014; Ozcan &amp; Gurses, 2018)"},"properties":{"noteIndex":0},"schema":"https://github.com/citation-style-language/schema/raw/master/csl-citation.json"}</w:instrText>
      </w:r>
      <w:r w:rsidR="007B5749" w:rsidRPr="00101A2A">
        <w:fldChar w:fldCharType="separate"/>
      </w:r>
      <w:r w:rsidR="007B5749" w:rsidRPr="00101A2A">
        <w:rPr>
          <w:noProof/>
        </w:rPr>
        <w:t xml:space="preserve">(Funk </w:t>
      </w:r>
      <w:r w:rsidR="00D239C6" w:rsidRPr="00101A2A">
        <w:rPr>
          <w:noProof/>
        </w:rPr>
        <w:t>&amp;</w:t>
      </w:r>
      <w:r w:rsidR="007B5749" w:rsidRPr="00101A2A">
        <w:rPr>
          <w:noProof/>
        </w:rPr>
        <w:t xml:space="preserve"> Hirschman</w:t>
      </w:r>
      <w:r w:rsidR="00D239C6" w:rsidRPr="00101A2A">
        <w:rPr>
          <w:noProof/>
        </w:rPr>
        <w:t>,</w:t>
      </w:r>
      <w:r w:rsidR="007B5749" w:rsidRPr="00101A2A">
        <w:rPr>
          <w:noProof/>
        </w:rPr>
        <w:t xml:space="preserve"> 2014</w:t>
      </w:r>
      <w:r w:rsidR="00D239C6" w:rsidRPr="00101A2A">
        <w:rPr>
          <w:noProof/>
        </w:rPr>
        <w:t>;</w:t>
      </w:r>
      <w:r w:rsidR="007B5749" w:rsidRPr="00101A2A">
        <w:rPr>
          <w:noProof/>
        </w:rPr>
        <w:t xml:space="preserve"> Ozcan </w:t>
      </w:r>
      <w:r w:rsidR="00D239C6" w:rsidRPr="00101A2A">
        <w:rPr>
          <w:noProof/>
        </w:rPr>
        <w:t>&amp;</w:t>
      </w:r>
      <w:r w:rsidR="007B5749" w:rsidRPr="00101A2A">
        <w:rPr>
          <w:noProof/>
        </w:rPr>
        <w:t xml:space="preserve"> Gurses</w:t>
      </w:r>
      <w:r w:rsidR="00D239C6" w:rsidRPr="00101A2A">
        <w:rPr>
          <w:noProof/>
        </w:rPr>
        <w:t>,</w:t>
      </w:r>
      <w:r w:rsidR="007B5749" w:rsidRPr="00101A2A">
        <w:rPr>
          <w:noProof/>
        </w:rPr>
        <w:t xml:space="preserve"> 2018)</w:t>
      </w:r>
      <w:r w:rsidR="007B5749" w:rsidRPr="00101A2A">
        <w:fldChar w:fldCharType="end"/>
      </w:r>
      <w:r w:rsidR="00D9178C" w:rsidRPr="00101A2A">
        <w:t xml:space="preserve">. </w:t>
      </w:r>
      <w:r w:rsidR="00943024" w:rsidRPr="00101A2A">
        <w:t xml:space="preserve">Finally, </w:t>
      </w:r>
      <w:r w:rsidR="00760287" w:rsidRPr="00101A2A">
        <w:t xml:space="preserve">we discuss </w:t>
      </w:r>
      <w:r w:rsidR="00B4247F">
        <w:t>this study's implications for managers and</w:t>
      </w:r>
      <w:r w:rsidR="00943024" w:rsidRPr="00101A2A">
        <w:t xml:space="preserve"> policymakers. </w:t>
      </w:r>
    </w:p>
    <w:p w14:paraId="46AE4A89" w14:textId="4CA632F7" w:rsidR="00A5209B" w:rsidRPr="00101A2A" w:rsidRDefault="00A5209B" w:rsidP="00E57C71">
      <w:pPr>
        <w:pStyle w:val="Heading1"/>
        <w:keepNext/>
        <w:rPr>
          <w:lang w:val="en-US"/>
        </w:rPr>
      </w:pPr>
      <w:r w:rsidRPr="00101A2A">
        <w:rPr>
          <w:lang w:val="en-US"/>
        </w:rPr>
        <w:lastRenderedPageBreak/>
        <w:t>The sharing economy</w:t>
      </w:r>
      <w:r w:rsidR="009A332F" w:rsidRPr="00101A2A">
        <w:rPr>
          <w:lang w:val="en-US"/>
        </w:rPr>
        <w:t xml:space="preserve"> phenomenon</w:t>
      </w:r>
      <w:r w:rsidR="003B0D5D" w:rsidRPr="00101A2A">
        <w:rPr>
          <w:lang w:val="en-US"/>
        </w:rPr>
        <w:t xml:space="preserve"> and airbnb</w:t>
      </w:r>
    </w:p>
    <w:p w14:paraId="276E4569" w14:textId="5C9F0391" w:rsidR="00A5209B" w:rsidRPr="00101A2A" w:rsidRDefault="00205062" w:rsidP="00DE1E3E">
      <w:r w:rsidRPr="00101A2A">
        <w:t>The</w:t>
      </w:r>
      <w:r w:rsidR="00A5209B" w:rsidRPr="00101A2A">
        <w:t xml:space="preserve"> sharing economy </w:t>
      </w:r>
      <w:r w:rsidRPr="00101A2A">
        <w:t xml:space="preserve">refers to </w:t>
      </w:r>
      <w:r w:rsidR="00A5209B" w:rsidRPr="00101A2A">
        <w:t xml:space="preserve">a class of economic arrangements in which asset owners (i.e., </w:t>
      </w:r>
      <w:r w:rsidR="001C49DB">
        <w:t>complementors</w:t>
      </w:r>
      <w:r w:rsidR="00A5209B" w:rsidRPr="00101A2A">
        <w:t xml:space="preserve">) and consumers connect </w:t>
      </w:r>
      <w:r w:rsidR="006E400B" w:rsidRPr="00101A2A">
        <w:t>through</w:t>
      </w:r>
      <w:r w:rsidR="00A5209B" w:rsidRPr="00101A2A">
        <w:t xml:space="preserve"> a digital platform </w:t>
      </w:r>
      <w:r w:rsidR="00A5209B" w:rsidRPr="00101A2A">
        <w:fldChar w:fldCharType="begin" w:fldLock="1"/>
      </w:r>
      <w:r w:rsidR="003749C2">
        <w:instrText>ADDIN CSL_CITATION {"citationItems":[{"id":"ITEM-1","itemData":{"author":[{"dropping-particle":"","family":"Sundararajan","given":"Arun","non-dropping-particle":"","parse-names":false,"suffix":""}],"id":"ITEM-1","issued":{"date-parts":[["2016"]]},"publisher":"MIT Press","publisher-place":"Boston, MA","title":"The sharing economy: The end of employment and the rise of crowd-based capitalism","type":"book"},"uris":["http://www.mendeley.com/documents/?uuid=c5527eee-82df-4ba5-b6aa-c685fb879af4"]}],"mendeley":{"formattedCitation":"(Sundararajan, 2016)","manualFormatting":"(Sundararajan, 2016)","plainTextFormattedCitation":"(Sundararajan, 2016)","previouslyFormattedCitation":"(Sundararajan, 2016)"},"properties":{"noteIndex":0},"schema":"https://github.com/citation-style-language/schema/raw/master/csl-citation.json"}</w:instrText>
      </w:r>
      <w:r w:rsidR="00A5209B" w:rsidRPr="00101A2A">
        <w:fldChar w:fldCharType="separate"/>
      </w:r>
      <w:r w:rsidR="00F8644E" w:rsidRPr="00101A2A">
        <w:rPr>
          <w:noProof/>
        </w:rPr>
        <w:t>(Sundararajan</w:t>
      </w:r>
      <w:r w:rsidR="0061253F" w:rsidRPr="00101A2A">
        <w:rPr>
          <w:noProof/>
        </w:rPr>
        <w:t>,</w:t>
      </w:r>
      <w:r w:rsidR="00F8644E" w:rsidRPr="00101A2A">
        <w:rPr>
          <w:noProof/>
        </w:rPr>
        <w:t xml:space="preserve"> 2016)</w:t>
      </w:r>
      <w:r w:rsidR="00A5209B" w:rsidRPr="00101A2A">
        <w:fldChar w:fldCharType="end"/>
      </w:r>
      <w:r w:rsidR="00A5209B" w:rsidRPr="00101A2A">
        <w:t xml:space="preserve"> and mutualize access to the products or services associated with these assets </w:t>
      </w:r>
      <w:r w:rsidR="00A5209B" w:rsidRPr="00101A2A">
        <w:fldChar w:fldCharType="begin" w:fldLock="1"/>
      </w:r>
      <w:r w:rsidR="003749C2">
        <w:instrText>ADDIN CSL_CITATION {"citationItems":[{"id":"ITEM-1","itemData":{"author":[{"dropping-particle":"","family":"Munger","given":"Michael C.","non-dropping-particle":"","parse-names":false,"suffix":""}],"id":"ITEM-1","issued":{"date-parts":[["2018"]]},"publisher":"Cambridge University Press","publisher-place":"Cambridge, United Kingdom","title":"Tomorrow 3.0: transaction costs and the sharing economy.","type":"book"},"uris":["http://www.mendeley.com/documents/?uuid=6cfde0c4-93ea-45a5-83bf-b2bcde87ab7d"]},{"id":"ITEM-2","itemData":{"author":[{"dropping-particle":"","family":"Sundararajan","given":"Arun","non-dropping-particle":"","parse-names":false,"suffix":""}],"id":"ITEM-2","issued":{"date-parts":[["2016"]]},"publisher":"MIT Press","publisher-place":"Boston, MA","title":"The sharing economy: The end of employment and the rise of crowd-based capitalism","type":"book"},"uris":["http://www.mendeley.com/documents/?uuid=c5527eee-82df-4ba5-b6aa-c685fb879af4"]}],"mendeley":{"formattedCitation":"(Munger, 2018; Sundararajan, 2016)","manualFormatting":"(Munger, 2018; Sundararajan, 2016)","plainTextFormattedCitation":"(Munger, 2018; Sundararajan, 2016)","previouslyFormattedCitation":"(Munger, 2018; Sundararajan, 2016)"},"properties":{"noteIndex":0},"schema":"https://github.com/citation-style-language/schema/raw/master/csl-citation.json"}</w:instrText>
      </w:r>
      <w:r w:rsidR="00A5209B" w:rsidRPr="00101A2A">
        <w:fldChar w:fldCharType="separate"/>
      </w:r>
      <w:r w:rsidR="00A5209B" w:rsidRPr="00101A2A">
        <w:rPr>
          <w:noProof/>
        </w:rPr>
        <w:t>(Munger</w:t>
      </w:r>
      <w:r w:rsidR="00D239C6" w:rsidRPr="00101A2A">
        <w:rPr>
          <w:noProof/>
        </w:rPr>
        <w:t>,</w:t>
      </w:r>
      <w:r w:rsidR="00A5209B" w:rsidRPr="00101A2A">
        <w:rPr>
          <w:noProof/>
        </w:rPr>
        <w:t xml:space="preserve"> 2018</w:t>
      </w:r>
      <w:r w:rsidR="00D239C6" w:rsidRPr="00101A2A">
        <w:rPr>
          <w:noProof/>
        </w:rPr>
        <w:t>;</w:t>
      </w:r>
      <w:r w:rsidR="00A5209B" w:rsidRPr="00101A2A">
        <w:rPr>
          <w:noProof/>
        </w:rPr>
        <w:t xml:space="preserve"> Sundararajan</w:t>
      </w:r>
      <w:r w:rsidR="00D239C6" w:rsidRPr="00101A2A">
        <w:rPr>
          <w:noProof/>
        </w:rPr>
        <w:t>,</w:t>
      </w:r>
      <w:r w:rsidR="00A5209B" w:rsidRPr="00101A2A">
        <w:rPr>
          <w:noProof/>
        </w:rPr>
        <w:t xml:space="preserve"> 2016)</w:t>
      </w:r>
      <w:r w:rsidR="00A5209B" w:rsidRPr="00101A2A">
        <w:fldChar w:fldCharType="end"/>
      </w:r>
      <w:r w:rsidR="00A5209B" w:rsidRPr="00101A2A">
        <w:t xml:space="preserve"> “to enable collaborative consumption” </w:t>
      </w:r>
      <w:r w:rsidR="00A5209B" w:rsidRPr="00101A2A">
        <w:fldChar w:fldCharType="begin" w:fldLock="1"/>
      </w:r>
      <w:r w:rsidR="003749C2">
        <w:instrText>ADDIN CSL_CITATION {"citationItems":[{"id":"ITEM-1","itemData":{"author":[{"dropping-particle":"","family":"Laamanen","given":"Tomi","non-dropping-particle":"","parse-names":false,"suffix":""},{"dropping-particle":"","family":"Pfeffer","given":"Jeffrey","non-dropping-particle":"","parse-names":false,"suffix":""},{"dropping-particle":"","family":"Rong","given":"Ke","non-dropping-particle":"","parse-names":false,"suffix":""},{"dropping-particle":"","family":"Ven","given":"Andrew","non-dropping-particle":"Van de","parse-names":false,"suffix":""}],"container-title":"Academy of Management Discoveries","id":"ITEM-1","issue":"3","issued":{"date-parts":[["2018"]]},"page":"213-219","title":"Business Models , Ecosystems , and Society in the Sharing Economy","type":"article-journal","volume":"4"},"uris":["http://www.mendeley.com/documents/?uuid=c74bb75f-9574-4790-b1e7-6d4518167e7b"]}],"mendeley":{"formattedCitation":"(Laamanen et al., 2018)","manualFormatting":"(Laamanen et al., 2018: 213)","plainTextFormattedCitation":"(Laamanen et al., 2018)","previouslyFormattedCitation":"(Laamanen et al., 2018)"},"properties":{"noteIndex":0},"schema":"https://github.com/citation-style-language/schema/raw/master/csl-citation.json"}</w:instrText>
      </w:r>
      <w:r w:rsidR="00A5209B" w:rsidRPr="00101A2A">
        <w:fldChar w:fldCharType="separate"/>
      </w:r>
      <w:r w:rsidR="00A5209B" w:rsidRPr="00101A2A">
        <w:rPr>
          <w:noProof/>
        </w:rPr>
        <w:t xml:space="preserve">(Laamanen </w:t>
      </w:r>
      <w:r w:rsidR="00A5209B" w:rsidRPr="00101A2A">
        <w:rPr>
          <w:iCs/>
          <w:noProof/>
        </w:rPr>
        <w:t>et al.</w:t>
      </w:r>
      <w:r w:rsidR="00A5209B" w:rsidRPr="00101A2A">
        <w:rPr>
          <w:noProof/>
        </w:rPr>
        <w:t>, 2018</w:t>
      </w:r>
      <w:r w:rsidR="00D239C6" w:rsidRPr="00101A2A">
        <w:rPr>
          <w:noProof/>
        </w:rPr>
        <w:t>:</w:t>
      </w:r>
      <w:r w:rsidR="00A5209B" w:rsidRPr="00101A2A">
        <w:rPr>
          <w:noProof/>
        </w:rPr>
        <w:t xml:space="preserve"> 213)</w:t>
      </w:r>
      <w:r w:rsidR="00A5209B" w:rsidRPr="00101A2A">
        <w:fldChar w:fldCharType="end"/>
      </w:r>
      <w:r w:rsidR="00A5209B" w:rsidRPr="00101A2A">
        <w:t xml:space="preserve">. Among the earliest examples of SE platforms are Couchsurfing, where peers host other members of the platform community without charging any rent; </w:t>
      </w:r>
      <w:proofErr w:type="spellStart"/>
      <w:r w:rsidR="00A5209B" w:rsidRPr="00101A2A">
        <w:t>BlaBlaCar</w:t>
      </w:r>
      <w:proofErr w:type="spellEnd"/>
      <w:r w:rsidR="00A5209B" w:rsidRPr="00101A2A">
        <w:t xml:space="preserve">, a platform for drivers to share seats in their cars during long trips to share travel costs (e.g., fuel, toll) and make the </w:t>
      </w:r>
      <w:r w:rsidR="00B4247F">
        <w:t>journey</w:t>
      </w:r>
      <w:r w:rsidR="00A5209B" w:rsidRPr="00101A2A">
        <w:t xml:space="preserve"> more enjoyable; and others like HomeAway and Carpooling. </w:t>
      </w:r>
    </w:p>
    <w:p w14:paraId="4C69863D" w14:textId="338C0182" w:rsidR="00A5209B" w:rsidRPr="00101A2A" w:rsidRDefault="00B4247F" w:rsidP="00CF04AA">
      <w:r>
        <w:t>Generally</w:t>
      </w:r>
      <w:r w:rsidR="00F85F1B" w:rsidRPr="00101A2A">
        <w:t>,</w:t>
      </w:r>
      <w:r w:rsidR="00A5209B" w:rsidRPr="00101A2A">
        <w:t xml:space="preserve"> SE platforms accommodate numerous </w:t>
      </w:r>
      <w:r w:rsidR="00F87B4A" w:rsidRPr="00101A2A">
        <w:t>providers and consumers</w:t>
      </w:r>
      <w:r>
        <w:t xml:space="preserve"> and refrain from exercising firm control over their behavior </w:t>
      </w:r>
      <w:r w:rsidR="00A5209B" w:rsidRPr="00101A2A">
        <w:fldChar w:fldCharType="begin" w:fldLock="1"/>
      </w:r>
      <w:r w:rsidR="003749C2">
        <w:instrText>ADDIN CSL_CITATION {"citationItems":[{"id":"ITEM-1","itemData":{"DOI":"10.1002/smj","ISBN":"0143-2095","ISSN":"13448994","abstract":"This study proposes that international joint ventures (IJVs) are terminated either when the initial purposes of the formation of the IJV have been achieved (intended termination), or when unanticipated contingencies that emerge in the external, internal, or inter-partner conditions after the establishment of the IJV impede the continuation of its operation (unintended termination). Our study examines the factors that affect intended and unintended termination and the longevity of IJVs. The findings show that approximately 90 percent of all IJV terminations are unintended and 10 percent intended, and that the frequency of intended termination and unintended termination varies noticeably depending on the initial purposes of formation. This suggests that the termination of IJVs is significantly contingent on their formation. The findings also show that the longevity of IJVs varies according to the initial purposes of formation, the initial conditions under which the IJV is formed, and the types of unanticipated contingencies that it encounters. The key theoretical issues and practical implications of the distinction between the intended and unintended termination of IJVs are also discussed.","author":[{"dropping-particle":"","family":"McIntyre","given":"David P.","non-dropping-particle":"","parse-names":false,"suffix":""},{"dropping-particle":"","family":"Srinivasan","given":"Arati","non-dropping-particle":"","parse-names":false,"suffix":""}],"container-title":"Strategic Management Journal","id":"ITEM-1","issue":"1","issued":{"date-parts":[["2017"]]},"note":"imporytant review on complementors behavior to be cited","page":"141-160","title":"Network, platforms, and strategy: emerging views and next steps","type":"article-journal","volume":"38"},"uris":["http://www.mendeley.com/documents/?uuid=24ed2899-d16c-4a45-8558-a0e91488c8f8"]},{"id":"ITEM-2","itemData":{"DOI":"10.5465/AMD.2016.0164","ISSN":"2168-1007","author":[{"dropping-particle":"","family":"Reischauer","given":"Georg","non-dropping-particle":"","parse-names":false,"suffix":""},{"dropping-particle":"","family":"Mair","given":"Johanna","non-dropping-particle":"","parse-names":false,"suffix":""}],"container-title":"Academy of Management Discoveries","id":"ITEM-2","issue":"3","issued":{"date-parts":[["2018"]]},"page":"220-247","title":"How Organizations Strategically Govern Online Communities: Lessons from the Sharing Economy","type":"article-journal","volume":"4"},"uris":["http://www.mendeley.com/documents/?uuid=ea5e0069-6997-4c97-b356-e998b13b02a6"]}],"mendeley":{"formattedCitation":"(McIntyre &amp; Srinivasan, 2017; Reischauer &amp; Mair, 2018)","manualFormatting":"(McIntyre &amp; Srinivasan, 2017; Reischauer &amp; Mair, 2018)","plainTextFormattedCitation":"(McIntyre &amp; Srinivasan, 2017; Reischauer &amp; Mair, 2018)","previouslyFormattedCitation":"(McIntyre &amp; Srinivasan, 2017; Reischauer &amp; Mair, 2018)"},"properties":{"noteIndex":0},"schema":"https://github.com/citation-style-language/schema/raw/master/csl-citation.json"}</w:instrText>
      </w:r>
      <w:r w:rsidR="00A5209B" w:rsidRPr="00101A2A">
        <w:fldChar w:fldCharType="separate"/>
      </w:r>
      <w:r w:rsidR="00A5209B" w:rsidRPr="00101A2A">
        <w:rPr>
          <w:noProof/>
        </w:rPr>
        <w:t xml:space="preserve">(McIntyre </w:t>
      </w:r>
      <w:r w:rsidR="00D239C6" w:rsidRPr="00101A2A">
        <w:rPr>
          <w:noProof/>
        </w:rPr>
        <w:t>&amp;</w:t>
      </w:r>
      <w:r w:rsidR="00A5209B" w:rsidRPr="00101A2A">
        <w:rPr>
          <w:noProof/>
        </w:rPr>
        <w:t xml:space="preserve"> Srinivasan</w:t>
      </w:r>
      <w:r w:rsidR="0061253F" w:rsidRPr="00101A2A">
        <w:rPr>
          <w:noProof/>
        </w:rPr>
        <w:t>,</w:t>
      </w:r>
      <w:r w:rsidR="00A5209B" w:rsidRPr="00101A2A">
        <w:rPr>
          <w:noProof/>
        </w:rPr>
        <w:t xml:space="preserve"> 2017</w:t>
      </w:r>
      <w:r w:rsidR="00D239C6" w:rsidRPr="00101A2A">
        <w:rPr>
          <w:noProof/>
        </w:rPr>
        <w:t>;</w:t>
      </w:r>
      <w:r w:rsidR="00A5209B" w:rsidRPr="00101A2A">
        <w:rPr>
          <w:noProof/>
        </w:rPr>
        <w:t xml:space="preserve"> Reischauer </w:t>
      </w:r>
      <w:r w:rsidR="00D239C6" w:rsidRPr="00101A2A">
        <w:rPr>
          <w:noProof/>
        </w:rPr>
        <w:t>&amp;</w:t>
      </w:r>
      <w:r w:rsidR="00A5209B" w:rsidRPr="00101A2A">
        <w:rPr>
          <w:noProof/>
        </w:rPr>
        <w:t xml:space="preserve"> Mair</w:t>
      </w:r>
      <w:r w:rsidR="00D239C6" w:rsidRPr="00101A2A">
        <w:rPr>
          <w:noProof/>
        </w:rPr>
        <w:t>,</w:t>
      </w:r>
      <w:r w:rsidR="00A5209B" w:rsidRPr="00101A2A">
        <w:rPr>
          <w:noProof/>
        </w:rPr>
        <w:t xml:space="preserve"> 2018)</w:t>
      </w:r>
      <w:r w:rsidR="00A5209B" w:rsidRPr="00101A2A">
        <w:fldChar w:fldCharType="end"/>
      </w:r>
      <w:r w:rsidR="00A5209B" w:rsidRPr="00101A2A">
        <w:t xml:space="preserve">. This hands-off approach contributes to the heterogeneity of </w:t>
      </w:r>
      <w:r w:rsidR="00F87B4A" w:rsidRPr="00101A2A">
        <w:t xml:space="preserve">actors’ </w:t>
      </w:r>
      <w:r w:rsidR="00A5209B" w:rsidRPr="00101A2A">
        <w:t>interpretations</w:t>
      </w:r>
      <w:r w:rsidR="00AF20E6">
        <w:t xml:space="preserve"> </w:t>
      </w:r>
      <w:r w:rsidR="005B594A">
        <w:t>of</w:t>
      </w:r>
      <w:r w:rsidR="00AF20E6">
        <w:t xml:space="preserve"> the SE platforms</w:t>
      </w:r>
      <w:r w:rsidR="00A5209B" w:rsidRPr="00101A2A">
        <w:t xml:space="preserve">, </w:t>
      </w:r>
      <w:r w:rsidR="00F87B4A" w:rsidRPr="00101A2A">
        <w:t>a diversity that</w:t>
      </w:r>
      <w:r w:rsidR="00A5209B" w:rsidRPr="00101A2A">
        <w:t xml:space="preserve"> characterizes </w:t>
      </w:r>
      <w:r w:rsidR="00554730" w:rsidRPr="00101A2A">
        <w:t xml:space="preserve">all </w:t>
      </w:r>
      <w:r w:rsidR="00A5209B" w:rsidRPr="00101A2A">
        <w:t xml:space="preserve">emerging </w:t>
      </w:r>
      <w:r w:rsidR="00554730" w:rsidRPr="00101A2A">
        <w:t xml:space="preserve">industries </w:t>
      </w:r>
      <w:r w:rsidR="00A5209B" w:rsidRPr="00101A2A">
        <w:fldChar w:fldCharType="begin" w:fldLock="1"/>
      </w:r>
      <w:r w:rsidR="003749C2">
        <w:instrText>ADDIN CSL_CITATION {"citationItems":[{"id":"ITEM-1","itemData":{"DOI":"10.1002/smj","ISBN":"1097-0266","ISSN":"00014273","PMID":"31767271","abstract":"The optimal time to enter emerging industries is a key concern in strategy, yet scholars struggle to create a theoretical foundation that can integrate conflicting empirical findings. We incorporate categorical dynamics to industry life cycle theory to enhance existing entry timing theories. We introduce the concept of a dominant category—the conceptual schema that most stakeholders adhere to when referring to products that address similar needs and compete for the same market space—linking it to the dominant technological design and entry-timing advantages. In particular, we propose the existence of a window of opportunity for firm entry that starts with the emergence of the dominant category and ends with the emergence of the dominant design.","author":[{"dropping-particle":"","family":"Suarez","given":"Fernando F.","non-dropping-particle":"","parse-names":false,"suffix":""},{"dropping-particle":"","family":"Grodal","given":"Stine","non-dropping-particle":"","parse-names":false,"suffix":""},{"dropping-particle":"","family":"Gotsopoulos","given":"Aleksios","non-dropping-particle":"","parse-names":false,"suffix":""}],"container-title":"Strategic Management Journal","id":"ITEM-1","issue":"3","issued":{"date-parts":[["2015"]]},"page":"437-448","title":"Perfect timing? Dominant category, dominant design, and the window of opportunity for firm entry","type":"article-journal","volume":"36"},"uris":["http://www.mendeley.com/documents/?uuid=a979da37-d748-4253-aa90-44f4dfcfbd38"]},{"id":"ITEM-2","itemData":{"DOI":"10.1108/S0733-558X(2010)0000031014","ISSN":"0733558X","abstract":"In markets, audiences generally discount offerings that fail to fit established product categories, but when misfit offerings change category meaning, the effects of conformity and deviation can reverse so that previously overlooked or unappealing offerings become popular while previously appealing products fall into disfavor. After introducing the idea of category currency to explain how the value of conformity changes with ongoing meaning construction, we use it to make sense of the emergence of nanotechnology. In conclusion, we argue that category currency is useful for explaining the changing value of conformity both in and beyond markets.","author":[{"dropping-particle":"","family":"Kennedy","given":"Mark Thomas","non-dropping-particle":"","parse-names":false,"suffix":""},{"dropping-particle":"","family":"Lo","given":"Jade Yu Chieh","non-dropping-particle":"","parse-names":false,"suffix":""},{"dropping-particle":"","family":"Lounsbury","given":"Michael","non-dropping-particle":"","parse-names":false,"suffix":""}],"container-title":"Research in the Sociology of Organizations","id":"ITEM-2","issue":"2010","issued":{"date-parts":[["2010"]]},"number-of-pages":"369-397","publisher":"Elsevier","title":"Category currency: The changing value of conformity as a function of ongoing meaning construction","type":"book","volume":"31"},"uris":["http://www.mendeley.com/documents/?uuid=619c88ee-53fc-4e21-90b5-4f92b250d4e2"]},{"id":"ITEM-3","itemData":{"DOI":"10.1177/0001839212446689","ISBN":"99-05-037E","ISSN":"0001-8392","PMID":"76538843","abstract":"This paper questions findings indicating that when organizations are hard to classify they will suffer in terms of external evaluations. Here, I suggest this depends on the audience evaluating the organization. Audiences that are ‘‘market-takers’’ consume or evaluate goods and use market labels to find and assess organizations; for them, ambiguous labels make organizations unclear and therefore less appealing. ‘‘Market-makers’’ are interested in redefining the market structure, and as a result, this type of audience sees the same ambigu- ity as flexible and therefore more appealing. I tested these ideas in a longitudi- nal analysis of U.S. software organizations between 1990 and 2002. As predicted, organizations that claim ambiguous labels are less appealing to con- sumers, an audience of market-takers, but more appealing to venture capital- ists, who are market-makers. Further, when labels are ambiguous, aversion to or preference for ambiguity arises from the label itself. Identifying with multiple ambiguous labels does not make an organization even less appealing to a con- sumer or more appealing to a venture capitalist. Finally, all types of venture capitalists are not alike in how they react to a label’s ambiguity. Independent venture capitalists act as market-makers and prefer organizations with ambigu- ous labels, while corporate venture capitalists act as market-takers and avoid them.","author":[{"dropping-particle":"","family":"Pontikes","given":"Elizabeth G","non-dropping-particle":"","parse-names":false,"suffix":""}],"container-title":"Administrative Science Quarterly","id":"ITEM-3","issue":"1","issued":{"date-parts":[["2012"]]},"page":"81-118","title":"Two Sides of the Same Coin: How Category Leniency Affects Multiple Audience Evaluations","type":"article-journal","volume":"57"},"uris":["http://www.mendeley.com/documents/?uuid=6af88d63-546d-4d9a-a5f3-9604442d127b"]}],"mendeley":{"formattedCitation":"(Kennedy, Lo, &amp; Lounsbury, 2010; Pontikes, 2012; Suarez, Grodal, &amp; Gotsopoulos, 2015)","manualFormatting":"(Kennedy, Lo, &amp; Lounsbury, 2010; Pontikes, 2012; Suarez, Grodal, &amp; Gotsopoulos, 2015)","plainTextFormattedCitation":"(Kennedy, Lo, &amp; Lounsbury, 2010; Pontikes, 2012; Suarez, Grodal, &amp; Gotsopoulos, 2015)","previouslyFormattedCitation":"(Kennedy, Lo, &amp; Lounsbury, 2010; Pontikes, 2012; Suarez, Grodal, &amp; Gotsopoulos, 2015)"},"properties":{"noteIndex":0},"schema":"https://github.com/citation-style-language/schema/raw/master/csl-citation.json"}</w:instrText>
      </w:r>
      <w:r w:rsidR="00A5209B" w:rsidRPr="00101A2A">
        <w:fldChar w:fldCharType="separate"/>
      </w:r>
      <w:r w:rsidR="00A5209B" w:rsidRPr="00101A2A">
        <w:rPr>
          <w:noProof/>
        </w:rPr>
        <w:t>(Kennedy</w:t>
      </w:r>
      <w:r w:rsidR="00D239C6" w:rsidRPr="00101A2A">
        <w:rPr>
          <w:noProof/>
        </w:rPr>
        <w:t>, Lo, &amp; Lounsbury,</w:t>
      </w:r>
      <w:r w:rsidR="00A5209B" w:rsidRPr="00101A2A">
        <w:rPr>
          <w:noProof/>
        </w:rPr>
        <w:t xml:space="preserve"> 2010</w:t>
      </w:r>
      <w:r w:rsidR="00D239C6" w:rsidRPr="00101A2A">
        <w:rPr>
          <w:noProof/>
        </w:rPr>
        <w:t>;</w:t>
      </w:r>
      <w:r w:rsidR="00A5209B" w:rsidRPr="00101A2A">
        <w:rPr>
          <w:noProof/>
        </w:rPr>
        <w:t xml:space="preserve"> Pontikes</w:t>
      </w:r>
      <w:r w:rsidR="00D239C6" w:rsidRPr="00101A2A">
        <w:rPr>
          <w:noProof/>
        </w:rPr>
        <w:t>,</w:t>
      </w:r>
      <w:r w:rsidR="00A5209B" w:rsidRPr="00101A2A">
        <w:rPr>
          <w:noProof/>
        </w:rPr>
        <w:t xml:space="preserve"> 2012</w:t>
      </w:r>
      <w:r w:rsidR="00D239C6" w:rsidRPr="00101A2A">
        <w:rPr>
          <w:noProof/>
        </w:rPr>
        <w:t>;</w:t>
      </w:r>
      <w:r w:rsidR="00A5209B" w:rsidRPr="00101A2A">
        <w:rPr>
          <w:noProof/>
        </w:rPr>
        <w:t xml:space="preserve"> Suarez</w:t>
      </w:r>
      <w:r w:rsidR="00D239C6" w:rsidRPr="00101A2A">
        <w:rPr>
          <w:noProof/>
        </w:rPr>
        <w:t>, Grodal, &amp; Gotsopoulos,</w:t>
      </w:r>
      <w:r w:rsidR="00A5209B" w:rsidRPr="00101A2A">
        <w:rPr>
          <w:noProof/>
        </w:rPr>
        <w:t xml:space="preserve"> 2015)</w:t>
      </w:r>
      <w:r w:rsidR="00A5209B" w:rsidRPr="00101A2A">
        <w:fldChar w:fldCharType="end"/>
      </w:r>
      <w:r w:rsidR="00A5209B" w:rsidRPr="00101A2A">
        <w:t xml:space="preserve">. </w:t>
      </w:r>
    </w:p>
    <w:p w14:paraId="2F2175EA" w14:textId="4B245A53" w:rsidR="00A5209B" w:rsidRPr="00101A2A" w:rsidRDefault="00A5209B" w:rsidP="002E46AE">
      <w:r w:rsidRPr="00101A2A">
        <w:t xml:space="preserve">Airbnb is an </w:t>
      </w:r>
      <w:r w:rsidR="00F92E89" w:rsidRPr="00101A2A">
        <w:t>archetypical</w:t>
      </w:r>
      <w:r w:rsidRPr="00101A2A">
        <w:t xml:space="preserve"> example of a SE platform. It offers arrangements for lodging, primarily homestays, but does not own </w:t>
      </w:r>
      <w:r w:rsidR="002947A6" w:rsidRPr="00101A2A">
        <w:t>any</w:t>
      </w:r>
      <w:r w:rsidRPr="00101A2A">
        <w:t xml:space="preserve"> real estate propert</w:t>
      </w:r>
      <w:r w:rsidR="0051245A" w:rsidRPr="00101A2A">
        <w:t>y</w:t>
      </w:r>
      <w:r w:rsidR="00B4247F">
        <w:t>. Instead, it</w:t>
      </w:r>
      <w:r w:rsidRPr="00101A2A">
        <w:t xml:space="preserve"> acts as a broker and receives commissions from each booking. </w:t>
      </w:r>
      <w:r w:rsidR="003E7213" w:rsidRPr="00101A2A">
        <w:t>From</w:t>
      </w:r>
      <w:r w:rsidR="00F87B4A" w:rsidRPr="00101A2A">
        <w:t xml:space="preserve"> </w:t>
      </w:r>
      <w:r w:rsidR="00760287" w:rsidRPr="00101A2A">
        <w:t xml:space="preserve">the beginning, </w:t>
      </w:r>
      <w:r w:rsidR="00F87B4A" w:rsidRPr="00101A2A">
        <w:t xml:space="preserve">Airbnb </w:t>
      </w:r>
      <w:r w:rsidR="003E7213" w:rsidRPr="00101A2A">
        <w:t>has attracted</w:t>
      </w:r>
      <w:r w:rsidR="00F87B4A" w:rsidRPr="00101A2A">
        <w:t xml:space="preserve"> </w:t>
      </w:r>
      <w:r w:rsidR="00B6620A" w:rsidRPr="00101A2A">
        <w:t>hosts</w:t>
      </w:r>
      <w:r w:rsidR="00B93BB8" w:rsidRPr="00101A2A">
        <w:t xml:space="preserve"> </w:t>
      </w:r>
      <w:r w:rsidR="003E7213" w:rsidRPr="00101A2A">
        <w:t xml:space="preserve">who </w:t>
      </w:r>
      <w:r w:rsidR="00B93BB8" w:rsidRPr="00101A2A">
        <w:t>shar</w:t>
      </w:r>
      <w:r w:rsidR="003E7213" w:rsidRPr="00101A2A">
        <w:t>e</w:t>
      </w:r>
      <w:r w:rsidR="00B93BB8" w:rsidRPr="00101A2A">
        <w:t xml:space="preserve"> their homes</w:t>
      </w:r>
      <w:r w:rsidR="003E7213" w:rsidRPr="00101A2A">
        <w:t xml:space="preserve"> occasionally</w:t>
      </w:r>
      <w:r w:rsidR="00B93BB8" w:rsidRPr="00101A2A">
        <w:t xml:space="preserve"> </w:t>
      </w:r>
      <w:r w:rsidR="00B93BB8" w:rsidRPr="00101A2A">
        <w:fldChar w:fldCharType="begin" w:fldLock="1"/>
      </w:r>
      <w:r w:rsidR="00920500">
        <w:instrText>ADDIN CSL_CITATION {"citationItems":[{"id":"ITEM-1","itemData":{"DOI":"10.1145/2858036.2858092","ISBN":"9781450333627","abstract":"We examine how financial assurance structures and the clearly defined financial transaction at the core of monetized network hospitality reduce uncertainty for Airbnb hosts and guests. We apply the principles of social exchange and intrinsic and extrinsic motivation to a qualitative study of Airbnb hosts to 1) describe activities that are facilitated by the peer-to-peer exchange platform and 2) how the assurance of the initial financial exchange facilitates additional social exchanges between hosts and guests. The study illustrates that the financial benefits of hosting do not necessarily crowd out intrinsic motivations for hosting but instead strengthen them and even act as a gateway to further social exchange and interpersonal interaction. We describe the assurance structures in networked peer-to-peer exchange, and explain how such assurances can reconcile contention between extrinsic and intrinsic motivations. We conclude with implications for design and future research.","author":[{"dropping-particle":"","family":"Lampinen","given":"Airi","non-dropping-particle":"","parse-names":false,"suffix":""},{"dropping-particle":"","family":"Cheshire","given":"Coye","non-dropping-particle":"","parse-names":false,"suffix":""}],"container-title":"Conference on Human Factors in Computing Systems - Proceedings","id":"ITEM-1","issued":{"date-parts":[["2016"]]},"note":"FIRST","page":"1669-1680","title":"Hosting via airbnb: Motivations and financial assurances in monetized network hospitality","type":"article-journal"},"uris":["http://www.mendeley.com/documents/?uuid=da722fee-0c3b-41ec-a6ad-d2a11a10447b"]},{"id":"ITEM-2","itemData":{"DOI":"10.1177/1042258720903404","ISSN":"15406520","abstract":"Despite the recent proliferation of sharing economy platforms, little is known about what drives providers (individual people who own assets) to enter onto a sharing economy platform. The platform does not own the assets that underlie transactions but depends on individuals to provide them. In the burgeoning market of home rental properties, we investigate the role of macro-level factors to explain geographical differences in the number of entries of providers with diverse motivations onto a sharing economy platform. Using a sample of listings posted by property owners on the Airbnb platform across different cities in Spain between 2010 and 2015, we examine how social and economic motivations of providers interact with macro-level antecedents to affect their entry. We show that macro-level drivers have a different effect on the entry of providers depending on the degree of face-to-face interaction between host and guest. We find that industry growth and the availability of underused assets increase the entry onto the platform of hosts who have little face-to-face interaction with guests, while the strictness of regulation decreases their entry. By contrast, the entry of hosts with high face-to-face interaction with guests is not affected by these factors. We discuss theoretical and research implications of the role of social interaction in provider entry and offer practical advice for those in the sharing economy about the role of social interaction in driving providers onto their platforms.","author":[{"dropping-particle":"","family":"Gerwe","given":"Oksana","non-dropping-particle":"","parse-names":false,"suffix":""},{"dropping-particle":"","family":"Silva","given":"Rosario","non-dropping-particle":"","parse-names":false,"suffix":""},{"dropping-particle":"de","family":"Castro","given":"Julio","non-dropping-particle":"","parse-names":false,"suffix":""}],"container-title":"Entrepreneurship: Theory and Practice","id":"ITEM-2","issue":"4","issued":{"date-parts":[["2020"]]},"page":"833-856","title":"Entry of providers onto a sharing economy platform: Macro-level factors and social interaction","type":"article-journal","volume":"46"},"uris":["http://www.mendeley.com/documents/?uuid=07b01916-12d9-4ae7-9ee8-eed537a05658"]}],"mendeley":{"formattedCitation":"(Gerwe, Silva, &amp; Castro, 2020; Lampinen &amp; Cheshire, 2016)","manualFormatting":"(Gerwe, Silva, &amp; De Castro, 2020; Lampinen &amp; Cheshire, 2016)","plainTextFormattedCitation":"(Gerwe, Silva, &amp; Castro, 2020; Lampinen &amp; Cheshire, 2016)","previouslyFormattedCitation":"(Gerwe, Silva, &amp; Castro, 2020; Lampinen &amp; Cheshire, 2016)"},"properties":{"noteIndex":0},"schema":"https://github.com/citation-style-language/schema/raw/master/csl-citation.json"}</w:instrText>
      </w:r>
      <w:r w:rsidR="00B93BB8" w:rsidRPr="00101A2A">
        <w:fldChar w:fldCharType="separate"/>
      </w:r>
      <w:r w:rsidR="00036D29" w:rsidRPr="00101A2A">
        <w:rPr>
          <w:noProof/>
        </w:rPr>
        <w:t>(Gerwe</w:t>
      </w:r>
      <w:r w:rsidR="00D239C6" w:rsidRPr="00101A2A">
        <w:rPr>
          <w:noProof/>
        </w:rPr>
        <w:t>, Silva, &amp; De Castro,</w:t>
      </w:r>
      <w:r w:rsidR="00036D29" w:rsidRPr="00101A2A">
        <w:rPr>
          <w:noProof/>
        </w:rPr>
        <w:t xml:space="preserve"> 2020</w:t>
      </w:r>
      <w:r w:rsidR="00D239C6" w:rsidRPr="00101A2A">
        <w:rPr>
          <w:noProof/>
        </w:rPr>
        <w:t>;</w:t>
      </w:r>
      <w:r w:rsidR="00036D29" w:rsidRPr="00101A2A">
        <w:rPr>
          <w:noProof/>
        </w:rPr>
        <w:t xml:space="preserve"> Lampinen </w:t>
      </w:r>
      <w:r w:rsidR="00D239C6" w:rsidRPr="00101A2A">
        <w:rPr>
          <w:noProof/>
        </w:rPr>
        <w:t>&amp;</w:t>
      </w:r>
      <w:r w:rsidR="00036D29" w:rsidRPr="00101A2A">
        <w:rPr>
          <w:noProof/>
        </w:rPr>
        <w:t xml:space="preserve"> Cheshire</w:t>
      </w:r>
      <w:r w:rsidR="00D239C6" w:rsidRPr="00101A2A">
        <w:rPr>
          <w:noProof/>
        </w:rPr>
        <w:t>,</w:t>
      </w:r>
      <w:r w:rsidR="00036D29" w:rsidRPr="00101A2A">
        <w:rPr>
          <w:noProof/>
        </w:rPr>
        <w:t xml:space="preserve"> 2016)</w:t>
      </w:r>
      <w:r w:rsidR="00B93BB8" w:rsidRPr="00101A2A">
        <w:fldChar w:fldCharType="end"/>
      </w:r>
      <w:r w:rsidR="009B48C7" w:rsidRPr="00101A2A">
        <w:t xml:space="preserve">. </w:t>
      </w:r>
      <w:r w:rsidR="00B4247F">
        <w:t>Within</w:t>
      </w:r>
      <w:r w:rsidRPr="00101A2A">
        <w:t xml:space="preserve"> a few years </w:t>
      </w:r>
      <w:r w:rsidR="003E7213" w:rsidRPr="00101A2A">
        <w:t>after</w:t>
      </w:r>
      <w:r w:rsidRPr="00101A2A">
        <w:t xml:space="preserve"> its establishment, </w:t>
      </w:r>
      <w:r w:rsidR="009B48C7" w:rsidRPr="00101A2A">
        <w:t>Airbnb</w:t>
      </w:r>
      <w:r w:rsidR="003E7213" w:rsidRPr="00101A2A">
        <w:t xml:space="preserve"> also</w:t>
      </w:r>
      <w:r w:rsidR="009B48C7" w:rsidRPr="00101A2A">
        <w:t xml:space="preserve"> started attracting firms </w:t>
      </w:r>
      <w:r w:rsidR="003E7213" w:rsidRPr="00101A2A">
        <w:t>that</w:t>
      </w:r>
      <w:r w:rsidR="009B48C7" w:rsidRPr="00101A2A">
        <w:t xml:space="preserve"> </w:t>
      </w:r>
      <w:r w:rsidR="00AF20E6">
        <w:t>shifted</w:t>
      </w:r>
      <w:r w:rsidR="00AF20E6" w:rsidRPr="00101A2A">
        <w:t xml:space="preserve"> </w:t>
      </w:r>
      <w:r w:rsidR="009B48C7" w:rsidRPr="00101A2A">
        <w:t xml:space="preserve">houses from </w:t>
      </w:r>
      <w:r w:rsidR="00760287" w:rsidRPr="00101A2A">
        <w:t xml:space="preserve">other </w:t>
      </w:r>
      <w:r w:rsidR="009B48C7" w:rsidRPr="00101A2A">
        <w:t xml:space="preserve">markets </w:t>
      </w:r>
      <w:r w:rsidR="00821BEB" w:rsidRPr="00101A2A">
        <w:t xml:space="preserve">and economic uses </w:t>
      </w:r>
      <w:r w:rsidR="009B48C7" w:rsidRPr="00101A2A">
        <w:t xml:space="preserve">(especially the long-term rental market) to </w:t>
      </w:r>
      <w:r w:rsidR="003E7213" w:rsidRPr="00101A2A">
        <w:t xml:space="preserve">obtain </w:t>
      </w:r>
      <w:r w:rsidR="009B48C7" w:rsidRPr="00101A2A">
        <w:t xml:space="preserve">the </w:t>
      </w:r>
      <w:r w:rsidR="003E7213" w:rsidRPr="00101A2A">
        <w:t xml:space="preserve">higher </w:t>
      </w:r>
      <w:r w:rsidR="009B48C7" w:rsidRPr="00101A2A">
        <w:t xml:space="preserve">earnings available in the </w:t>
      </w:r>
      <w:r w:rsidR="003103B2" w:rsidRPr="00101A2A">
        <w:t>SE</w:t>
      </w:r>
      <w:r w:rsidR="009B48C7" w:rsidRPr="00101A2A">
        <w:t xml:space="preserve"> </w:t>
      </w:r>
      <w:r w:rsidR="009B48C7" w:rsidRPr="00101A2A">
        <w:fldChar w:fldCharType="begin" w:fldLock="1"/>
      </w:r>
      <w:r w:rsidR="00920500">
        <w:instrText>ADDIN CSL_CITATION {"citationItems":[{"id":"ITEM-1","itemData":{"DOI":"10.2139/ssrn.3435105","abstract":"This paper examines the impact of Airbnb on the local rental housing market. Airbnb provides landlords an alternative opportunity to rent to short-term tourists, potentially causing some property owners to switch away from long-term rental to local residents, thereby affecting the rental housing supply and afforability. Despite recent government regulations to address this concern, it remains unclear whether and what type of properties are switching.","author":[{"dropping-particle":"","family":"Li","given":"Hui","non-dropping-particle":"","parse-names":false,"suffix":""},{"dropping-particle":"","family":"Kim","given":"Yijin","non-dropping-particle":"","parse-names":false,"suffix":""},{"dropping-particle":"","family":"Srinivasan","given":"Kannan","non-dropping-particle":"","parse-names":false,"suffix":""}],"container-title":"Management Science","id":"ITEM-1","issue":"11","issued":{"date-parts":[["2022"]]},"page":"8015-8044","title":"Market Shifts in the Sharing Economy: The Impact of Airbnb on Housing Rentals","type":"article-journal","volume":"68"},"uris":["http://www.mendeley.com/documents/?uuid=a9115a92-0fdb-435d-92ec-630176016aea"]},{"id":"ITEM-2","itemData":{"DOI":"10.2139/ssrn.3257521","ISBN":"0000000302","abstract":"As cities debate how to regulate Airbnb and other home-sharing services, we study the impacts of home sharing on local residential real estate markets. By accommodating transient travelers with short-term rental properties, home-sharing platforms have evolved as a major alternative channel that attracts the growing supply of residential properties. However, on the demand side of local residential markets, home-sharing platforms are not a viable option for residents. To demonstrate this dynamic between home sharing and local residential markets, we leverage a unique quasi-experiment on Airbnb—a platform policy that caps the number of properties a host can manage in a city—and find that the policy reduced rents (in the long-term rental markets) and home values (in the for-sale housing markets) by about 3% and did not affect the price-to-rent ratio. Consistent with the conjecture, we find that the policy impacts can be attributed to increased supply in local residential markets because of the policy. Quantitatively, our estimates suggest that, if the density of affected Airbnb properties is 1% higher in a market, the policy may further decrease rents and home values by about 0.03%–0.06%, which is similar across each policy-affected city. Our empirical findings add to the debate about the impacts of home sharing on local residential markets with a novel data set and a unique identification strategy. Practically speaking, our research is a timely response to the debate on regulating home sharing and has implications for various stakeholders of the residential real estate markets.","author":[{"dropping-particle":"","family":"Chen","given":"Wei","non-dropping-particle":"","parse-names":false,"suffix":""},{"dropping-particle":"","family":"Wei","given":"Zaiyan","non-dropping-particle":"","parse-names":false,"suffix":""},{"dropping-particle":"","family":"Xie","given":"Karen","non-dropping-particle":"","parse-names":false,"suffix":""}],"container-title":"Management Science","id":"ITEM-2","issue":"12","issued":{"date-parts":[["2022"]]},"page":"8589-8612","title":"The Battle for Homes: How Does Home Sharing Disrupt Local Residential Markets?","type":"article-journal","volume":"68"},"uris":["http://www.mendeley.com/documents/?uuid=5112e5d4-27be-416a-819a-a389df846e47"]},{"id":"ITEM-3","itemData":{"abstract":"We assess the impact of home-sharing on residential house prices and rental rates. Using a comprehensive dataset on Airbnb listings from the whole United States, we regress zipcode level house prices and rental rates on the number of Airbnb listings, controlling for endogeneity using a shift-share instrumental variable strategy. We find that a 10% increase in Airbnb listings leads to a 0.39% increase in rents and a 0.64% increase in house prices. Moreover, we find that the effect of Airbnb is smaller in zipcodes with a larger share of owner-occupiers, suggesting that it is the absentee landlords who are on the margin of substituting their homes away from the rental market and into Airbnb. We present a simple model that rationalizes these findings.","author":[{"dropping-particle":"","family":"Barron","given":"Kyle","non-dropping-particle":"","parse-names":false,"suffix":""},{"dropping-particle":"","family":"Kung","given":"Edward","non-dropping-particle":"","parse-names":false,"suffix":""},{"dropping-particle":"","family":"Proserpio","given":"Davide","non-dropping-particle":"","parse-names":false,"suffix":""}],"container-title":"Marketing Science","id":"ITEM-3","issue":"1","issued":{"date-parts":[["2021"]]},"page":"23-47","title":"The effect of home-sharing on house prices and rents: Evidence from Airbnb","type":"article-journal","volume":"40"},"uris":["http://www.mendeley.com/documents/?uuid=c3795c9e-bff0-472b-89fd-6e5c064ded01"]}],"mendeley":{"formattedCitation":"(Barron et al., 2021; Chen et al., 2022; Li et al., 2022)","manualFormatting":"(Barron et al., 2021; Chen et al., 2022; Li et al. 2022)","plainTextFormattedCitation":"(Barron et al., 2021; Chen et al., 2022; Li et al., 2022)","previouslyFormattedCitation":"(Barron et al., 2021; Chen et al., 2022; Li et al., 2022)"},"properties":{"noteIndex":0},"schema":"https://github.com/citation-style-language/schema/raw/master/csl-citation.json"}</w:instrText>
      </w:r>
      <w:r w:rsidR="009B48C7" w:rsidRPr="00101A2A">
        <w:fldChar w:fldCharType="separate"/>
      </w:r>
      <w:r w:rsidR="00F8644E" w:rsidRPr="00101A2A">
        <w:rPr>
          <w:noProof/>
        </w:rPr>
        <w:t>(Barron et al.</w:t>
      </w:r>
      <w:r w:rsidR="00D239C6" w:rsidRPr="00101A2A">
        <w:rPr>
          <w:noProof/>
        </w:rPr>
        <w:t>,</w:t>
      </w:r>
      <w:r w:rsidR="00F8644E" w:rsidRPr="00101A2A">
        <w:rPr>
          <w:noProof/>
        </w:rPr>
        <w:t xml:space="preserve"> 2021</w:t>
      </w:r>
      <w:r w:rsidR="00D239C6" w:rsidRPr="00101A2A">
        <w:rPr>
          <w:noProof/>
        </w:rPr>
        <w:t>;</w:t>
      </w:r>
      <w:r w:rsidR="00F8644E" w:rsidRPr="00101A2A">
        <w:rPr>
          <w:noProof/>
        </w:rPr>
        <w:t xml:space="preserve"> Chen et al.</w:t>
      </w:r>
      <w:r w:rsidR="00D239C6" w:rsidRPr="00101A2A">
        <w:rPr>
          <w:noProof/>
        </w:rPr>
        <w:t>,</w:t>
      </w:r>
      <w:r w:rsidR="00F8644E" w:rsidRPr="00101A2A">
        <w:rPr>
          <w:noProof/>
        </w:rPr>
        <w:t xml:space="preserve"> 2022</w:t>
      </w:r>
      <w:r w:rsidR="00D239C6" w:rsidRPr="00101A2A">
        <w:rPr>
          <w:noProof/>
        </w:rPr>
        <w:t>;</w:t>
      </w:r>
      <w:r w:rsidR="00F8644E" w:rsidRPr="00101A2A">
        <w:rPr>
          <w:noProof/>
        </w:rPr>
        <w:t xml:space="preserve"> Li et al. 2022)</w:t>
      </w:r>
      <w:r w:rsidR="009B48C7" w:rsidRPr="00101A2A">
        <w:fldChar w:fldCharType="end"/>
      </w:r>
      <w:r w:rsidR="009B48C7" w:rsidRPr="00101A2A">
        <w:t xml:space="preserve">. </w:t>
      </w:r>
      <w:r w:rsidR="00821BEB" w:rsidRPr="00101A2A">
        <w:t>T</w:t>
      </w:r>
      <w:r w:rsidR="00554730" w:rsidRPr="00101A2A">
        <w:t xml:space="preserve">his latter type of </w:t>
      </w:r>
      <w:r w:rsidRPr="00101A2A">
        <w:t xml:space="preserve">Airbnb host </w:t>
      </w:r>
      <w:r w:rsidR="00B4247F">
        <w:t>allegedly creates</w:t>
      </w:r>
      <w:r w:rsidRPr="00101A2A">
        <w:t xml:space="preserve"> housing shortages and other negative externalities </w:t>
      </w:r>
      <w:r w:rsidRPr="00101A2A">
        <w:fldChar w:fldCharType="begin" w:fldLock="1"/>
      </w:r>
      <w:r w:rsidR="00920500">
        <w:instrText>ADDIN CSL_CITATION {"citationItems":[{"id":"ITEM-1","itemData":{"DOI":"10.2139/ssrn.3435105","abstract":"This paper examines the impact of Airbnb on the local rental housing market. Airbnb provides landlords an alternative opportunity to rent to short-term tourists, potentially causing some property owners to switch away from long-term rental to local residents, thereby affecting the rental housing supply and afforability. Despite recent government regulations to address this concern, it remains unclear whether and what type of properties are switching.","author":[{"dropping-particle":"","family":"Li","given":"Hui","non-dropping-particle":"","parse-names":false,"suffix":""},{"dropping-particle":"","family":"Kim","given":"Yijin","non-dropping-particle":"","parse-names":false,"suffix":""},{"dropping-particle":"","family":"Srinivasan","given":"Kannan","non-dropping-particle":"","parse-names":false,"suffix":""}],"container-title":"Management Science","id":"ITEM-1","issue":"11","issued":{"date-parts":[["2022"]]},"page":"8015-8044","title":"Market Shifts in the Sharing Economy: The Impact of Airbnb on Housing Rentals","type":"article-journal","volume":"68"},"uris":["http://www.mendeley.com/documents/?uuid=a9115a92-0fdb-435d-92ec-630176016aea"]},{"id":"ITEM-2","itemData":{"DOI":"10.2139/ssrn.2366898","abstract":"Peer-to-peer markets, collectively known as the sharing economy, have emerged as alternative suppliers of goods and services traditionally provided by long-established industries. We explore the economic impact of the sharing economy on incumbent firms by studying the case of Airbnb, a prominent platform for short-term accommodations. We analyze Airbnb's entry into the state of Texas, and quantify its impact on the Texas hotel industry over the subsequent decade. We estimate that in Austin, where Airbnb supply is highest, the causal impact on hotel revenue is in the 8-10% range; moreover, the impact is non-uniform, with lower-priced hotels and those hotels not catering to business travelers being the most affected. The impact manifests itself primarily through less aggressive hotel room pricing, an impact that benefits all consumers, not just participants in the sharing economy. The price response is especially pronounced during periods of peak demand, such as SXSW, and is due to a differentiating feature of peer-to-peer platforms -- enabling instantaneous supply to scale to meet demand.","author":[{"dropping-particle":"","family":"Zervas","given":"Georgios","non-dropping-particle":"","parse-names":false,"suffix":""},{"dropping-particle":"","family":"Proserpio","given":"Davide","non-dropping-particle":"","parse-names":false,"suffix":""},{"dropping-particle":"","family":"Byers","given":"John","non-dropping-particle":"","parse-names":false,"suffix":""}],"container-title":"Journal of Marketing Research","id":"ITEM-2","issue":"5","issued":{"date-parts":[["2017"]]},"page":"687-705","title":"The Rise of the Sharing Economy: Estimating the Impact of Airbnb on the Hotel Industry","type":"article-journal","volume":"54"},"uris":["http://www.mendeley.com/documents/?uuid=180f214d-ab39-4954-8c38-384a5b5411b9"]}],"mendeley":{"formattedCitation":"(Li et al., 2022; Zervas, Proserpio, &amp; Byers, 2017)","manualFormatting":"(Li et al., 2022; Zervas, Proserpio, &amp; Byers, 2017)","plainTextFormattedCitation":"(Li et al., 2022; Zervas, Proserpio, &amp; Byers, 2017)","previouslyFormattedCitation":"(Li et al., 2022; Zervas, Proserpio, &amp; Byers, 2017)"},"properties":{"noteIndex":0},"schema":"https://github.com/citation-style-language/schema/raw/master/csl-citation.json"}</w:instrText>
      </w:r>
      <w:r w:rsidRPr="00101A2A">
        <w:fldChar w:fldCharType="separate"/>
      </w:r>
      <w:r w:rsidR="00150DD0" w:rsidRPr="00101A2A">
        <w:rPr>
          <w:noProof/>
        </w:rPr>
        <w:t>(Li et al.</w:t>
      </w:r>
      <w:r w:rsidR="00D239C6" w:rsidRPr="00101A2A">
        <w:rPr>
          <w:noProof/>
        </w:rPr>
        <w:t>,</w:t>
      </w:r>
      <w:r w:rsidR="00150DD0" w:rsidRPr="00101A2A">
        <w:rPr>
          <w:noProof/>
        </w:rPr>
        <w:t xml:space="preserve"> 2022</w:t>
      </w:r>
      <w:r w:rsidR="00D239C6" w:rsidRPr="00101A2A">
        <w:rPr>
          <w:noProof/>
        </w:rPr>
        <w:t>;</w:t>
      </w:r>
      <w:r w:rsidR="00150DD0" w:rsidRPr="00101A2A">
        <w:rPr>
          <w:noProof/>
        </w:rPr>
        <w:t xml:space="preserve"> Zervas</w:t>
      </w:r>
      <w:r w:rsidR="00D239C6" w:rsidRPr="00101A2A">
        <w:rPr>
          <w:noProof/>
        </w:rPr>
        <w:t>, Proserpio, &amp; Byers,</w:t>
      </w:r>
      <w:r w:rsidR="00150DD0" w:rsidRPr="00101A2A">
        <w:rPr>
          <w:noProof/>
        </w:rPr>
        <w:t xml:space="preserve"> 2017)</w:t>
      </w:r>
      <w:r w:rsidRPr="00101A2A">
        <w:fldChar w:fldCharType="end"/>
      </w:r>
      <w:r w:rsidRPr="00101A2A">
        <w:t xml:space="preserve">. </w:t>
      </w:r>
    </w:p>
    <w:p w14:paraId="09423DFC" w14:textId="0F965910" w:rsidR="001E059E" w:rsidRPr="00101A2A" w:rsidRDefault="001E059E" w:rsidP="00F92E89">
      <w:pPr>
        <w:pStyle w:val="Heading2"/>
      </w:pPr>
      <w:r w:rsidRPr="00101A2A">
        <w:lastRenderedPageBreak/>
        <w:t xml:space="preserve">Single-listing </w:t>
      </w:r>
      <w:r w:rsidR="008B6EF7" w:rsidRPr="00101A2A">
        <w:t>H</w:t>
      </w:r>
      <w:r w:rsidRPr="00101A2A">
        <w:t xml:space="preserve">osts and </w:t>
      </w:r>
      <w:r w:rsidR="008B6EF7" w:rsidRPr="00101A2A">
        <w:t>S</w:t>
      </w:r>
      <w:r w:rsidRPr="00101A2A">
        <w:t xml:space="preserve">panner </w:t>
      </w:r>
      <w:r w:rsidR="008B6EF7" w:rsidRPr="00101A2A">
        <w:t>H</w:t>
      </w:r>
      <w:r w:rsidRPr="00101A2A">
        <w:t xml:space="preserve">osts </w:t>
      </w:r>
    </w:p>
    <w:p w14:paraId="050D7E9C" w14:textId="716BC51F" w:rsidR="00801675" w:rsidRPr="00101A2A" w:rsidRDefault="00801675" w:rsidP="00801675">
      <w:r w:rsidRPr="00101A2A">
        <w:t>Market spaces—particularly new, emerging market spaces—</w:t>
      </w:r>
      <w:r w:rsidR="003E7213" w:rsidRPr="00101A2A">
        <w:t>accommodate differ</w:t>
      </w:r>
      <w:r w:rsidR="00B64418">
        <w:t>ent</w:t>
      </w:r>
      <w:r w:rsidR="003E7213" w:rsidRPr="00101A2A">
        <w:t xml:space="preserve"> </w:t>
      </w:r>
      <w:r w:rsidRPr="00101A2A">
        <w:t xml:space="preserve">interpretations about </w:t>
      </w:r>
      <w:r w:rsidR="003E7213" w:rsidRPr="00101A2A">
        <w:t>what</w:t>
      </w:r>
      <w:r w:rsidRPr="00101A2A">
        <w:t xml:space="preserve"> attributes </w:t>
      </w:r>
      <w:r w:rsidR="003E7213" w:rsidRPr="00101A2A">
        <w:t xml:space="preserve">are </w:t>
      </w:r>
      <w:r w:rsidRPr="00101A2A">
        <w:t xml:space="preserve">required </w:t>
      </w:r>
      <w:r w:rsidR="003E7213" w:rsidRPr="00101A2A">
        <w:t xml:space="preserve">for membership in a </w:t>
      </w:r>
      <w:r w:rsidRPr="00101A2A">
        <w:t xml:space="preserve">category </w:t>
      </w:r>
      <w:r w:rsidRPr="00101A2A">
        <w:fldChar w:fldCharType="begin" w:fldLock="1"/>
      </w:r>
      <w:r w:rsidR="003749C2">
        <w:instrText>ADDIN CSL_CITATION {"citationItems":[{"id":"ITEM-1","itemData":{"DOI":"10.1002/smj","ISBN":"1097-0266","ISSN":"00014273","PMID":"31767271","abstract":"The optimal time to enter emerging industries is a key concern in strategy, yet scholars struggle to create a theoretical foundation that can integrate conflicting empirical findings. We incorporate categorical dynamics to industry life cycle theory to enhance existing entry timing theories. We introduce the concept of a dominant category—the conceptual schema that most stakeholders adhere to when referring to products that address similar needs and compete for the same market space—linking it to the dominant technological design and entry-timing advantages. In particular, we propose the existence of a window of opportunity for firm entry that starts with the emergence of the dominant category and ends with the emergence of the dominant design.","author":[{"dropping-particle":"","family":"Suarez","given":"Fernando F.","non-dropping-particle":"","parse-names":false,"suffix":""},{"dropping-particle":"","family":"Grodal","given":"Stine","non-dropping-particle":"","parse-names":false,"suffix":""},{"dropping-particle":"","family":"Gotsopoulos","given":"Aleksios","non-dropping-particle":"","parse-names":false,"suffix":""}],"container-title":"Strategic Management Journal","id":"ITEM-1","issue":"3","issued":{"date-parts":[["2015"]]},"page":"437-448","title":"Perfect timing? Dominant category, dominant design, and the window of opportunity for firm entry","type":"article-journal","volume":"36"},"uris":["http://www.mendeley.com/documents/?uuid=a979da37-d748-4253-aa90-44f4dfcfbd38"]},{"id":"ITEM-2","itemData":{"DOI":"10.1108/S0733-558X(2010)0000031014","ISSN":"0733558X","abstract":"In markets, audiences generally discount offerings that fail to fit established product categories, but when misfit offerings change category meaning, the effects of conformity and deviation can reverse so that previously overlooked or unappealing offerings become popular while previously appealing products fall into disfavor. After introducing the idea of category currency to explain how the value of conformity changes with ongoing meaning construction, we use it to make sense of the emergence of nanotechnology. In conclusion, we argue that category currency is useful for explaining the changing value of conformity both in and beyond markets.","author":[{"dropping-particle":"","family":"Kennedy","given":"Mark Thomas","non-dropping-particle":"","parse-names":false,"suffix":""},{"dropping-particle":"","family":"Lo","given":"Jade Yu Chieh","non-dropping-particle":"","parse-names":false,"suffix":""},{"dropping-particle":"","family":"Lounsbury","given":"Michael","non-dropping-particle":"","parse-names":false,"suffix":""}],"container-title":"Research in the Sociology of Organizations","id":"ITEM-2","issue":"2010","issued":{"date-parts":[["2010"]]},"number-of-pages":"369-397","publisher":"Elsevier","title":"Category currency: The changing value of conformity as a function of ongoing meaning construction","type":"book","volume":"31"},"uris":["http://www.mendeley.com/documents/?uuid=619c88ee-53fc-4e21-90b5-4f92b250d4e2"]}],"mendeley":{"formattedCitation":"(Kennedy et al., 2010; Suarez et al., 2015)","manualFormatting":"(Kennedy et al., 2010; Suarez et al., 2015)","plainTextFormattedCitation":"(Kennedy et al., 2010; Suarez et al., 2015)","previouslyFormattedCitation":"(Kennedy et al., 2010; Suarez et al., 2015)"},"properties":{"noteIndex":0},"schema":"https://github.com/citation-style-language/schema/raw/master/csl-citation.json"}</w:instrText>
      </w:r>
      <w:r w:rsidRPr="00101A2A">
        <w:fldChar w:fldCharType="separate"/>
      </w:r>
      <w:r w:rsidRPr="00101A2A">
        <w:rPr>
          <w:noProof/>
        </w:rPr>
        <w:t>(Kennedy et al.</w:t>
      </w:r>
      <w:r w:rsidR="00D239C6" w:rsidRPr="00101A2A">
        <w:rPr>
          <w:noProof/>
        </w:rPr>
        <w:t>,</w:t>
      </w:r>
      <w:r w:rsidRPr="00101A2A">
        <w:rPr>
          <w:noProof/>
        </w:rPr>
        <w:t xml:space="preserve"> 2010</w:t>
      </w:r>
      <w:r w:rsidR="00D239C6" w:rsidRPr="00101A2A">
        <w:rPr>
          <w:noProof/>
        </w:rPr>
        <w:t>;</w:t>
      </w:r>
      <w:r w:rsidRPr="00101A2A">
        <w:rPr>
          <w:noProof/>
        </w:rPr>
        <w:t xml:space="preserve"> Suarez et al.</w:t>
      </w:r>
      <w:r w:rsidR="00D239C6" w:rsidRPr="00101A2A">
        <w:rPr>
          <w:noProof/>
        </w:rPr>
        <w:t>,</w:t>
      </w:r>
      <w:r w:rsidRPr="00101A2A">
        <w:rPr>
          <w:noProof/>
        </w:rPr>
        <w:t xml:space="preserve"> 2015)</w:t>
      </w:r>
      <w:r w:rsidRPr="00101A2A">
        <w:fldChar w:fldCharType="end"/>
      </w:r>
      <w:r w:rsidRPr="00101A2A">
        <w:t xml:space="preserve">. In the SE, </w:t>
      </w:r>
      <w:r w:rsidR="003E7213" w:rsidRPr="00101A2A">
        <w:t xml:space="preserve">different </w:t>
      </w:r>
      <w:r w:rsidRPr="00101A2A">
        <w:t xml:space="preserve">audiences </w:t>
      </w:r>
      <w:r w:rsidR="003E7213" w:rsidRPr="00101A2A">
        <w:t xml:space="preserve">disagree </w:t>
      </w:r>
      <w:r w:rsidRPr="00101A2A">
        <w:t xml:space="preserve">about </w:t>
      </w:r>
      <w:r w:rsidR="003E2C26" w:rsidRPr="00101A2A">
        <w:t xml:space="preserve">who may </w:t>
      </w:r>
      <w:r w:rsidR="007F42D2" w:rsidRPr="00101A2A">
        <w:t>operate on a</w:t>
      </w:r>
      <w:r w:rsidR="003E7213" w:rsidRPr="00101A2A">
        <w:t>n</w:t>
      </w:r>
      <w:r w:rsidRPr="00101A2A">
        <w:t xml:space="preserve"> SE </w:t>
      </w:r>
      <w:r w:rsidR="007F42D2" w:rsidRPr="00101A2A">
        <w:t>platform</w:t>
      </w:r>
      <w:r w:rsidRPr="00101A2A">
        <w:t xml:space="preserve"> </w:t>
      </w:r>
      <w:r w:rsidRPr="00101A2A">
        <w:fldChar w:fldCharType="begin" w:fldLock="1"/>
      </w:r>
      <w:r w:rsidR="003749C2">
        <w:instrText>ADDIN CSL_CITATION {"citationItems":[{"id":"ITEM-1","itemData":{"DOI":"10.1287/orsc.2015.1011","ISSN":"1047-7039","abstract":"? 2015 INFORMS.Extant organizational literature argues that straddling institutionalized categories begets an illegitimacy discount, leading organizations to reproduce established categorical boundaries. If gaining legitimacy requires compliance with this \"categorical imperative,\" why do we frequently observe categorical straddling even in uncontested and fully institutionalized categorical structures? To address this question, we propose that de novo (i.e., newly founded) and de alio (i.e., diversifying) organizations respond differently to the categorical imperative. Specifically, de novo organizations are more likely to enter and fit in high-contrast categories than in low-contrast ones, whereas the opposite is true for de alio entrants. To test these hypotheses, we follow technological entry dynamics within the semiconductor industry between 1976 and 2002. Using patent information, we examine how category contrast affects which technological categories de novo and de alio organizations enter, and the performance associated with those entry events. A comprehensive set of empirical analyses lend support to our hypotheses. Besides clarifying the link between the categorical imperative and structural reproduction, this study bears implications for entrepreneurship and strategy research on entry dynamics.","author":[{"dropping-particle":"","family":"Carnabuci","given":"Gianluca","non-dropping-particle":"","parse-names":false,"suffix":""},{"dropping-particle":"","family":"Operti","given":"Elisa","non-dropping-particle":"","parse-names":false,"suffix":""},{"dropping-particle":"","family":"Kovács","given":"Balázs","non-dropping-particle":"","parse-names":false,"suffix":""}],"container-title":"Organization Science","id":"ITEM-1","issue":"6","issued":{"date-parts":[["2015"]]},"page":"1734-1751","title":"The Categorical Imperative and Structural Reproduction: Dynamics of Technological Entry in the Semiconductor Industry","type":"article-journal","volume":"26"},"uris":["http://www.mendeley.com/documents/?uuid=99db9771-a235-47e3-b686-b01302650fef"]},{"id":"ITEM-2","itemData":{"DOI":"10.1111/joms.12437","ISSN":"14676486","abstract":"Prior research has deemed products that span market categories a source of cognitive and institutional disruption. Portraying spanning products as purely disruptive elements, however, does not consider their large presence in markets and, consequently, the fact that producers and consumers continue to coordinate their activities on established categories despite pervasive spanning. Our paper addresses this gap by focusing on commercial success as an important condition under which spanning products, rather than being a source of disruption, sustain market coordination. From the producer side, an increasing number of commercially successful products spanning a focal category stimulates mimicry. From the consumer side, this mimicry, net of the overall level of spanning observed in the category, improves consensus. We test these arguments by focusing on the styles that map electronic music as the established categories of a market. Empirical analyses lend support to our hypotheses.","author":[{"dropping-particle":"","family":"Montauti","given":"Martina","non-dropping-particle":"","parse-names":false,"suffix":""}],"container-title":"Journal of Management Studies","id":"ITEM-2","issue":"4","issued":{"date-parts":[["2019"]]},"page":"823-853","title":"Anchors in rough seas: Understanding category spanning as a source of market coordination","type":"article-journal","volume":"56"},"uris":["http://www.mendeley.com/documents/?uuid=976c7bd8-7402-4460-98ab-58b2002724cb"]},{"id":"ITEM-3","itemData":{"DOI":"10.5465/amd.2016.0161","abstract":"Based on a qualitative interview study and on a quantitative survey among users of the room-sharing platform Airbnb, we show that situational closeness between sharing economy consumers and providers may prompt instances of interpersonal contamination which in turn negatively impact reviewer behavior and intention to engage in room sharing in the future. However, we also show that authenticity plays a significant alleviating role in shaping such closeness perceptions. Users whose sense of authenticity is evoked in their sharing experiences are significantly less bothered by negative instances of interpersonal closeness and are thus more liable to use sharing services. Our results point to the integral nature of both authenticity and the invocation of notions ofauthenticity for sharing business models who are reliant, by their very nature, on alleviating the imperfections of amateur production.","author":[{"dropping-particle":"","family":"Bucher","given":"Eliane","non-dropping-particle":"","parse-names":false,"suffix":""},{"dropping-particle":"","family":"Fieseler","given":"Christian","non-dropping-particle":"","parse-names":false,"suffix":""},{"dropping-particle":"","family":"Fleck","given":"Matthes","non-dropping-particle":"","parse-names":false,"suffix":""},{"dropping-particle":"","family":"Lutz","given":"Christoph","non-dropping-particle":"","parse-names":false,"suffix":""}],"container-title":"Academy of Management Discoveries","id":"ITEM-3","issue":"3","issued":{"date-parts":[["2018"]]},"page":"294-313","title":"Authenticity and the Sharing Economy","type":"article-journal","volume":"4"},"uris":["http://www.mendeley.com/documents/?uuid=62afe73d-8b02-4ca9-9a61-b37d3b29e1be"]},{"id":"ITEM-4","itemData":{"author":[{"dropping-particle":"","family":"Vaskelainen","given":"Taneli","non-dropping-particle":"","parse-names":false,"suffix":""},{"dropping-particle":"","family":"Munzel","given":"Karla","non-dropping-particle":"","parse-names":false,"suffix":""}],"container-title":"Academy of Management Discoveries","id":"ITEM-4","issue":"3","issued":{"date-parts":[["2018"]]},"note":"cite for definition of SE\n\nLong dis cussion:\nresults intertwined with literature to show that they are counterintuitive, hence proposing future RQs\n\ncite for:\ndifferent providers in the sharing economy use different insittutional logics, therefore different business models.","page":"273-293","title":"The effect of institutional logics on business model development in the sharing economy: The case of German carsharing services","type":"article-journal","volume":"4"},"uris":["http://www.mendeley.com/documents/?uuid=7b65851b-d884-4557-a9a0-fb4c6fb620c8"]},{"id":"ITEM-5","itemData":{"DOI":"10.1108/S0733-558X(2010)0000031014","ISSN":"0733558X","abstract":"In markets, audiences generally discount offerings that fail to fit established product categories, but when misfit offerings change category meaning, the effects of conformity and deviation can reverse so that previously overlooked or unappealing offerings become popular while previously appealing products fall into disfavor. After introducing the idea of category currency to explain how the value of conformity changes with ongoing meaning construction, we use it to make sense of the emergence of nanotechnology. In conclusion, we argue that category currency is useful for explaining the changing value of conformity both in and beyond markets.","author":[{"dropping-particle":"","family":"Kennedy","given":"Mark Thomas","non-dropping-particle":"","parse-names":false,"suffix":""},{"dropping-particle":"","family":"Lo","given":"Jade Yu Chieh","non-dropping-particle":"","parse-names":false,"suffix":""},{"dropping-particle":"","family":"Lounsbury","given":"Michael","non-dropping-particle":"","parse-names":false,"suffix":""}],"container-title":"Research in the Sociology of Organizations","id":"ITEM-5","issue":"2010","issued":{"date-parts":[["2010"]]},"number-of-pages":"369-397","publisher":"Elsevier","title":"Category currency: The changing value of conformity as a function of ongoing meaning construction","type":"book","volume":"31"},"uris":["http://www.mendeley.com/documents/?uuid=619c88ee-53fc-4e21-90b5-4f92b250d4e2"]}],"mendeley":{"formattedCitation":"(Bucher et al., 2018; Carnabuci, Operti, &amp; Kovács, 2015; Kennedy et al., 2010; Montauti, 2019; Vaskelainen &amp; Munzel, 2018)","manualFormatting":"(Bucher et al., 2018; Carnabuci, Operti, &amp; Kovács, 2015; Kennedy et al., 2010; Montauti, 2019; Vaskelainen &amp; Munzel, 2018)","plainTextFormattedCitation":"(Bucher et al., 2018; Carnabuci, Operti, &amp; Kovács, 2015; Kennedy et al., 2010; Montauti, 2019; Vaskelainen &amp; Munzel, 2018)","previouslyFormattedCitation":"(Bucher et al., 2018; Carnabuci, Operti, &amp; Kovács, 2015; Kennedy et al., 2010; Montauti, 2019; Vaskelainen &amp; Munzel, 2018)"},"properties":{"noteIndex":0},"schema":"https://github.com/citation-style-language/schema/raw/master/csl-citation.json"}</w:instrText>
      </w:r>
      <w:r w:rsidRPr="00101A2A">
        <w:fldChar w:fldCharType="separate"/>
      </w:r>
      <w:r w:rsidR="005242E8" w:rsidRPr="00101A2A">
        <w:rPr>
          <w:noProof/>
        </w:rPr>
        <w:t>(Bucher et al.</w:t>
      </w:r>
      <w:r w:rsidR="00D239C6" w:rsidRPr="00101A2A">
        <w:rPr>
          <w:noProof/>
        </w:rPr>
        <w:t>,</w:t>
      </w:r>
      <w:r w:rsidR="005242E8" w:rsidRPr="00101A2A">
        <w:rPr>
          <w:noProof/>
        </w:rPr>
        <w:t xml:space="preserve"> 2018</w:t>
      </w:r>
      <w:r w:rsidR="00D239C6" w:rsidRPr="00101A2A">
        <w:rPr>
          <w:noProof/>
        </w:rPr>
        <w:t>;</w:t>
      </w:r>
      <w:r w:rsidR="005242E8" w:rsidRPr="00101A2A">
        <w:rPr>
          <w:noProof/>
        </w:rPr>
        <w:t xml:space="preserve"> Carnabuci</w:t>
      </w:r>
      <w:r w:rsidR="00D239C6" w:rsidRPr="00101A2A">
        <w:rPr>
          <w:noProof/>
        </w:rPr>
        <w:t>, Operti, &amp; Kovács</w:t>
      </w:r>
      <w:r w:rsidR="00877ACB" w:rsidRPr="00101A2A">
        <w:rPr>
          <w:noProof/>
        </w:rPr>
        <w:t>,</w:t>
      </w:r>
      <w:r w:rsidR="005242E8" w:rsidRPr="00101A2A">
        <w:rPr>
          <w:noProof/>
        </w:rPr>
        <w:t xml:space="preserve"> 2015</w:t>
      </w:r>
      <w:r w:rsidR="00877ACB" w:rsidRPr="00101A2A">
        <w:rPr>
          <w:noProof/>
        </w:rPr>
        <w:t>;</w:t>
      </w:r>
      <w:r w:rsidR="005242E8" w:rsidRPr="00101A2A">
        <w:rPr>
          <w:noProof/>
        </w:rPr>
        <w:t xml:space="preserve"> Kennedy et al.</w:t>
      </w:r>
      <w:r w:rsidR="00877ACB" w:rsidRPr="00101A2A">
        <w:rPr>
          <w:noProof/>
        </w:rPr>
        <w:t>,</w:t>
      </w:r>
      <w:r w:rsidR="005242E8" w:rsidRPr="00101A2A">
        <w:rPr>
          <w:noProof/>
        </w:rPr>
        <w:t xml:space="preserve"> 2010</w:t>
      </w:r>
      <w:r w:rsidR="00877ACB" w:rsidRPr="00101A2A">
        <w:rPr>
          <w:noProof/>
        </w:rPr>
        <w:t>;</w:t>
      </w:r>
      <w:r w:rsidR="005242E8" w:rsidRPr="00101A2A">
        <w:rPr>
          <w:noProof/>
        </w:rPr>
        <w:t xml:space="preserve"> Montauti</w:t>
      </w:r>
      <w:r w:rsidR="00877ACB" w:rsidRPr="00101A2A">
        <w:rPr>
          <w:noProof/>
        </w:rPr>
        <w:t>,</w:t>
      </w:r>
      <w:r w:rsidR="005242E8" w:rsidRPr="00101A2A">
        <w:rPr>
          <w:noProof/>
        </w:rPr>
        <w:t xml:space="preserve"> 2019</w:t>
      </w:r>
      <w:r w:rsidR="00877ACB" w:rsidRPr="00101A2A">
        <w:rPr>
          <w:noProof/>
        </w:rPr>
        <w:t>;</w:t>
      </w:r>
      <w:r w:rsidR="005242E8" w:rsidRPr="00101A2A">
        <w:rPr>
          <w:noProof/>
        </w:rPr>
        <w:t xml:space="preserve"> Vaskelainen </w:t>
      </w:r>
      <w:r w:rsidR="00877ACB" w:rsidRPr="00101A2A">
        <w:rPr>
          <w:noProof/>
        </w:rPr>
        <w:t>&amp;</w:t>
      </w:r>
      <w:r w:rsidR="005242E8" w:rsidRPr="00101A2A">
        <w:rPr>
          <w:noProof/>
        </w:rPr>
        <w:t xml:space="preserve"> Munzel</w:t>
      </w:r>
      <w:r w:rsidR="00877ACB" w:rsidRPr="00101A2A">
        <w:rPr>
          <w:noProof/>
        </w:rPr>
        <w:t>,</w:t>
      </w:r>
      <w:r w:rsidR="005242E8" w:rsidRPr="00101A2A">
        <w:rPr>
          <w:noProof/>
        </w:rPr>
        <w:t xml:space="preserve"> 2018)</w:t>
      </w:r>
      <w:r w:rsidRPr="00101A2A">
        <w:fldChar w:fldCharType="end"/>
      </w:r>
      <w:r w:rsidRPr="00101A2A">
        <w:t xml:space="preserve">. </w:t>
      </w:r>
      <w:r w:rsidR="003E7213" w:rsidRPr="00101A2A">
        <w:t xml:space="preserve">In the case of </w:t>
      </w:r>
      <w:r w:rsidRPr="00101A2A">
        <w:t>Airbnb</w:t>
      </w:r>
      <w:r w:rsidR="005B594A">
        <w:t>,</w:t>
      </w:r>
      <w:r w:rsidRPr="00101A2A">
        <w:t xml:space="preserve"> there is disagreement among both consumers and policymakers on whether Airbnb hosts should rent </w:t>
      </w:r>
      <w:r w:rsidR="003E2C26" w:rsidRPr="00101A2A">
        <w:t xml:space="preserve">only </w:t>
      </w:r>
      <w:r w:rsidRPr="00101A2A">
        <w:t xml:space="preserve">their primary residence and offer it </w:t>
      </w:r>
      <w:r w:rsidR="003E2C26" w:rsidRPr="00101A2A">
        <w:t xml:space="preserve">only </w:t>
      </w:r>
      <w:r w:rsidR="005B594A" w:rsidRPr="00101A2A">
        <w:t>part</w:t>
      </w:r>
      <w:r w:rsidR="005B594A">
        <w:t>-</w:t>
      </w:r>
      <w:r w:rsidRPr="00101A2A">
        <w:t xml:space="preserve">time or whether they </w:t>
      </w:r>
      <w:r w:rsidR="002024BA" w:rsidRPr="00101A2A">
        <w:t xml:space="preserve">should </w:t>
      </w:r>
      <w:r w:rsidR="002024BA">
        <w:t xml:space="preserve">be allowed to </w:t>
      </w:r>
      <w:r w:rsidRPr="00101A2A">
        <w:t xml:space="preserve">rent multiple properties </w:t>
      </w:r>
      <w:r w:rsidR="005B594A" w:rsidRPr="00101A2A">
        <w:t>full</w:t>
      </w:r>
      <w:r w:rsidR="005B594A">
        <w:t>-</w:t>
      </w:r>
      <w:r w:rsidRPr="00101A2A">
        <w:t xml:space="preserve">time. </w:t>
      </w:r>
    </w:p>
    <w:p w14:paraId="00F63C2C" w14:textId="07BF93F8" w:rsidR="007F42D2" w:rsidRPr="00101A2A" w:rsidRDefault="003E2C26" w:rsidP="007F42D2">
      <w:r w:rsidRPr="00101A2A">
        <w:t>As a result</w:t>
      </w:r>
      <w:r w:rsidR="00801675" w:rsidRPr="00101A2A">
        <w:t xml:space="preserve">, spanners from the long-rental market and the more prototypical hosts coexist </w:t>
      </w:r>
      <w:r w:rsidR="007F42D2" w:rsidRPr="00101A2A">
        <w:t>on the platform</w:t>
      </w:r>
      <w:r w:rsidR="00621769">
        <w:t xml:space="preserve"> </w:t>
      </w:r>
      <w:r w:rsidR="00801675" w:rsidRPr="00101A2A">
        <w:fldChar w:fldCharType="begin" w:fldLock="1"/>
      </w:r>
      <w:r w:rsidR="003749C2">
        <w:instrText>ADDIN CSL_CITATION {"citationItems":[{"id":"ITEM-1","itemData":{"DOI":"10.1287/orsc.2015.1011","ISSN":"1047-7039","abstract":"? 2015 INFORMS.Extant organizational literature argues that straddling institutionalized categories begets an illegitimacy discount, leading organizations to reproduce established categorical boundaries. If gaining legitimacy requires compliance with this \"categorical imperative,\" why do we frequently observe categorical straddling even in uncontested and fully institutionalized categorical structures? To address this question, we propose that de novo (i.e., newly founded) and de alio (i.e., diversifying) organizations respond differently to the categorical imperative. Specifically, de novo organizations are more likely to enter and fit in high-contrast categories than in low-contrast ones, whereas the opposite is true for de alio entrants. To test these hypotheses, we follow technological entry dynamics within the semiconductor industry between 1976 and 2002. Using patent information, we examine how category contrast affects which technological categories de novo and de alio organizations enter, and the performance associated with those entry events. A comprehensive set of empirical analyses lend support to our hypotheses. Besides clarifying the link between the categorical imperative and structural reproduction, this study bears implications for entrepreneurship and strategy research on entry dynamics.","author":[{"dropping-particle":"","family":"Carnabuci","given":"Gianluca","non-dropping-particle":"","parse-names":false,"suffix":""},{"dropping-particle":"","family":"Operti","given":"Elisa","non-dropping-particle":"","parse-names":false,"suffix":""},{"dropping-particle":"","family":"Kovács","given":"Balázs","non-dropping-particle":"","parse-names":false,"suffix":""}],"container-title":"Organization Science","id":"ITEM-1","issue":"6","issued":{"date-parts":[["2015"]]},"page":"1734-1751","title":"The Categorical Imperative and Structural Reproduction: Dynamics of Technological Entry in the Semiconductor Industry","type":"article-journal","volume":"26"},"uris":["http://www.mendeley.com/documents/?uuid=99db9771-a235-47e3-b686-b01302650fef"]},{"id":"ITEM-2","itemData":{"DOI":"10.2139/ssrn.2191148","ISBN":"1047-7039","ISSN":"1047-7039","abstract":"Research across disciplines presumes that markets will have strong boundaries. Markets without well-defined boundaries typically are not useful and do not become institutionalized, so are expected to fade away. In contrast, we suggest that in many contexts lenient markets or market labels with porous boundaries, persist and become important. This can be explained by looking at both market entry and market exit. Consistent with prior research, we suggest that lenient market labels offer less credibility than labels with strong boundaries, and so organizations will be more likely to exit these markets. At the same time, lenient market labels are more accepting of many different types of organizations. As a result, we expect lenient labels to also have high rates of entry. When entry rates are higher than exit rates, lenient markets will endure over time. We also predict that organizations exiting lenient labels will enter other lenient labels, which further fuels their persistence. Finally, this trend is exaggerated when influential external agents favor leniency. We find support for these ideas in a longitudinal analysis of organizational entry into and exit from market labels in the software industry.","author":[{"dropping-particle":"","family":"Pontikes","given":"Elizabeth G.","non-dropping-particle":"","parse-names":false,"suffix":""},{"dropping-particle":"","family":"Barnett","given":"William P.","non-dropping-particle":"","parse-names":false,"suffix":""}],"container-title":"Organization Science","id":"ITEM-2","issue":"5","issued":{"date-parts":[["2015"]]},"page":"1415-1431","title":"The persistence of lenient market labels","type":"article-journal","volume":"26"},"uris":["http://www.mendeley.com/documents/?uuid=9af4bd7e-46fc-41b1-9df1-9ccbf10096ad"]}],"mendeley":{"formattedCitation":"(Carnabuci et al., 2015; Pontikes &amp; Barnett, 2015)","manualFormatting":"(Carnabuci et al. 2015; Pontikes &amp; Barnett, 2015)","plainTextFormattedCitation":"(Carnabuci et al., 2015; Pontikes &amp; Barnett, 2015)","previouslyFormattedCitation":"(Carnabuci et al., 2015; Pontikes &amp; Barnett, 2015)"},"properties":{"noteIndex":0},"schema":"https://github.com/citation-style-language/schema/raw/master/csl-citation.json"}</w:instrText>
      </w:r>
      <w:r w:rsidR="00801675" w:rsidRPr="00101A2A">
        <w:fldChar w:fldCharType="separate"/>
      </w:r>
      <w:r w:rsidR="005242E8" w:rsidRPr="00101A2A">
        <w:rPr>
          <w:noProof/>
        </w:rPr>
        <w:t>(Carnabuci et al. 2015</w:t>
      </w:r>
      <w:r w:rsidR="00877ACB" w:rsidRPr="00101A2A">
        <w:rPr>
          <w:noProof/>
        </w:rPr>
        <w:t>;</w:t>
      </w:r>
      <w:r w:rsidR="005242E8" w:rsidRPr="00101A2A">
        <w:rPr>
          <w:noProof/>
        </w:rPr>
        <w:t xml:space="preserve"> Pontikes </w:t>
      </w:r>
      <w:r w:rsidR="00877ACB" w:rsidRPr="00101A2A">
        <w:rPr>
          <w:noProof/>
        </w:rPr>
        <w:t>&amp;</w:t>
      </w:r>
      <w:r w:rsidR="005242E8" w:rsidRPr="00101A2A">
        <w:rPr>
          <w:noProof/>
        </w:rPr>
        <w:t xml:space="preserve"> Barnett</w:t>
      </w:r>
      <w:r w:rsidR="00877ACB" w:rsidRPr="00101A2A">
        <w:rPr>
          <w:noProof/>
        </w:rPr>
        <w:t>,</w:t>
      </w:r>
      <w:r w:rsidR="005242E8" w:rsidRPr="00101A2A">
        <w:rPr>
          <w:noProof/>
        </w:rPr>
        <w:t xml:space="preserve"> 2015)</w:t>
      </w:r>
      <w:r w:rsidR="00801675" w:rsidRPr="00101A2A">
        <w:fldChar w:fldCharType="end"/>
      </w:r>
      <w:r w:rsidR="00801675" w:rsidRPr="00101A2A">
        <w:t>. However, evidence suggests that over time, when</w:t>
      </w:r>
      <w:r w:rsidR="00416B34" w:rsidRPr="00101A2A">
        <w:t xml:space="preserve"> </w:t>
      </w:r>
      <w:r w:rsidR="00801675" w:rsidRPr="00101A2A">
        <w:t>audiences</w:t>
      </w:r>
      <w:r w:rsidR="00D33007">
        <w:t xml:space="preserve"> (</w:t>
      </w:r>
      <w:r w:rsidR="00A5168D">
        <w:t>including</w:t>
      </w:r>
      <w:r w:rsidR="00D33007">
        <w:t xml:space="preserve"> consumers and regulators)</w:t>
      </w:r>
      <w:r w:rsidR="00801675" w:rsidRPr="00101A2A">
        <w:t xml:space="preserve"> converge towards a shared understanding of the features </w:t>
      </w:r>
      <w:r w:rsidR="00F51F4E" w:rsidRPr="00101A2A">
        <w:t>expected in</w:t>
      </w:r>
      <w:r w:rsidR="00801675" w:rsidRPr="00101A2A">
        <w:t xml:space="preserve"> hosts, </w:t>
      </w:r>
      <w:r w:rsidR="007F42D2" w:rsidRPr="00101A2A">
        <w:t xml:space="preserve">they </w:t>
      </w:r>
      <w:r w:rsidRPr="00101A2A">
        <w:t xml:space="preserve">may </w:t>
      </w:r>
      <w:r w:rsidR="00D706F7" w:rsidRPr="00101A2A">
        <w:t xml:space="preserve">come to </w:t>
      </w:r>
      <w:r w:rsidRPr="00101A2A">
        <w:t xml:space="preserve">see </w:t>
      </w:r>
      <w:r w:rsidR="007F42D2" w:rsidRPr="00101A2A">
        <w:t>a</w:t>
      </w:r>
      <w:r w:rsidR="00801675" w:rsidRPr="00101A2A">
        <w:t>ctors that compete in multiple categories</w:t>
      </w:r>
      <w:r w:rsidRPr="00101A2A">
        <w:t xml:space="preserve"> as atypical</w:t>
      </w:r>
      <w:r w:rsidR="007F42D2" w:rsidRPr="00101A2A">
        <w:t xml:space="preserve"> </w:t>
      </w:r>
      <w:r w:rsidR="00801675" w:rsidRPr="00101A2A">
        <w:fldChar w:fldCharType="begin" w:fldLock="1"/>
      </w:r>
      <w:r w:rsidR="003749C2">
        <w:instrText>ADDIN CSL_CITATION {"citationItems":[{"id":"ITEM-1","itemData":{"DOI":"10.1287/orsc.2015.1011","ISSN":"1047-7039","abstract":"? 2015 INFORMS.Extant organizational literature argues that straddling institutionalized categories begets an illegitimacy discount, leading organizations to reproduce established categorical boundaries. If gaining legitimacy requires compliance with this \"categorical imperative,\" why do we frequently observe categorical straddling even in uncontested and fully institutionalized categorical structures? To address this question, we propose that de novo (i.e., newly founded) and de alio (i.e., diversifying) organizations respond differently to the categorical imperative. Specifically, de novo organizations are more likely to enter and fit in high-contrast categories than in low-contrast ones, whereas the opposite is true for de alio entrants. To test these hypotheses, we follow technological entry dynamics within the semiconductor industry between 1976 and 2002. Using patent information, we examine how category contrast affects which technological categories de novo and de alio organizations enter, and the performance associated with those entry events. A comprehensive set of empirical analyses lend support to our hypotheses. Besides clarifying the link between the categorical imperative and structural reproduction, this study bears implications for entrepreneurship and strategy research on entry dynamics.","author":[{"dropping-particle":"","family":"Carnabuci","given":"Gianluca","non-dropping-particle":"","parse-names":false,"suffix":""},{"dropping-particle":"","family":"Operti","given":"Elisa","non-dropping-particle":"","parse-names":false,"suffix":""},{"dropping-particle":"","family":"Kovács","given":"Balázs","non-dropping-particle":"","parse-names":false,"suffix":""}],"container-title":"Organization Science","id":"ITEM-1","issue":"6","issued":{"date-parts":[["2015"]]},"page":"1734-1751","title":"The Categorical Imperative and Structural Reproduction: Dynamics of Technological Entry in the Semiconductor Industry","type":"article-journal","volume":"26"},"uris":["http://www.mendeley.com/documents/?uuid=99db9771-a235-47e3-b686-b01302650fef"]},{"id":"ITEM-2","itemData":{"DOI":"10.1287/orsc.1120.0764","ISBN":"1047-7039","ISSN":"1047-7039","abstract":"L iterature to date has demonstrated that producers and products spanning multiple categories have inferior market performance. However, two related but distinct explanations exist as to the source of such a discount. One explanation suggests that “actual” skills are degraded when producers attempt to engage across diverse categories. Another explanation involves perceptual fit to category representations held by an audience as the cause. These two explanations tend to be confounded in archival studies because external observers, responsible for the evaluation of market performance, are often aware of both the identity of producers and the underlying characteristics of their products. This leaves researchers unable to empirically separate effects. We present an analysis conducted in a setting in which it was possible to distinguish the two mechanisms: critics’ ratings of the same wines through “blind” and “nonblind” tastings. The findings indicate that after controlling for the value of ratings assigned blindly, the wines made by wineries spanning styles continue to receive lower ratings in the nonblind situation.","author":[{"dropping-particle":"","family":"Negro","given":"Giacomo","non-dropping-particle":"","parse-names":false,"suffix":""},{"dropping-particle":"","family":"Leung","given":"Ming D.","non-dropping-particle":"","parse-names":false,"suffix":""}],"container-title":"Organization Science","id":"ITEM-2","issue":"3","issued":{"date-parts":[["2013"]]},"page":"684-696","title":"\"Actual\" and Perceptual Effects of Category Spanning","type":"article-journal","volume":"24"},"uris":["http://www.mendeley.com/documents/?uuid=14ab5317-81ab-4bf6-b5b5-1c0567f39a14"]}],"mendeley":{"formattedCitation":"(Carnabuci et al., 2015; Negro &amp; Leung, 2013)","manualFormatting":"(Carnabuci et al., 2015; Negro &amp; Leung, 2013)","plainTextFormattedCitation":"(Carnabuci et al., 2015; Negro &amp; Leung, 2013)","previouslyFormattedCitation":"(Carnabuci et al., 2015; Negro &amp; Leung, 2013)"},"properties":{"noteIndex":0},"schema":"https://github.com/citation-style-language/schema/raw/master/csl-citation.json"}</w:instrText>
      </w:r>
      <w:r w:rsidR="00801675" w:rsidRPr="00101A2A">
        <w:fldChar w:fldCharType="separate"/>
      </w:r>
      <w:r w:rsidR="005242E8" w:rsidRPr="00101A2A">
        <w:rPr>
          <w:noProof/>
        </w:rPr>
        <w:t>(Carnabuci et al.</w:t>
      </w:r>
      <w:r w:rsidR="00877ACB" w:rsidRPr="00101A2A">
        <w:rPr>
          <w:noProof/>
        </w:rPr>
        <w:t>,</w:t>
      </w:r>
      <w:r w:rsidR="005242E8" w:rsidRPr="00101A2A">
        <w:rPr>
          <w:noProof/>
        </w:rPr>
        <w:t xml:space="preserve"> 2015</w:t>
      </w:r>
      <w:r w:rsidR="00877ACB" w:rsidRPr="00101A2A">
        <w:rPr>
          <w:noProof/>
        </w:rPr>
        <w:t>;</w:t>
      </w:r>
      <w:r w:rsidR="005242E8" w:rsidRPr="00101A2A">
        <w:rPr>
          <w:noProof/>
        </w:rPr>
        <w:t xml:space="preserve"> Negro </w:t>
      </w:r>
      <w:r w:rsidR="00877ACB" w:rsidRPr="00101A2A">
        <w:rPr>
          <w:noProof/>
        </w:rPr>
        <w:t>&amp;</w:t>
      </w:r>
      <w:r w:rsidR="005242E8" w:rsidRPr="00101A2A">
        <w:rPr>
          <w:noProof/>
        </w:rPr>
        <w:t xml:space="preserve"> Leung</w:t>
      </w:r>
      <w:r w:rsidR="00877ACB" w:rsidRPr="00101A2A">
        <w:rPr>
          <w:noProof/>
        </w:rPr>
        <w:t>,</w:t>
      </w:r>
      <w:r w:rsidR="005242E8" w:rsidRPr="00101A2A">
        <w:rPr>
          <w:noProof/>
        </w:rPr>
        <w:t xml:space="preserve"> 2013)</w:t>
      </w:r>
      <w:r w:rsidR="00801675" w:rsidRPr="00101A2A">
        <w:fldChar w:fldCharType="end"/>
      </w:r>
      <w:r w:rsidR="007F42D2" w:rsidRPr="00101A2A">
        <w:t xml:space="preserve">. </w:t>
      </w:r>
      <w:r w:rsidR="00760287" w:rsidRPr="00101A2A">
        <w:t xml:space="preserve">In this process, </w:t>
      </w:r>
      <w:r w:rsidR="007F42D2" w:rsidRPr="00101A2A">
        <w:t xml:space="preserve">Airbnb hosts </w:t>
      </w:r>
      <w:r w:rsidR="0042222E" w:rsidRPr="00101A2A">
        <w:t xml:space="preserve">spanning from the long-rental market and thus </w:t>
      </w:r>
      <w:r w:rsidR="007F42D2" w:rsidRPr="00101A2A">
        <w:t xml:space="preserve">lacking the features expected in </w:t>
      </w:r>
      <w:r w:rsidR="00416B34" w:rsidRPr="00101A2A">
        <w:t>proto</w:t>
      </w:r>
      <w:r w:rsidR="007F42D2" w:rsidRPr="00101A2A">
        <w:t>typical</w:t>
      </w:r>
      <w:r w:rsidR="00416B34" w:rsidRPr="00101A2A">
        <w:t xml:space="preserve"> </w:t>
      </w:r>
      <w:r w:rsidR="007F42D2" w:rsidRPr="00101A2A">
        <w:t xml:space="preserve">hosts will lose </w:t>
      </w:r>
      <w:r w:rsidR="00814A1E" w:rsidRPr="00101A2A">
        <w:t>audiences’ attention, will be regarded as less appealing</w:t>
      </w:r>
      <w:r w:rsidR="00B4247F">
        <w:t>,</w:t>
      </w:r>
      <w:r w:rsidR="00814A1E" w:rsidRPr="00101A2A">
        <w:t xml:space="preserve"> </w:t>
      </w:r>
      <w:r w:rsidR="007F42D2" w:rsidRPr="00101A2A">
        <w:t xml:space="preserve">and consequently will perform below market average </w:t>
      </w:r>
      <w:r w:rsidR="007F42D2" w:rsidRPr="00101A2A">
        <w:fldChar w:fldCharType="begin" w:fldLock="1"/>
      </w:r>
      <w:r w:rsidR="003749C2">
        <w:instrText>ADDIN CSL_CITATION {"citationItems":[{"id":"ITEM-1","itemData":{"author":[{"dropping-particle":"","family":"Zuckerman","given":"Ezra W","non-dropping-particle":"","parse-names":false,"suffix":""}],"container-title":"American Journal of Sociology","id":"ITEM-1","issue":"5","issued":{"date-parts":[["1999"]]},"page":"1398-1438","title":"The Categorical Imperative : Securities Analysts and the Illegitimacy Discount 1","type":"article-journal","volume":"104"},"uris":["http://www.mendeley.com/documents/?uuid=7f48d0d4-4ac2-4547-98ee-42718da7d341"]},{"id":"ITEM-2","itemData":{"DOI":"10.1287/orsc.1120.0764","ISBN":"1047-7039","ISSN":"1047-7039","abstract":"L iterature to date has demonstrated that producers and products spanning multiple categories have inferior market performance. However, two related but distinct explanations exist as to the source of such a discount. One explanation suggests that “actual” skills are degraded when producers attempt to engage across diverse categories. Another explanation involves perceptual fit to category representations held by an audience as the cause. These two explanations tend to be confounded in archival studies because external observers, responsible for the evaluation of market performance, are often aware of both the identity of producers and the underlying characteristics of their products. This leaves researchers unable to empirically separate effects. We present an analysis conducted in a setting in which it was possible to distinguish the two mechanisms: critics’ ratings of the same wines through “blind” and “nonblind” tastings. The findings indicate that after controlling for the value of ratings assigned blindly, the wines made by wineries spanning styles continue to receive lower ratings in the nonblind situation.","author":[{"dropping-particle":"","family":"Negro","given":"Giacomo","non-dropping-particle":"","parse-names":false,"suffix":""},{"dropping-particle":"","family":"Leung","given":"Ming D.","non-dropping-particle":"","parse-names":false,"suffix":""}],"container-title":"Organization Science","id":"ITEM-2","issue":"3","issued":{"date-parts":[["2013"]]},"page":"684-696","title":"\"Actual\" and Perceptual Effects of Category Spanning","type":"article-journal","volume":"24"},"uris":["http://www.mendeley.com/documents/?uuid=14ab5317-81ab-4bf6-b5b5-1c0567f39a14"]}],"mendeley":{"formattedCitation":"(Negro &amp; Leung, 2013; Zuckerman, 1999)","manualFormatting":"(Negro &amp; Leung, 2013; Zuckerman, 1999)","plainTextFormattedCitation":"(Negro &amp; Leung, 2013; Zuckerman, 1999)","previouslyFormattedCitation":"(Negro &amp; Leung, 2013; Zuckerman, 1999)"},"properties":{"noteIndex":0},"schema":"https://github.com/citation-style-language/schema/raw/master/csl-citation.json"}</w:instrText>
      </w:r>
      <w:r w:rsidR="007F42D2" w:rsidRPr="00101A2A">
        <w:fldChar w:fldCharType="separate"/>
      </w:r>
      <w:r w:rsidR="00056834" w:rsidRPr="00101A2A">
        <w:rPr>
          <w:noProof/>
        </w:rPr>
        <w:t xml:space="preserve">(Negro </w:t>
      </w:r>
      <w:r w:rsidR="00877ACB" w:rsidRPr="00101A2A">
        <w:rPr>
          <w:noProof/>
        </w:rPr>
        <w:t>&amp;</w:t>
      </w:r>
      <w:r w:rsidR="00056834" w:rsidRPr="00101A2A">
        <w:rPr>
          <w:noProof/>
        </w:rPr>
        <w:t xml:space="preserve"> Leung</w:t>
      </w:r>
      <w:r w:rsidR="00877ACB" w:rsidRPr="00101A2A">
        <w:rPr>
          <w:noProof/>
        </w:rPr>
        <w:t>,</w:t>
      </w:r>
      <w:r w:rsidR="00056834" w:rsidRPr="00101A2A">
        <w:rPr>
          <w:noProof/>
        </w:rPr>
        <w:t xml:space="preserve"> 2013</w:t>
      </w:r>
      <w:r w:rsidR="00877ACB" w:rsidRPr="00101A2A">
        <w:rPr>
          <w:noProof/>
        </w:rPr>
        <w:t>;</w:t>
      </w:r>
      <w:r w:rsidR="00056834" w:rsidRPr="00101A2A">
        <w:rPr>
          <w:noProof/>
        </w:rPr>
        <w:t xml:space="preserve"> Zuckerman</w:t>
      </w:r>
      <w:r w:rsidR="00877ACB" w:rsidRPr="00101A2A">
        <w:rPr>
          <w:noProof/>
        </w:rPr>
        <w:t>,</w:t>
      </w:r>
      <w:r w:rsidR="00056834" w:rsidRPr="00101A2A">
        <w:rPr>
          <w:noProof/>
        </w:rPr>
        <w:t xml:space="preserve"> 1999)</w:t>
      </w:r>
      <w:r w:rsidR="007F42D2" w:rsidRPr="00101A2A">
        <w:fldChar w:fldCharType="end"/>
      </w:r>
      <w:r w:rsidR="007F42D2" w:rsidRPr="00101A2A">
        <w:t xml:space="preserve"> and </w:t>
      </w:r>
      <w:r w:rsidRPr="00101A2A">
        <w:t xml:space="preserve">become unable to compete </w:t>
      </w:r>
      <w:r w:rsidR="007F42D2" w:rsidRPr="00101A2A">
        <w:fldChar w:fldCharType="begin" w:fldLock="1"/>
      </w:r>
      <w:r w:rsidR="003749C2">
        <w:instrText>ADDIN CSL_CITATION {"citationItems":[{"id":"ITEM-1","itemData":{"DOI":"10.1108/S0733-558X(2010)0000031014","ISSN":"0733558X","abstract":"In markets, audiences generally discount offerings that fail to fit established product categories, but when misfit offerings change category meaning, the effects of conformity and deviation can reverse so that previously overlooked or unappealing offerings become popular while previously appealing products fall into disfavor. After introducing the idea of category currency to explain how the value of conformity changes with ongoing meaning construction, we use it to make sense of the emergence of nanotechnology. In conclusion, we argue that category currency is useful for explaining the changing value of conformity both in and beyond markets.","author":[{"dropping-particle":"","family":"Kennedy","given":"Mark Thomas","non-dropping-particle":"","parse-names":false,"suffix":""},{"dropping-particle":"","family":"Lo","given":"Jade Yu Chieh","non-dropping-particle":"","parse-names":false,"suffix":""},{"dropping-particle":"","family":"Lounsbury","given":"Michael","non-dropping-particle":"","parse-names":false,"suffix":""}],"container-title":"Research in the Sociology of Organizations","id":"ITEM-1","issue":"2010","issued":{"date-parts":[["2010"]]},"number-of-pages":"369-397","publisher":"Elsevier","title":"Category currency: The changing value of conformity as a function of ongoing meaning construction","type":"book","volume":"31"},"uris":["http://www.mendeley.com/documents/?uuid=619c88ee-53fc-4e21-90b5-4f92b250d4e2"]},{"id":"ITEM-2","itemData":{"DOI":"10.1111/joms.12044","ISBN":"0022-2380","ISSN":"00222380","abstract":"This paper offers a systematic review of the literature on organizational categories and categorization published in the last 14 years (1999–2012). After identifying a core of roughly 100 papers on categories that appeared in management, organization, and sociology journals, we classified them based on several key dimensions, and analysed a few trends within the categorization literature. Our most surprising finding may be the fact that until recently, there was no mutual recognition of the existence of a distinct ‘literature on categories’ despite the wealth of published material on the topic. After summarizing some core theoretical features of that emergent literature, we propose integrative definitions of its core constructs and suggest several areas of research that could further enrich it in the future.","author":[{"dropping-particle":"","family":"Vergne","given":"J. P.","non-dropping-particle":"","parse-names":false,"suffix":""},{"dropping-particle":"","family":"Wry","given":"Tyler","non-dropping-particle":"","parse-names":false,"suffix":""}],"container-title":"Journal of Management Studies","id":"ITEM-2","issue":"1","issued":{"date-parts":[["2014"]]},"page":"56-94","title":"Categorizing categorization research: Review, integration, and future directions","type":"article-journal","volume":"51"},"uris":["http://www.mendeley.com/documents/?uuid=4502695d-4b9b-4595-a616-9ef373fe6f23"]},{"id":"ITEM-3","itemData":{"ISBN":"00018392","ISSN":"00018392","PMID":"54900166","abstract":"We theorize how new market categories emerge and are legitimated through a confluence of factors internal to the category (entrepreneurial ventures) and external to the category (interested audiences). Using qualitative and quantitative analyses and multiple data sources over time, we study the evolution of the U.S. satellite radio market over its initial sixteen years. We offer convergent evidence to show that the legitimation of a new market category precipitates shifts in the focus of market actors' attention from the category as a whole to the differentiation of firms within. This effect was demonstrated for entrepreneurial identity claims, linguistic frames, and announcements of interorganizational affiliations and endorsements, as well as in the focal attention of media and financial audiences. We synthesize these findings to offer an integrated theoretical framework on new market category emergence and legitimation. ABSTRACT FROM AUTHOR","author":[{"dropping-particle":"","family":"Navis","given":"Chad","non-dropping-particle":"","parse-names":false,"suffix":""},{"dropping-particle":"","family":"Glynn","given":"Mary Anne","non-dropping-particle":"","parse-names":false,"suffix":""}],"container-title":"Administrative Science Quarterly","id":"ITEM-3","issue":"3","issued":{"date-parts":[["2010"]]},"page":"439-471","title":"How New Market Categories Emerge: Temporal Dynamics of Legitimacy, Identity, and Entrepreneurship in Satellite Radio, 1990–2005","type":"article-journal","volume":"55"},"uris":["http://www.mendeley.com/documents/?uuid=209c1151-2ea1-481a-bc55-e54b7e5c42b1"]}],"mendeley":{"formattedCitation":"(Kennedy et al., 2010; Navis &amp; Glynn, 2010; Vergne &amp; Wry, 2014)","manualFormatting":"(Kennedy et al., 2010; Navis &amp; Glynn, 2010; Vergne &amp; Wry, 2014)","plainTextFormattedCitation":"(Kennedy et al., 2010; Navis &amp; Glynn, 2010; Vergne &amp; Wry, 2014)","previouslyFormattedCitation":"(Kennedy et al., 2010; Navis &amp; Glynn, 2010; Vergne &amp; Wry, 2014)"},"properties":{"noteIndex":0},"schema":"https://github.com/citation-style-language/schema/raw/master/csl-citation.json"}</w:instrText>
      </w:r>
      <w:r w:rsidR="007F42D2" w:rsidRPr="00101A2A">
        <w:fldChar w:fldCharType="separate"/>
      </w:r>
      <w:r w:rsidR="0034344F" w:rsidRPr="00101A2A">
        <w:rPr>
          <w:noProof/>
        </w:rPr>
        <w:t>(Kennedy et al.</w:t>
      </w:r>
      <w:r w:rsidR="00877ACB" w:rsidRPr="00101A2A">
        <w:rPr>
          <w:noProof/>
        </w:rPr>
        <w:t>,</w:t>
      </w:r>
      <w:r w:rsidR="0034344F" w:rsidRPr="00101A2A">
        <w:rPr>
          <w:noProof/>
        </w:rPr>
        <w:t xml:space="preserve"> 2010</w:t>
      </w:r>
      <w:r w:rsidR="00877ACB" w:rsidRPr="00101A2A">
        <w:rPr>
          <w:noProof/>
        </w:rPr>
        <w:t>;</w:t>
      </w:r>
      <w:r w:rsidR="0034344F" w:rsidRPr="00101A2A">
        <w:rPr>
          <w:noProof/>
        </w:rPr>
        <w:t xml:space="preserve"> Navis </w:t>
      </w:r>
      <w:r w:rsidR="00877ACB" w:rsidRPr="00101A2A">
        <w:rPr>
          <w:noProof/>
        </w:rPr>
        <w:t>&amp;</w:t>
      </w:r>
      <w:r w:rsidR="0034344F" w:rsidRPr="00101A2A">
        <w:rPr>
          <w:noProof/>
        </w:rPr>
        <w:t xml:space="preserve"> Glynn</w:t>
      </w:r>
      <w:r w:rsidR="00877ACB" w:rsidRPr="00101A2A">
        <w:rPr>
          <w:noProof/>
        </w:rPr>
        <w:t>,</w:t>
      </w:r>
      <w:r w:rsidR="0034344F" w:rsidRPr="00101A2A">
        <w:rPr>
          <w:noProof/>
        </w:rPr>
        <w:t xml:space="preserve"> 2010</w:t>
      </w:r>
      <w:r w:rsidR="00877ACB" w:rsidRPr="00101A2A">
        <w:rPr>
          <w:noProof/>
        </w:rPr>
        <w:t>;</w:t>
      </w:r>
      <w:r w:rsidR="0034344F" w:rsidRPr="00101A2A">
        <w:rPr>
          <w:noProof/>
        </w:rPr>
        <w:t xml:space="preserve"> Vergne </w:t>
      </w:r>
      <w:r w:rsidR="00877ACB" w:rsidRPr="00101A2A">
        <w:rPr>
          <w:noProof/>
        </w:rPr>
        <w:t>&amp;</w:t>
      </w:r>
      <w:r w:rsidR="0034344F" w:rsidRPr="00101A2A">
        <w:rPr>
          <w:noProof/>
        </w:rPr>
        <w:t xml:space="preserve"> Wry</w:t>
      </w:r>
      <w:r w:rsidR="00877ACB" w:rsidRPr="00101A2A">
        <w:rPr>
          <w:noProof/>
        </w:rPr>
        <w:t>,</w:t>
      </w:r>
      <w:r w:rsidR="0034344F" w:rsidRPr="00101A2A">
        <w:rPr>
          <w:noProof/>
        </w:rPr>
        <w:t xml:space="preserve"> 2014)</w:t>
      </w:r>
      <w:r w:rsidR="007F42D2" w:rsidRPr="00101A2A">
        <w:fldChar w:fldCharType="end"/>
      </w:r>
      <w:r w:rsidR="007F42D2" w:rsidRPr="00101A2A">
        <w:t>.</w:t>
      </w:r>
    </w:p>
    <w:p w14:paraId="781DDFC2" w14:textId="5C84589C" w:rsidR="00C35C6E" w:rsidRPr="00101A2A" w:rsidRDefault="00C77664" w:rsidP="00C35C6E">
      <w:r w:rsidRPr="00101A2A">
        <w:t xml:space="preserve">In an </w:t>
      </w:r>
      <w:r w:rsidR="00F51F4E" w:rsidRPr="00101A2A">
        <w:t xml:space="preserve">initial </w:t>
      </w:r>
      <w:r w:rsidRPr="00101A2A">
        <w:t>investigation of</w:t>
      </w:r>
      <w:r w:rsidR="00F51F4E" w:rsidRPr="00101A2A">
        <w:t xml:space="preserve"> </w:t>
      </w:r>
      <w:r w:rsidRPr="00101A2A">
        <w:t xml:space="preserve">our sample, we </w:t>
      </w:r>
      <w:r w:rsidRPr="00101A2A">
        <w:rPr>
          <w:rStyle w:val="FootnoteChar"/>
          <w:sz w:val="24"/>
          <w:szCs w:val="24"/>
          <w:lang w:val="en-US"/>
        </w:rPr>
        <w:t xml:space="preserve">find that </w:t>
      </w:r>
      <w:r w:rsidR="00D275A1">
        <w:rPr>
          <w:rStyle w:val="FootnoteChar"/>
          <w:sz w:val="24"/>
          <w:szCs w:val="24"/>
          <w:lang w:val="en-US"/>
        </w:rPr>
        <w:t>o</w:t>
      </w:r>
      <w:r w:rsidR="00335676" w:rsidRPr="00101A2A">
        <w:t>ver our observation period (2008</w:t>
      </w:r>
      <w:r w:rsidR="00FA3905" w:rsidRPr="00101A2A">
        <w:t>–</w:t>
      </w:r>
      <w:r w:rsidR="00335676" w:rsidRPr="00101A2A">
        <w:t>2015), single-listing actors always represent more than half of the actors on the platform, with an average of 80</w:t>
      </w:r>
      <w:r w:rsidR="00A5168D">
        <w:t>%</w:t>
      </w:r>
      <w:r w:rsidR="00D275A1">
        <w:t xml:space="preserve">, </w:t>
      </w:r>
      <w:r w:rsidR="00D275A1" w:rsidRPr="00101A2A">
        <w:rPr>
          <w:rStyle w:val="FootnoteChar"/>
          <w:sz w:val="24"/>
          <w:szCs w:val="24"/>
          <w:lang w:val="en-US"/>
        </w:rPr>
        <w:t xml:space="preserve">and represent the median host </w:t>
      </w:r>
      <w:r w:rsidR="00D275A1" w:rsidRPr="00101A2A">
        <w:rPr>
          <w:rStyle w:val="FootnoteChar"/>
          <w:sz w:val="24"/>
          <w:szCs w:val="24"/>
          <w:lang w:val="en-US"/>
        </w:rPr>
        <w:fldChar w:fldCharType="begin" w:fldLock="1"/>
      </w:r>
      <w:r w:rsidR="00920500">
        <w:rPr>
          <w:rStyle w:val="FootnoteChar"/>
          <w:sz w:val="24"/>
          <w:szCs w:val="24"/>
          <w:lang w:val="en-US"/>
        </w:rPr>
        <w:instrText>ADDIN CSL_CITATION {"citationItems":[{"id":"ITEM-1","itemData":{"DOI":"10.2139/ssrn.3257521","ISBN":"0000000302","abstract":"As cities debate how to regulate Airbnb and other home-sharing services, we study the impacts of home sharing on local residential real estate markets. By accommodating transient travelers with short-term rental properties, home-sharing platforms have evolved as a major alternative channel that attracts the growing supply of residential properties. However, on the demand side of local residential markets, home-sharing platforms are not a viable option for residents. To demonstrate this dynamic between home sharing and local residential markets, we leverage a unique quasi-experiment on Airbnb—a platform policy that caps the number of properties a host can manage in a city—and find that the policy reduced rents (in the long-term rental markets) and home values (in the for-sale housing markets) by about 3% and did not affect the price-to-rent ratio. Consistent with the conjecture, we find that the policy impacts can be attributed to increased supply in local residential markets because of the policy. Quantitatively, our estimates suggest that, if the density of affected Airbnb properties is 1% higher in a market, the policy may further decrease rents and home values by about 0.03%–0.06%, which is similar across each policy-affected city. Our empirical findings add to the debate about the impacts of home sharing on local residential markets with a novel data set and a unique identification strategy. Practically speaking, our research is a timely response to the debate on regulating home sharing and has implications for various stakeholders of the residential real estate markets.","author":[{"dropping-particle":"","family":"Chen","given":"Wei","non-dropping-particle":"","parse-names":false,"suffix":""},{"dropping-particle":"","family":"Wei","given":"Zaiyan","non-dropping-particle":"","parse-names":false,"suffix":""},{"dropping-particle":"","family":"Xie","given":"Karen","non-dropping-particle":"","parse-names":false,"suffix":""}],"container-title":"Management Science","id":"ITEM-1","issue":"12","issued":{"date-parts":[["2022"]]},"page":"8589-8612","title":"The Battle for Homes: How Does Home Sharing Disrupt Local Residential Markets?","type":"article-journal","volume":"68"},"uris":["http://www.mendeley.com/documents/?uuid=5112e5d4-27be-416a-819a-a389df846e47"]}],"mendeley":{"formattedCitation":"(Chen et al., 2022)","manualFormatting":"(in line with Chen et al., 2022)","plainTextFormattedCitation":"(Chen et al., 2022)","previouslyFormattedCitation":"(Chen et al., 2022)"},"properties":{"noteIndex":0},"schema":"https://github.com/citation-style-language/schema/raw/master/csl-citation.json"}</w:instrText>
      </w:r>
      <w:r w:rsidR="00D275A1" w:rsidRPr="00101A2A">
        <w:rPr>
          <w:rStyle w:val="FootnoteChar"/>
          <w:sz w:val="24"/>
          <w:szCs w:val="24"/>
          <w:lang w:val="en-US"/>
        </w:rPr>
        <w:fldChar w:fldCharType="separate"/>
      </w:r>
      <w:r w:rsidR="00D275A1" w:rsidRPr="00101A2A">
        <w:rPr>
          <w:rStyle w:val="FootnoteChar"/>
          <w:noProof/>
          <w:sz w:val="24"/>
          <w:szCs w:val="24"/>
          <w:lang w:val="en-US"/>
        </w:rPr>
        <w:t>(</w:t>
      </w:r>
      <w:r w:rsidR="00D275A1">
        <w:rPr>
          <w:rStyle w:val="FootnoteChar"/>
          <w:noProof/>
          <w:sz w:val="24"/>
          <w:szCs w:val="24"/>
          <w:lang w:val="en-US"/>
        </w:rPr>
        <w:t>in line with</w:t>
      </w:r>
      <w:r w:rsidR="00D275A1" w:rsidRPr="00101A2A">
        <w:rPr>
          <w:rStyle w:val="FootnoteChar"/>
          <w:noProof/>
          <w:sz w:val="24"/>
          <w:szCs w:val="24"/>
          <w:lang w:val="en-US"/>
        </w:rPr>
        <w:t xml:space="preserve"> Chen et al., 2022)</w:t>
      </w:r>
      <w:r w:rsidR="00D275A1" w:rsidRPr="00101A2A">
        <w:rPr>
          <w:rStyle w:val="FootnoteChar"/>
          <w:sz w:val="24"/>
          <w:szCs w:val="24"/>
          <w:lang w:val="en-US"/>
        </w:rPr>
        <w:fldChar w:fldCharType="end"/>
      </w:r>
      <w:r w:rsidR="00D275A1">
        <w:rPr>
          <w:rStyle w:val="FootnoteChar"/>
          <w:sz w:val="24"/>
          <w:szCs w:val="24"/>
          <w:lang w:val="en-US"/>
        </w:rPr>
        <w:t>.</w:t>
      </w:r>
      <w:r w:rsidR="00335676" w:rsidRPr="00101A2A">
        <w:t xml:space="preserve"> </w:t>
      </w:r>
      <w:r w:rsidR="00B4247F">
        <w:t>Figure 1 plots</w:t>
      </w:r>
      <w:r w:rsidR="00C35C6E" w:rsidRPr="00101A2A">
        <w:t xml:space="preserve"> the number of listings (by host type) and real estate prices over time. </w:t>
      </w:r>
      <w:r w:rsidR="00335676" w:rsidRPr="00101A2A">
        <w:t xml:space="preserve">This figure </w:t>
      </w:r>
      <w:r w:rsidR="00C35C6E" w:rsidRPr="00101A2A">
        <w:t xml:space="preserve">shows that the number of listings managed by single-listing hosts and </w:t>
      </w:r>
      <w:r w:rsidR="00B4247F">
        <w:t>those</w:t>
      </w:r>
      <w:r w:rsidR="002024BA" w:rsidRPr="00101A2A">
        <w:t xml:space="preserve"> </w:t>
      </w:r>
      <w:r w:rsidR="00B4247F">
        <w:t>operated</w:t>
      </w:r>
      <w:r w:rsidR="002024BA" w:rsidRPr="00101A2A">
        <w:t xml:space="preserve"> by </w:t>
      </w:r>
      <w:r w:rsidR="00C35C6E" w:rsidRPr="00101A2A">
        <w:t>spanners</w:t>
      </w:r>
      <w:r w:rsidR="00FA3905" w:rsidRPr="00101A2A">
        <w:t xml:space="preserve"> </w:t>
      </w:r>
      <w:r w:rsidR="00B4247F">
        <w:t>increased</w:t>
      </w:r>
      <w:r w:rsidR="00C35C6E" w:rsidRPr="00101A2A">
        <w:t xml:space="preserve"> </w:t>
      </w:r>
      <w:r w:rsidR="00FA3905" w:rsidRPr="00101A2A">
        <w:t xml:space="preserve">monotonically </w:t>
      </w:r>
      <w:r w:rsidR="00624A4F" w:rsidRPr="00101A2A">
        <w:t>over our observation period</w:t>
      </w:r>
      <w:r w:rsidR="00C35C6E" w:rsidRPr="00101A2A">
        <w:t xml:space="preserve">. </w:t>
      </w:r>
      <w:r w:rsidR="00FA3905" w:rsidRPr="00101A2A">
        <w:t>A</w:t>
      </w:r>
      <w:r w:rsidR="005B594A">
        <w:t>s</w:t>
      </w:r>
      <w:r w:rsidR="00FA3905" w:rsidRPr="00101A2A">
        <w:t xml:space="preserve"> </w:t>
      </w:r>
      <w:r w:rsidR="00B4247F">
        <w:t>of</w:t>
      </w:r>
      <w:r w:rsidR="00C35C6E" w:rsidRPr="00101A2A">
        <w:t xml:space="preserve"> 2012, real estate prices also </w:t>
      </w:r>
      <w:r w:rsidR="00B4247F">
        <w:t>rose</w:t>
      </w:r>
      <w:r w:rsidR="00C35C6E" w:rsidRPr="00101A2A">
        <w:t>.</w:t>
      </w:r>
    </w:p>
    <w:p w14:paraId="31B5622F" w14:textId="68337832" w:rsidR="00A5209B" w:rsidRPr="00101A2A" w:rsidRDefault="00F51F4E" w:rsidP="00A651CB">
      <w:r w:rsidRPr="00101A2A">
        <w:lastRenderedPageBreak/>
        <w:t xml:space="preserve">Table 1 reports descriptive </w:t>
      </w:r>
      <w:r w:rsidR="00FA3905" w:rsidRPr="00101A2A">
        <w:t xml:space="preserve">statistics for </w:t>
      </w:r>
      <w:r w:rsidRPr="00101A2A">
        <w:t xml:space="preserve">the two types of hosts and their listings. </w:t>
      </w:r>
      <w:r w:rsidR="00A5209B" w:rsidRPr="00101A2A">
        <w:t xml:space="preserve">The most notable difference is that while a single-listing host manages only one property, a spanner manages 37 properties on average. </w:t>
      </w:r>
      <w:r w:rsidR="00FA3905" w:rsidRPr="00101A2A">
        <w:t>S</w:t>
      </w:r>
      <w:r w:rsidR="00A5209B" w:rsidRPr="00101A2A">
        <w:t>panners</w:t>
      </w:r>
      <w:r w:rsidR="00A5209B" w:rsidRPr="00101A2A" w:rsidDel="002E0049">
        <w:t xml:space="preserve"> </w:t>
      </w:r>
      <w:r w:rsidR="00A5209B" w:rsidRPr="00101A2A">
        <w:t xml:space="preserve">charge a higher price per night, rent their units </w:t>
      </w:r>
      <w:r w:rsidR="008B6787" w:rsidRPr="00101A2A">
        <w:t xml:space="preserve">more </w:t>
      </w:r>
      <w:r w:rsidR="00A5209B" w:rsidRPr="00101A2A">
        <w:t>frequen</w:t>
      </w:r>
      <w:r w:rsidR="008B6787" w:rsidRPr="00101A2A">
        <w:t>tly,</w:t>
      </w:r>
      <w:r w:rsidR="00A5209B" w:rsidRPr="00101A2A">
        <w:t xml:space="preserve"> and are more likely to renounce their right to select the guest</w:t>
      </w:r>
      <w:r w:rsidR="007F42D2" w:rsidRPr="00101A2A">
        <w:t>,</w:t>
      </w:r>
      <w:r w:rsidR="00A5209B" w:rsidRPr="00101A2A">
        <w:t xml:space="preserve"> as they are more likely to enable the “instant booking” option on their listings</w:t>
      </w:r>
      <w:r w:rsidR="00FA3905" w:rsidRPr="00101A2A">
        <w:t>—</w:t>
      </w:r>
      <w:r w:rsidR="00A5209B" w:rsidRPr="00101A2A">
        <w:t xml:space="preserve">a set of actions coherent with a profit maximization goal and the use of the listing as a full-time rental. </w:t>
      </w:r>
    </w:p>
    <w:p w14:paraId="16846631" w14:textId="4358A122" w:rsidR="00A5209B" w:rsidRPr="00101A2A" w:rsidRDefault="00A5209B" w:rsidP="00D74569">
      <w:r w:rsidRPr="00101A2A">
        <w:t xml:space="preserve">We </w:t>
      </w:r>
      <w:r w:rsidR="00166D87" w:rsidRPr="00101A2A">
        <w:t xml:space="preserve">also </w:t>
      </w:r>
      <w:r w:rsidR="00F42412" w:rsidRPr="00101A2A">
        <w:t>hand</w:t>
      </w:r>
      <w:r w:rsidR="00F42412">
        <w:t>-</w:t>
      </w:r>
      <w:r w:rsidRPr="00101A2A">
        <w:t>collect</w:t>
      </w:r>
      <w:r w:rsidR="008B6787" w:rsidRPr="00101A2A">
        <w:t>ed</w:t>
      </w:r>
      <w:r w:rsidRPr="00101A2A">
        <w:t xml:space="preserve"> the profile pictures used to advertise the </w:t>
      </w:r>
      <w:r w:rsidR="00084352" w:rsidRPr="00101A2A">
        <w:t>accommodation</w:t>
      </w:r>
      <w:r w:rsidR="008B6787" w:rsidRPr="00101A2A">
        <w:t>, distinguishing between</w:t>
      </w:r>
      <w:r w:rsidRPr="00101A2A">
        <w:t xml:space="preserve"> picture</w:t>
      </w:r>
      <w:r w:rsidR="008E058D" w:rsidRPr="00101A2A">
        <w:t>s</w:t>
      </w:r>
      <w:r w:rsidRPr="00101A2A">
        <w:t xml:space="preserve"> showing people </w:t>
      </w:r>
      <w:r w:rsidR="008B6787" w:rsidRPr="00101A2A">
        <w:t>(</w:t>
      </w:r>
      <w:r w:rsidRPr="00101A2A">
        <w:t>one individual, a couple, or a family</w:t>
      </w:r>
      <w:r w:rsidR="008B6787" w:rsidRPr="00101A2A">
        <w:t>) and</w:t>
      </w:r>
      <w:r w:rsidRPr="00101A2A">
        <w:t xml:space="preserve"> logo</w:t>
      </w:r>
      <w:r w:rsidR="008E058D" w:rsidRPr="00101A2A">
        <w:t>s</w:t>
      </w:r>
      <w:r w:rsidRPr="00101A2A">
        <w:t xml:space="preserve"> or </w:t>
      </w:r>
      <w:r w:rsidR="00B4247F">
        <w:t>photos</w:t>
      </w:r>
      <w:r w:rsidRPr="00101A2A">
        <w:t xml:space="preserve"> of the house itself only. </w:t>
      </w:r>
      <w:r w:rsidR="00084352" w:rsidRPr="00101A2A">
        <w:t>I</w:t>
      </w:r>
      <w:r w:rsidR="00554730" w:rsidRPr="00101A2A">
        <w:t>n our sample</w:t>
      </w:r>
      <w:r w:rsidR="00F42412">
        <w:t>,</w:t>
      </w:r>
      <w:r w:rsidR="00554730" w:rsidRPr="00101A2A">
        <w:t xml:space="preserve"> </w:t>
      </w:r>
      <w:r w:rsidR="00BF4F43">
        <w:t>94</w:t>
      </w:r>
      <w:r w:rsidRPr="00101A2A">
        <w:t xml:space="preserve">% of properties </w:t>
      </w:r>
      <w:r w:rsidR="00B4247F">
        <w:t xml:space="preserve">are </w:t>
      </w:r>
      <w:r w:rsidRPr="00101A2A">
        <w:t>managed by single-listing hosts</w:t>
      </w:r>
      <w:r w:rsidR="008B6787" w:rsidRPr="00101A2A">
        <w:t>,</w:t>
      </w:r>
      <w:r w:rsidRPr="00101A2A">
        <w:t xml:space="preserve"> </w:t>
      </w:r>
      <w:r w:rsidR="008B6787" w:rsidRPr="00101A2A">
        <w:t xml:space="preserve">but only </w:t>
      </w:r>
      <w:r w:rsidR="00BF4F43">
        <w:t>80</w:t>
      </w:r>
      <w:r w:rsidR="008B6787" w:rsidRPr="00101A2A">
        <w:t xml:space="preserve">% of those </w:t>
      </w:r>
      <w:r w:rsidR="00B4247F">
        <w:t>operated</w:t>
      </w:r>
      <w:r w:rsidR="008B6787" w:rsidRPr="00101A2A">
        <w:t xml:space="preserve"> by spanners </w:t>
      </w:r>
      <w:r w:rsidRPr="00101A2A">
        <w:t xml:space="preserve">have a picture featuring a person. In contrast, </w:t>
      </w:r>
      <w:r w:rsidR="008B6787" w:rsidRPr="00101A2A">
        <w:t xml:space="preserve">spanners more frequently use </w:t>
      </w:r>
      <w:r w:rsidRPr="00101A2A">
        <w:t>logos and images of a house (about 13% and 1</w:t>
      </w:r>
      <w:r w:rsidR="00BF4F43">
        <w:t>7</w:t>
      </w:r>
      <w:r w:rsidRPr="00101A2A">
        <w:t xml:space="preserve">%, respectively) than </w:t>
      </w:r>
      <w:r w:rsidR="008B6787" w:rsidRPr="00101A2A">
        <w:t>do</w:t>
      </w:r>
      <w:r w:rsidRPr="00101A2A">
        <w:t xml:space="preserve"> single-listing hosts</w:t>
      </w:r>
      <w:r w:rsidRPr="00101A2A" w:rsidDel="002C0DDE">
        <w:t xml:space="preserve"> </w:t>
      </w:r>
      <w:r w:rsidRPr="00101A2A">
        <w:t>(</w:t>
      </w:r>
      <w:r w:rsidR="008B6787" w:rsidRPr="00101A2A">
        <w:t>fewer</w:t>
      </w:r>
      <w:r w:rsidRPr="00101A2A">
        <w:t xml:space="preserve"> than </w:t>
      </w:r>
      <w:r w:rsidR="00BF4F43">
        <w:t>3</w:t>
      </w:r>
      <w:r w:rsidRPr="00101A2A">
        <w:t xml:space="preserve">% and </w:t>
      </w:r>
      <w:r w:rsidR="00BF4F43">
        <w:t>5</w:t>
      </w:r>
      <w:r w:rsidRPr="00101A2A">
        <w:t>%, respectively)</w:t>
      </w:r>
      <w:r w:rsidR="00EB151C" w:rsidRPr="00101A2A">
        <w:t xml:space="preserve"> (see Table A1 in the </w:t>
      </w:r>
      <w:r w:rsidR="00CA7889" w:rsidRPr="00101A2A">
        <w:t>Appendix</w:t>
      </w:r>
      <w:r w:rsidR="00EB151C" w:rsidRPr="00101A2A">
        <w:t>)</w:t>
      </w:r>
      <w:r w:rsidRPr="00101A2A">
        <w:t xml:space="preserve">. </w:t>
      </w:r>
    </w:p>
    <w:p w14:paraId="716074AE" w14:textId="51B60763" w:rsidR="00A5209B" w:rsidRPr="00101A2A" w:rsidRDefault="00A5209B" w:rsidP="009209F8">
      <w:r w:rsidRPr="00101A2A">
        <w:t>======== INSERT FIGURE 1</w:t>
      </w:r>
      <w:r w:rsidR="0079043F" w:rsidRPr="00101A2A">
        <w:t xml:space="preserve"> AND</w:t>
      </w:r>
      <w:r w:rsidRPr="00101A2A">
        <w:t xml:space="preserve"> TABLE</w:t>
      </w:r>
      <w:r w:rsidR="0079043F" w:rsidRPr="00101A2A">
        <w:t xml:space="preserve"> 1</w:t>
      </w:r>
      <w:r w:rsidRPr="00101A2A">
        <w:t xml:space="preserve"> ABOUT HERE ========</w:t>
      </w:r>
    </w:p>
    <w:p w14:paraId="1C692356" w14:textId="52D69467" w:rsidR="00A5209B" w:rsidRPr="00101A2A" w:rsidRDefault="00335676" w:rsidP="00974CD1">
      <w:pPr>
        <w:pStyle w:val="Heading2"/>
      </w:pPr>
      <w:r w:rsidRPr="00101A2A">
        <w:t>R</w:t>
      </w:r>
      <w:r w:rsidR="00A5209B" w:rsidRPr="00101A2A">
        <w:t xml:space="preserve">egulatory </w:t>
      </w:r>
      <w:r w:rsidR="008B6EF7" w:rsidRPr="00101A2A">
        <w:t>C</w:t>
      </w:r>
      <w:r w:rsidR="00A5209B" w:rsidRPr="00101A2A">
        <w:t>hanges</w:t>
      </w:r>
      <w:r w:rsidRPr="00101A2A">
        <w:t xml:space="preserve"> and </w:t>
      </w:r>
      <w:r w:rsidR="008B6EF7" w:rsidRPr="00101A2A">
        <w:t>C</w:t>
      </w:r>
      <w:r w:rsidRPr="00101A2A">
        <w:t xml:space="preserve">onsumers’ </w:t>
      </w:r>
      <w:r w:rsidR="008B6EF7" w:rsidRPr="00101A2A">
        <w:t>P</w:t>
      </w:r>
      <w:r w:rsidRPr="00101A2A">
        <w:t>erceptions</w:t>
      </w:r>
    </w:p>
    <w:p w14:paraId="4ABC5646" w14:textId="7B3F80FD" w:rsidR="00A5209B" w:rsidRPr="00101A2A" w:rsidRDefault="00F85F1B" w:rsidP="001F626A">
      <w:r w:rsidRPr="00101A2A">
        <w:t>R</w:t>
      </w:r>
      <w:r w:rsidR="00A5209B" w:rsidRPr="00101A2A">
        <w:t xml:space="preserve">eacting to the fear that Airbnb may exacerbate the housing affordability problem in their city </w:t>
      </w:r>
      <w:r w:rsidR="00A5209B" w:rsidRPr="00101A2A">
        <w:fldChar w:fldCharType="begin" w:fldLock="1"/>
      </w:r>
      <w:r w:rsidR="00920500">
        <w:instrText>ADDIN CSL_CITATION {"citationItems":[{"id":"ITEM-1","itemData":{"DOI":"10.2139/ssrn.3257521","ISBN":"0000000302","abstract":"As cities debate how to regulate Airbnb and other home-sharing services, we study the impacts of home sharing on local residential real estate markets. By accommodating transient travelers with short-term rental properties, home-sharing platforms have evolved as a major alternative channel that attracts the growing supply of residential properties. However, on the demand side of local residential markets, home-sharing platforms are not a viable option for residents. To demonstrate this dynamic between home sharing and local residential markets, we leverage a unique quasi-experiment on Airbnb—a platform policy that caps the number of properties a host can manage in a city—and find that the policy reduced rents (in the long-term rental markets) and home values (in the for-sale housing markets) by about 3% and did not affect the price-to-rent ratio. Consistent with the conjecture, we find that the policy impacts can be attributed to increased supply in local residential markets because of the policy. Quantitatively, our estimates suggest that, if the density of affected Airbnb properties is 1% higher in a market, the policy may further decrease rents and home values by about 0.03%–0.06%, which is similar across each policy-affected city. Our empirical findings add to the debate about the impacts of home sharing on local residential markets with a novel data set and a unique identification strategy. Practically speaking, our research is a timely response to the debate on regulating home sharing and has implications for various stakeholders of the residential real estate markets.","author":[{"dropping-particle":"","family":"Chen","given":"Wei","non-dropping-particle":"","parse-names":false,"suffix":""},{"dropping-particle":"","family":"Wei","given":"Zaiyan","non-dropping-particle":"","parse-names":false,"suffix":""},{"dropping-particle":"","family":"Xie","given":"Karen","non-dropping-particle":"","parse-names":false,"suffix":""}],"container-title":"Management Science","id":"ITEM-1","issue":"12","issued":{"date-parts":[["2022"]]},"page":"8589-8612","title":"The Battle for Homes: How Does Home Sharing Disrupt Local Residential Markets?","type":"article-journal","volume":"68"},"uris":["http://www.mendeley.com/documents/?uuid=5112e5d4-27be-416a-819a-a389df846e47"]}],"mendeley":{"formattedCitation":"(Chen et al., 2022)","manualFormatting":"(Chen et al., 2022)","plainTextFormattedCitation":"(Chen et al., 2022)","previouslyFormattedCitation":"(Chen et al., 2022)"},"properties":{"noteIndex":0},"schema":"https://github.com/citation-style-language/schema/raw/master/csl-citation.json"}</w:instrText>
      </w:r>
      <w:r w:rsidR="00A5209B" w:rsidRPr="00101A2A">
        <w:fldChar w:fldCharType="separate"/>
      </w:r>
      <w:r w:rsidR="00A5209B" w:rsidRPr="00101A2A">
        <w:rPr>
          <w:noProof/>
        </w:rPr>
        <w:t>(Chen et al.</w:t>
      </w:r>
      <w:r w:rsidR="00877ACB" w:rsidRPr="00101A2A">
        <w:rPr>
          <w:noProof/>
        </w:rPr>
        <w:t>,</w:t>
      </w:r>
      <w:r w:rsidR="00A5209B" w:rsidRPr="00101A2A">
        <w:rPr>
          <w:noProof/>
        </w:rPr>
        <w:t xml:space="preserve"> 2022)</w:t>
      </w:r>
      <w:r w:rsidR="00A5209B" w:rsidRPr="00101A2A">
        <w:fldChar w:fldCharType="end"/>
      </w:r>
      <w:r w:rsidR="00A5209B" w:rsidRPr="00101A2A">
        <w:t xml:space="preserve"> </w:t>
      </w:r>
      <w:r w:rsidRPr="00101A2A">
        <w:t xml:space="preserve">and to the ensuing pressures from multiple audiences </w:t>
      </w:r>
      <w:r w:rsidRPr="00101A2A">
        <w:fldChar w:fldCharType="begin" w:fldLock="1"/>
      </w:r>
      <w:r w:rsidR="003749C2">
        <w:instrText>ADDIN CSL_CITATION {"citationItems":[{"id":"ITEM-1","itemData":{"DOI":"10.2139/ssrn.2658603","ISSN":"1556-5068","abstract":"New software platforms use modern information technology, including full-featured web sites and mobile apps, to allow service providers and consumers to transact with relative ease and increased trust. These platforms provide notable benefits including reducing transaction costs, improving allocation of resources, and information and pricing efficiencies. Yet they also raise questions of regulation, including how regulation should adapt to new services and capabilities, and how to correct market failures that may arise. We explore these challenges and suggest an updated regulatory framework that is sufficiently flexible to allow software platforms to operate and deliver their benefits, while ensuring that service providers, users and third parties are adequately protected from harms that may arise.","author":[{"dropping-particle":"","family":"Edelman","given":"Benjamin G.","non-dropping-particle":"","parse-names":false,"suffix":""},{"dropping-particle":"","family":"Geradin","given":"Damien","non-dropping-particle":"","parse-names":false,"suffix":""}],"container-title":"Stanford Technology Law Review","id":"ITEM-1","issued":{"date-parts":[["2015"]]},"page":"293","title":"Efficiencies and regulatory shortcuts: How should we regulate companies like Airbnb and Uber?","type":"article-journal","volume":"19"},"uris":["http://www.mendeley.com/documents/?uuid=823094c3-56b9-410c-9c1e-0768e6490117"]}],"mendeley":{"formattedCitation":"(Edelman &amp; Geradin, 2015)","manualFormatting":"(Edelman &amp; Geradin, 2015)","plainTextFormattedCitation":"(Edelman &amp; Geradin, 2015)","previouslyFormattedCitation":"(Edelman &amp; Geradin, 2015)"},"properties":{"noteIndex":0},"schema":"https://github.com/citation-style-language/schema/raw/master/csl-citation.json"}</w:instrText>
      </w:r>
      <w:r w:rsidRPr="00101A2A">
        <w:fldChar w:fldCharType="separate"/>
      </w:r>
      <w:r w:rsidRPr="00101A2A">
        <w:rPr>
          <w:noProof/>
        </w:rPr>
        <w:t xml:space="preserve">(Edelman </w:t>
      </w:r>
      <w:r w:rsidR="00877ACB" w:rsidRPr="00101A2A">
        <w:rPr>
          <w:noProof/>
        </w:rPr>
        <w:t>&amp;</w:t>
      </w:r>
      <w:r w:rsidRPr="00101A2A">
        <w:rPr>
          <w:noProof/>
        </w:rPr>
        <w:t xml:space="preserve"> Geradin</w:t>
      </w:r>
      <w:r w:rsidR="00877ACB" w:rsidRPr="00101A2A">
        <w:rPr>
          <w:noProof/>
        </w:rPr>
        <w:t>,</w:t>
      </w:r>
      <w:r w:rsidRPr="00101A2A">
        <w:rPr>
          <w:noProof/>
        </w:rPr>
        <w:t xml:space="preserve"> 2015)</w:t>
      </w:r>
      <w:r w:rsidRPr="00101A2A">
        <w:fldChar w:fldCharType="end"/>
      </w:r>
      <w:r w:rsidRPr="00101A2A">
        <w:t xml:space="preserve">, </w:t>
      </w:r>
      <w:r w:rsidR="00A5209B" w:rsidRPr="00101A2A">
        <w:t>since 2010</w:t>
      </w:r>
      <w:r w:rsidR="00B4247F">
        <w:t>,</w:t>
      </w:r>
      <w:r w:rsidR="00A5209B" w:rsidRPr="00101A2A">
        <w:t xml:space="preserve"> policymakers </w:t>
      </w:r>
      <w:r w:rsidR="00554730" w:rsidRPr="00101A2A">
        <w:t xml:space="preserve">worldwide </w:t>
      </w:r>
      <w:r w:rsidR="00A5209B" w:rsidRPr="00101A2A">
        <w:t xml:space="preserve">have tried to define and regulate the activity of the </w:t>
      </w:r>
      <w:r w:rsidR="00BC6728" w:rsidRPr="00101A2A">
        <w:t xml:space="preserve">various </w:t>
      </w:r>
      <w:r w:rsidR="000C1801" w:rsidRPr="00101A2A">
        <w:t xml:space="preserve">hosts </w:t>
      </w:r>
      <w:r w:rsidR="00A5209B" w:rsidRPr="00101A2A">
        <w:t xml:space="preserve">on </w:t>
      </w:r>
      <w:r w:rsidRPr="00101A2A">
        <w:t>SE</w:t>
      </w:r>
      <w:r w:rsidR="00A5209B" w:rsidRPr="00101A2A">
        <w:t xml:space="preserve"> platforms.</w:t>
      </w:r>
      <w:r w:rsidR="00A5209B" w:rsidRPr="00101A2A">
        <w:rPr>
          <w:rStyle w:val="FootnoteReference"/>
        </w:rPr>
        <w:footnoteReference w:id="1"/>
      </w:r>
      <w:r w:rsidR="00A5209B" w:rsidRPr="00101A2A">
        <w:t xml:space="preserve"> This process </w:t>
      </w:r>
      <w:r w:rsidR="008B6787" w:rsidRPr="00101A2A">
        <w:t xml:space="preserve">has </w:t>
      </w:r>
      <w:r w:rsidR="00A5209B" w:rsidRPr="00101A2A">
        <w:t>often culminate</w:t>
      </w:r>
      <w:r w:rsidR="00084352" w:rsidRPr="00101A2A">
        <w:t>d</w:t>
      </w:r>
      <w:r w:rsidR="00A5209B" w:rsidRPr="00101A2A">
        <w:t xml:space="preserve"> in a change in legislation, for example</w:t>
      </w:r>
      <w:r w:rsidR="00B4247F">
        <w:t>,</w:t>
      </w:r>
      <w:r w:rsidR="00A5209B" w:rsidRPr="00101A2A">
        <w:t xml:space="preserve"> in Austin in 2013, Portland in 2014, and Nashville in 2015.</w:t>
      </w:r>
      <w:r w:rsidR="00877ACB" w:rsidRPr="00101A2A">
        <w:t xml:space="preserve"> </w:t>
      </w:r>
      <w:r w:rsidR="00A5209B" w:rsidRPr="00101A2A">
        <w:t xml:space="preserve">These three cities experimented with regulations that maintain the benefits </w:t>
      </w:r>
      <w:r w:rsidR="00B4247F">
        <w:t>of</w:t>
      </w:r>
      <w:r w:rsidR="00A5209B" w:rsidRPr="00101A2A">
        <w:t xml:space="preserve"> Airbnb (e.g., flexible housing </w:t>
      </w:r>
      <w:r w:rsidR="00A5209B" w:rsidRPr="00101A2A">
        <w:lastRenderedPageBreak/>
        <w:t>stock for travelers</w:t>
      </w:r>
      <w:r w:rsidR="00B4247F">
        <w:t xml:space="preserve"> and </w:t>
      </w:r>
      <w:r w:rsidR="00A5209B" w:rsidRPr="00101A2A">
        <w:t xml:space="preserve">the opportunity </w:t>
      </w:r>
      <w:r w:rsidR="0064600B" w:rsidRPr="00101A2A">
        <w:t xml:space="preserve">for homeowners </w:t>
      </w:r>
      <w:r w:rsidR="00A5209B" w:rsidRPr="00101A2A">
        <w:t>to hold property as an investment) while balancing the stock of properties in the long- and short-term rental markets.</w:t>
      </w:r>
      <w:r w:rsidR="00A5209B" w:rsidRPr="00101A2A">
        <w:rPr>
          <w:rStyle w:val="FootnoteReference"/>
        </w:rPr>
        <w:footnoteReference w:id="2"/>
      </w:r>
      <w:r w:rsidR="00A5209B" w:rsidRPr="00101A2A">
        <w:t xml:space="preserve"> </w:t>
      </w:r>
      <w:r w:rsidR="00D030FD" w:rsidRPr="00101A2A">
        <w:t>All</w:t>
      </w:r>
      <w:r w:rsidR="0064600B" w:rsidRPr="00101A2A">
        <w:t xml:space="preserve"> three cities </w:t>
      </w:r>
      <w:r w:rsidRPr="00101A2A">
        <w:t xml:space="preserve">now </w:t>
      </w:r>
      <w:r w:rsidR="00A5209B" w:rsidRPr="00101A2A">
        <w:t xml:space="preserve">regulate the rental activity of Airbnb hosts (and competitors like </w:t>
      </w:r>
      <w:r w:rsidR="0020691C" w:rsidRPr="00101A2A">
        <w:t>VRBO</w:t>
      </w:r>
      <w:r w:rsidR="00A5209B" w:rsidRPr="00101A2A">
        <w:t xml:space="preserve">): they limit the number of rooms hosts can rent within one apartment (e.g., </w:t>
      </w:r>
      <w:r w:rsidR="009209F8" w:rsidRPr="00101A2A">
        <w:t>two</w:t>
      </w:r>
      <w:r w:rsidR="00A5209B" w:rsidRPr="00101A2A">
        <w:t xml:space="preserve"> in </w:t>
      </w:r>
      <w:r w:rsidR="0020691C" w:rsidRPr="00101A2A">
        <w:t>Portland</w:t>
      </w:r>
      <w:r w:rsidR="00B4247F">
        <w:t>,</w:t>
      </w:r>
      <w:r w:rsidR="009A5F7A" w:rsidRPr="00101A2A">
        <w:t xml:space="preserve"> depending on the type of license</w:t>
      </w:r>
      <w:r w:rsidR="002024BA">
        <w:t>,</w:t>
      </w:r>
      <w:r w:rsidR="0020691C" w:rsidRPr="00101A2A">
        <w:t xml:space="preserve"> </w:t>
      </w:r>
      <w:r w:rsidR="00A5209B" w:rsidRPr="00101A2A">
        <w:t xml:space="preserve">and </w:t>
      </w:r>
      <w:r w:rsidR="009209F8" w:rsidRPr="00101A2A">
        <w:t>four</w:t>
      </w:r>
      <w:r w:rsidR="00A5209B" w:rsidRPr="00101A2A">
        <w:t xml:space="preserve"> in Nashville), </w:t>
      </w:r>
      <w:r w:rsidR="0064600B" w:rsidRPr="00101A2A">
        <w:t xml:space="preserve">or </w:t>
      </w:r>
      <w:r w:rsidR="00D030FD" w:rsidRPr="00101A2A">
        <w:t>stipulate</w:t>
      </w:r>
      <w:r w:rsidR="00A5209B" w:rsidRPr="00101A2A">
        <w:t xml:space="preserve"> that hosts can rent rooms but not the entire apartment or house (e.g., Portland), </w:t>
      </w:r>
      <w:r w:rsidR="0064600B" w:rsidRPr="00101A2A">
        <w:t>or</w:t>
      </w:r>
      <w:r w:rsidR="00A5209B" w:rsidRPr="00101A2A">
        <w:t xml:space="preserve"> restrict the licensing of </w:t>
      </w:r>
      <w:r w:rsidR="00F92E89" w:rsidRPr="00101A2A">
        <w:t>properties</w:t>
      </w:r>
      <w:r w:rsidR="00D030FD" w:rsidRPr="00101A2A">
        <w:t xml:space="preserve"> that are </w:t>
      </w:r>
      <w:r w:rsidR="00A5209B" w:rsidRPr="00101A2A">
        <w:t>not owner</w:t>
      </w:r>
      <w:r w:rsidR="00D030FD" w:rsidRPr="00101A2A">
        <w:t xml:space="preserve"> </w:t>
      </w:r>
      <w:r w:rsidR="00A5209B" w:rsidRPr="00101A2A">
        <w:t>occupied. In Nashville, the 2015 law cap</w:t>
      </w:r>
      <w:r w:rsidR="00F20F6C" w:rsidRPr="00101A2A">
        <w:t>s</w:t>
      </w:r>
      <w:r w:rsidR="00A5209B" w:rsidRPr="00101A2A">
        <w:t xml:space="preserve"> licenses for </w:t>
      </w:r>
      <w:r w:rsidR="001239FA" w:rsidRPr="00101A2A">
        <w:t>non-owner</w:t>
      </w:r>
      <w:r w:rsidR="00A5209B" w:rsidRPr="00101A2A">
        <w:t xml:space="preserve">-occupied properties. In </w:t>
      </w:r>
      <w:r w:rsidR="0064600B" w:rsidRPr="00101A2A">
        <w:t>contrast, Austin’s new legislation allows a single host to manage an indefinite number of listings. But</w:t>
      </w:r>
      <w:r w:rsidR="0020691C" w:rsidRPr="00101A2A">
        <w:t xml:space="preserve"> in commercial areas</w:t>
      </w:r>
      <w:r w:rsidR="0064600B" w:rsidRPr="00101A2A">
        <w:t xml:space="preserve"> in </w:t>
      </w:r>
      <w:r w:rsidR="00A5209B" w:rsidRPr="00101A2A">
        <w:t xml:space="preserve">Austin, </w:t>
      </w:r>
      <w:r w:rsidR="0020691C" w:rsidRPr="00101A2A">
        <w:t xml:space="preserve">only </w:t>
      </w:r>
      <w:r w:rsidR="00A5209B" w:rsidRPr="00101A2A">
        <w:t>no</w:t>
      </w:r>
      <w:r w:rsidR="000565BE" w:rsidRPr="00101A2A">
        <w:t>n-</w:t>
      </w:r>
      <w:r w:rsidR="00A5209B" w:rsidRPr="00101A2A">
        <w:t xml:space="preserve">owner-occupied properties can get a license, thus limiting the number of properties that </w:t>
      </w:r>
      <w:r w:rsidR="00B6620A" w:rsidRPr="00101A2A">
        <w:t xml:space="preserve">hosts </w:t>
      </w:r>
      <w:r w:rsidR="00A5209B" w:rsidRPr="00101A2A">
        <w:t xml:space="preserve">can legally rent in the city through </w:t>
      </w:r>
      <w:r w:rsidR="00D030FD" w:rsidRPr="00101A2A">
        <w:t>an</w:t>
      </w:r>
      <w:r w:rsidR="00A5209B" w:rsidRPr="00101A2A">
        <w:t xml:space="preserve"> SE platform</w:t>
      </w:r>
      <w:r w:rsidR="00B4247F">
        <w:t>,</w:t>
      </w:r>
      <w:r w:rsidR="0064600B" w:rsidRPr="00101A2A">
        <w:t xml:space="preserve"> and</w:t>
      </w:r>
      <w:r w:rsidR="00A5209B" w:rsidRPr="00101A2A">
        <w:t xml:space="preserve"> </w:t>
      </w:r>
      <w:r w:rsidR="0064600B" w:rsidRPr="00101A2A">
        <w:t>i</w:t>
      </w:r>
      <w:r w:rsidR="00A5209B" w:rsidRPr="00101A2A">
        <w:t xml:space="preserve">n Portland, only the host’s primary residence can be </w:t>
      </w:r>
      <w:r w:rsidR="00B4247F">
        <w:t>lawfully</w:t>
      </w:r>
      <w:r w:rsidR="00A5209B" w:rsidRPr="00101A2A">
        <w:t xml:space="preserve"> advertised on Airbnb. </w:t>
      </w:r>
    </w:p>
    <w:p w14:paraId="62B6E18C" w14:textId="4B787B75" w:rsidR="00AC5B4B" w:rsidRPr="00101A2A" w:rsidRDefault="00F85F1B" w:rsidP="009209F8">
      <w:r w:rsidRPr="00101A2A">
        <w:t>T</w:t>
      </w:r>
      <w:r w:rsidR="00F20F6C" w:rsidRPr="00101A2A">
        <w:t xml:space="preserve">o examine whether and </w:t>
      </w:r>
      <w:r w:rsidR="00A5209B" w:rsidRPr="00101A2A">
        <w:t xml:space="preserve">how </w:t>
      </w:r>
      <w:r w:rsidR="00335676" w:rsidRPr="00101A2A">
        <w:t xml:space="preserve">consumers’ perceptions </w:t>
      </w:r>
      <w:r w:rsidR="00F20F6C" w:rsidRPr="00101A2A">
        <w:t xml:space="preserve">may </w:t>
      </w:r>
      <w:r w:rsidR="00A5209B" w:rsidRPr="00101A2A">
        <w:t xml:space="preserve">change as cities implement </w:t>
      </w:r>
      <w:r w:rsidR="00F20F6C" w:rsidRPr="00101A2A">
        <w:t xml:space="preserve">these </w:t>
      </w:r>
      <w:r w:rsidR="00A5209B" w:rsidRPr="00101A2A">
        <w:t>new regulations</w:t>
      </w:r>
      <w:r w:rsidRPr="00101A2A">
        <w:t>, w</w:t>
      </w:r>
      <w:r w:rsidR="00A5209B" w:rsidRPr="00101A2A">
        <w:t xml:space="preserve">e </w:t>
      </w:r>
      <w:r w:rsidR="00335676" w:rsidRPr="00101A2A">
        <w:t>analyze</w:t>
      </w:r>
      <w:r w:rsidR="00FC759F">
        <w:t>d</w:t>
      </w:r>
      <w:r w:rsidR="00335676" w:rsidRPr="00101A2A">
        <w:t xml:space="preserve"> consumers’ reviews (i.e., the</w:t>
      </w:r>
      <w:r w:rsidR="00D030FD" w:rsidRPr="00101A2A">
        <w:t>ir</w:t>
      </w:r>
      <w:r w:rsidR="00335676" w:rsidRPr="00101A2A">
        <w:t xml:space="preserve"> description</w:t>
      </w:r>
      <w:r w:rsidR="00D030FD" w:rsidRPr="00101A2A">
        <w:t>s</w:t>
      </w:r>
      <w:r w:rsidR="00335676" w:rsidRPr="00101A2A">
        <w:t xml:space="preserve"> of </w:t>
      </w:r>
      <w:r w:rsidR="00D030FD" w:rsidRPr="00101A2A">
        <w:t xml:space="preserve">how much they liked </w:t>
      </w:r>
      <w:r w:rsidR="00335676" w:rsidRPr="00101A2A">
        <w:t>their stay) through</w:t>
      </w:r>
      <w:r w:rsidR="00A5209B" w:rsidRPr="00101A2A">
        <w:t xml:space="preserve"> a sentiment analysis algorithm</w:t>
      </w:r>
      <w:r w:rsidRPr="00101A2A">
        <w:rPr>
          <w:i/>
          <w:iCs/>
        </w:rPr>
        <w:t>.</w:t>
      </w:r>
      <w:r w:rsidR="00A5209B" w:rsidRPr="00101A2A">
        <w:t xml:space="preserve"> </w:t>
      </w:r>
      <w:r w:rsidR="00D030FD" w:rsidRPr="00101A2A">
        <w:t xml:space="preserve">Using </w:t>
      </w:r>
      <w:r w:rsidR="00A5209B" w:rsidRPr="00101A2A">
        <w:t>a dictionary of positive and negative words to measure the sentiment of each review, we code</w:t>
      </w:r>
      <w:r w:rsidR="00FC759F">
        <w:t>d</w:t>
      </w:r>
      <w:r w:rsidR="00A5209B" w:rsidRPr="00101A2A">
        <w:t xml:space="preserve"> the </w:t>
      </w:r>
      <w:r w:rsidR="00C84737">
        <w:t>reviews’ sentiment</w:t>
      </w:r>
      <w:r w:rsidR="00B4247F">
        <w:t>. We averaged</w:t>
      </w:r>
      <w:r w:rsidR="00A5209B" w:rsidRPr="00101A2A">
        <w:t xml:space="preserve"> it by month and type of host (spanner or single-listing host). </w:t>
      </w:r>
      <w:r w:rsidR="009209F8" w:rsidRPr="00101A2A">
        <w:t>I</w:t>
      </w:r>
      <w:r w:rsidR="00A5209B" w:rsidRPr="00101A2A">
        <w:t xml:space="preserve">n the three cities that regulated the rental market created by SE platforms, </w:t>
      </w:r>
      <w:r w:rsidR="00D519E6" w:rsidRPr="00101A2A">
        <w:t>consumers</w:t>
      </w:r>
      <w:r w:rsidR="00C84737">
        <w:t>’ sentiment towards spanners</w:t>
      </w:r>
      <w:r w:rsidR="00D519E6" w:rsidRPr="00101A2A">
        <w:t xml:space="preserve"> </w:t>
      </w:r>
      <w:r w:rsidR="00C84737">
        <w:t>is higher</w:t>
      </w:r>
      <w:r w:rsidR="008367E2" w:rsidRPr="00101A2A">
        <w:t xml:space="preserve"> </w:t>
      </w:r>
      <w:r w:rsidR="00377E6F" w:rsidRPr="00101A2A">
        <w:t>than for</w:t>
      </w:r>
      <w:r w:rsidR="008367E2" w:rsidRPr="00101A2A">
        <w:t xml:space="preserve"> </w:t>
      </w:r>
      <w:r w:rsidR="00F20F6C" w:rsidRPr="00101A2A">
        <w:t>single-listing hosts</w:t>
      </w:r>
      <w:r w:rsidR="00B4247F">
        <w:t>. Still, when</w:t>
      </w:r>
      <w:r w:rsidR="00A5209B" w:rsidRPr="00101A2A">
        <w:t xml:space="preserve"> a new regulation is about to be introduced, </w:t>
      </w:r>
      <w:r w:rsidR="002A3958" w:rsidRPr="00101A2A">
        <w:t>in their reviews</w:t>
      </w:r>
      <w:r w:rsidR="00B4247F">
        <w:t>,</w:t>
      </w:r>
      <w:r w:rsidR="002A3958" w:rsidRPr="00101A2A">
        <w:t xml:space="preserve"> </w:t>
      </w:r>
      <w:r w:rsidR="00D519E6" w:rsidRPr="00101A2A">
        <w:t>consumers start describ</w:t>
      </w:r>
      <w:r w:rsidR="002A3958">
        <w:t>ing</w:t>
      </w:r>
      <w:r w:rsidR="00D519E6" w:rsidRPr="00101A2A">
        <w:t xml:space="preserve"> spanners more negatively </w:t>
      </w:r>
      <w:r w:rsidR="009209F8" w:rsidRPr="00101A2A">
        <w:t>(see Figure 1A</w:t>
      </w:r>
      <w:r w:rsidR="00335676" w:rsidRPr="00101A2A">
        <w:t xml:space="preserve"> in the Appendix</w:t>
      </w:r>
      <w:r w:rsidR="009209F8" w:rsidRPr="00101A2A">
        <w:t>)</w:t>
      </w:r>
      <w:r w:rsidR="00A5209B" w:rsidRPr="00101A2A">
        <w:t xml:space="preserve">. </w:t>
      </w:r>
    </w:p>
    <w:p w14:paraId="41BE7FD3" w14:textId="375D40C2" w:rsidR="006C3732" w:rsidRPr="00101A2A" w:rsidRDefault="006C3732" w:rsidP="00F26AE7">
      <w:pPr>
        <w:pStyle w:val="Heading1"/>
        <w:rPr>
          <w:rStyle w:val="Emphasis"/>
          <w:i w:val="0"/>
          <w:lang w:val="en-US"/>
        </w:rPr>
      </w:pPr>
      <w:r w:rsidRPr="00101A2A">
        <w:rPr>
          <w:rStyle w:val="Emphasis"/>
          <w:i w:val="0"/>
          <w:lang w:val="en-US"/>
        </w:rPr>
        <w:t xml:space="preserve">Exploring the effect of spanners, </w:t>
      </w:r>
      <w:r w:rsidR="00787A67" w:rsidRPr="00101A2A">
        <w:rPr>
          <w:rStyle w:val="Emphasis"/>
          <w:i w:val="0"/>
          <w:lang w:val="en-US"/>
        </w:rPr>
        <w:t>consumer</w:t>
      </w:r>
      <w:r w:rsidRPr="00101A2A">
        <w:rPr>
          <w:rStyle w:val="Emphasis"/>
          <w:i w:val="0"/>
          <w:lang w:val="en-US"/>
        </w:rPr>
        <w:t>s’ perceptions</w:t>
      </w:r>
      <w:r w:rsidR="008B6EF7" w:rsidRPr="00101A2A">
        <w:rPr>
          <w:rStyle w:val="Emphasis"/>
          <w:i w:val="0"/>
          <w:lang w:val="en-US"/>
        </w:rPr>
        <w:t>,</w:t>
      </w:r>
      <w:r w:rsidRPr="00101A2A">
        <w:rPr>
          <w:rStyle w:val="Emphasis"/>
          <w:i w:val="0"/>
          <w:lang w:val="en-US"/>
        </w:rPr>
        <w:t xml:space="preserve"> and regulations on real estate prices</w:t>
      </w:r>
    </w:p>
    <w:p w14:paraId="31C3CD8C" w14:textId="38732441" w:rsidR="00801675" w:rsidRPr="00101A2A" w:rsidRDefault="00801675" w:rsidP="00801675">
      <w:r w:rsidRPr="00101A2A">
        <w:lastRenderedPageBreak/>
        <w:t xml:space="preserve">By enabling the transaction of private resources among strangers, the </w:t>
      </w:r>
      <w:r w:rsidR="00FC759F">
        <w:t>SE</w:t>
      </w:r>
      <w:r w:rsidRPr="00101A2A">
        <w:t xml:space="preserve"> has increased the value of the resources </w:t>
      </w:r>
      <w:r w:rsidR="009209F8" w:rsidRPr="00101A2A">
        <w:t xml:space="preserve">transacted </w:t>
      </w:r>
      <w:r w:rsidRPr="00101A2A">
        <w:fldChar w:fldCharType="begin" w:fldLock="1"/>
      </w:r>
      <w:r w:rsidR="003749C2">
        <w:instrText>ADDIN CSL_CITATION {"citationItems":[{"id":"ITEM-1","itemData":{"DOI":"10.1016/j.jue.2021.103356","ISSN":"00941190","abstract":"Online short-term rental (STR) platforms such as Airbnb have grown spectacularly. We study the effects of regulation of these platforms on the housing market using a quasi-experimental research design. 18 out of 88 cities in Los Angeles County have severely restricted short-term rentals by adopting Home Sharing Ordinances. We apply a panel regression-discontinuity design around the cities’ borders. Ordinances reduced listings by 50% and housing prices by 2%. Additional difference-in-differences estimates show that ordinances reduced rents also by 2%. These estimates imply large effects of Airbnb on property values in areas attractive to tourists (e.g. an increase in house prices of 15% within 2.5km of Hollywood's Walk of Fame).","author":[{"dropping-particle":"","family":"Koster","given":"Hans R A","non-dropping-particle":"","parse-names":false,"suffix":""},{"dropping-particle":"","family":"Ommeren","given":"Jos","non-dropping-particle":"van","parse-names":false,"suffix":""},{"dropping-particle":"","family":"Volkhausen","given":"Nicolas","non-dropping-particle":"","parse-names":false,"suffix":""}],"container-title":"Journal of Urban Economics","id":"ITEM-1","issue":"April","issued":{"date-parts":[["2021"]]},"page":"103356","publisher":"Elsevier Inc.","title":"Short-term rentals and the housing market: Quasi-experimental evidence from Airbnb in Los Angeles","type":"article-journal","volume":"124"},"uris":["http://www.mendeley.com/documents/?uuid=ccc263f0-2500-4cb9-a083-cbf2188831a7"]},{"id":"ITEM-2","itemData":{"abstract":"We assess the impact of home-sharing on residential house prices and rental rates. Using a comprehensive dataset on Airbnb listings from the whole United States, we regress zipcode level house prices and rental rates on the number of Airbnb listings, controlling for endogeneity using a shift-share instrumental variable strategy. We find that a 10% increase in Airbnb listings leads to a 0.39% increase in rents and a 0.64% increase in house prices. Moreover, we find that the effect of Airbnb is smaller in zipcodes with a larger share of owner-occupiers, suggesting that it is the absentee landlords who are on the margin of substituting their homes away from the rental market and into Airbnb. We present a simple model that rationalizes these findings.","author":[{"dropping-particle":"","family":"Barron","given":"Kyle","non-dropping-particle":"","parse-names":false,"suffix":""},{"dropping-particle":"","family":"Kung","given":"Edward","non-dropping-particle":"","parse-names":false,"suffix":""},{"dropping-particle":"","family":"Proserpio","given":"Davide","non-dropping-particle":"","parse-names":false,"suffix":""}],"container-title":"Marketing Science","id":"ITEM-2","issue":"1","issued":{"date-parts":[["2021"]]},"page":"23-47","title":"The effect of home-sharing on house prices and rents: Evidence from Airbnb","type":"article-journal","volume":"40"},"uris":["http://www.mendeley.com/documents/?uuid=c3795c9e-bff0-472b-89fd-6e5c064ded01"]},{"id":"ITEM-3","itemData":{"DOI":"10.1080/07421222.2019.1661087","ISSN":"1557928X","abstract":"Ride-hailing services provide not only alternative transportation for passengers but also job opportunities for potential drivers, resulting in both negative and positive effects on new car purchases. Our study assesses the impact of ride-hailing platforms’ market entry on new car purchases in the presence of platform competition. Our data is a monthly panel data on new car registration plates from 2013 to 2015, during which two leading ride-hailing platforms (Didi Chuxing and Uber) rolled out their services across select cities in China. We find that, while the entry of a single ride-hailing platform led to a decline in new car purchases, platform competition mitigated the negative impacts of platform entries. Our explanation is that the two competing platforms may have provided subsidies to drivers such that more people purchased new cars in order to sign up as drivers. By leveraging brand heterogeneity, our analysis finds supporting evidence that platform competition has resulted in increased sales of those car brands that are commonly adopted by ride-hailing drivers. Our study contributes to the literature on pricing strategies and subsidy allocation for two-sided markets by providing empirical evidence from the ride-hailing market. It suggests that companies’ competitive strategies need to account for consumer expectations and learning in the presence of strong network effects.","author":[{"dropping-particle":"","family":"Guo","given":"Yue","non-dropping-particle":"","parse-names":false,"suffix":""},{"dropping-particle":"","family":"Li","given":"Xiaotong","non-dropping-particle":"","parse-names":false,"suffix":""},{"dropping-particle":"","family":"Zeng","given":"Xiaohua","non-dropping-particle":"","parse-names":false,"suffix":""}],"container-title":"Journal of Management Information Systems","id":"ITEM-3","issue":"4","issued":{"date-parts":[["2019"]]},"page":"1043-1070","publisher":"Routledge","title":"Platform Competition in the Sharing Economy: Understanding How Ride-Hailing Services Influence New Car Purchases","type":"article-journal","volume":"36"},"uris":["http://www.mendeley.com/documents/?uuid=82d3b1ff-c2c6-4eef-8ef6-4b95d012e586"]}],"mendeley":{"formattedCitation":"(Barron et al., 2021; Guo, Li, &amp; Zeng, 2019; H. R. A. Koster, van Ommeren, &amp; Volkhausen, 2021)","manualFormatting":"(Barron et al., 2021; Guo et al., 2019; Koster et al., 2021)","plainTextFormattedCitation":"(Barron et al., 2021; Guo, Li, &amp; Zeng, 2019; H. R. A. Koster, van Ommeren, &amp; Volkhausen, 2021)","previouslyFormattedCitation":"(Barron et al., 2021; Guo, Li, &amp; Zeng, 2019; H. R. A. Koster, van Ommeren, &amp; Volkhausen, 2021)"},"properties":{"noteIndex":0},"schema":"https://github.com/citation-style-language/schema/raw/master/csl-citation.json"}</w:instrText>
      </w:r>
      <w:r w:rsidRPr="00101A2A">
        <w:fldChar w:fldCharType="separate"/>
      </w:r>
      <w:r w:rsidR="00150DD0" w:rsidRPr="00101A2A">
        <w:rPr>
          <w:noProof/>
        </w:rPr>
        <w:t>(Barron et al.</w:t>
      </w:r>
      <w:r w:rsidR="00877ACB" w:rsidRPr="00101A2A">
        <w:rPr>
          <w:noProof/>
        </w:rPr>
        <w:t>,</w:t>
      </w:r>
      <w:r w:rsidR="00150DD0" w:rsidRPr="00101A2A">
        <w:rPr>
          <w:noProof/>
        </w:rPr>
        <w:t xml:space="preserve"> 2021</w:t>
      </w:r>
      <w:r w:rsidR="00877ACB" w:rsidRPr="00101A2A">
        <w:rPr>
          <w:noProof/>
        </w:rPr>
        <w:t>;</w:t>
      </w:r>
      <w:r w:rsidR="00150DD0" w:rsidRPr="00101A2A">
        <w:rPr>
          <w:noProof/>
        </w:rPr>
        <w:t xml:space="preserve"> Guo et al.</w:t>
      </w:r>
      <w:r w:rsidR="00877ACB" w:rsidRPr="00101A2A">
        <w:rPr>
          <w:noProof/>
        </w:rPr>
        <w:t>,</w:t>
      </w:r>
      <w:r w:rsidR="00150DD0" w:rsidRPr="00101A2A">
        <w:rPr>
          <w:noProof/>
        </w:rPr>
        <w:t xml:space="preserve"> 2019</w:t>
      </w:r>
      <w:r w:rsidR="00877ACB" w:rsidRPr="00101A2A">
        <w:rPr>
          <w:noProof/>
        </w:rPr>
        <w:t>;</w:t>
      </w:r>
      <w:r w:rsidR="00150DD0" w:rsidRPr="00101A2A">
        <w:rPr>
          <w:noProof/>
        </w:rPr>
        <w:t xml:space="preserve"> Koster et al.</w:t>
      </w:r>
      <w:r w:rsidR="00877ACB" w:rsidRPr="00101A2A">
        <w:rPr>
          <w:noProof/>
        </w:rPr>
        <w:t>,</w:t>
      </w:r>
      <w:r w:rsidR="00150DD0" w:rsidRPr="00101A2A">
        <w:rPr>
          <w:noProof/>
        </w:rPr>
        <w:t xml:space="preserve"> 2021)</w:t>
      </w:r>
      <w:r w:rsidRPr="00101A2A">
        <w:fldChar w:fldCharType="end"/>
      </w:r>
      <w:r w:rsidRPr="00101A2A">
        <w:t xml:space="preserve">. For example, Airbnb has increased the value of houses </w:t>
      </w:r>
      <w:r w:rsidR="00B4247F">
        <w:t xml:space="preserve">(Barron et al., 2021), and Uber has increased the value of cars </w:t>
      </w:r>
      <w:r w:rsidRPr="00101A2A">
        <w:fldChar w:fldCharType="begin" w:fldLock="1"/>
      </w:r>
      <w:r w:rsidR="003749C2">
        <w:instrText>ADDIN CSL_CITATION {"citationItems":[{"id":"ITEM-1","itemData":{"DOI":"10.1080/07421222.2019.1661087","ISSN":"1557928X","abstract":"Ride-hailing services provide not only alternative transportation for passengers but also job opportunities for potential drivers, resulting in both negative and positive effects on new car purchases. Our study assesses the impact of ride-hailing platforms’ market entry on new car purchases in the presence of platform competition. Our data is a monthly panel data on new car registration plates from 2013 to 2015, during which two leading ride-hailing platforms (Didi Chuxing and Uber) rolled out their services across select cities in China. We find that, while the entry of a single ride-hailing platform led to a decline in new car purchases, platform competition mitigated the negative impacts of platform entries. Our explanation is that the two competing platforms may have provided subsidies to drivers such that more people purchased new cars in order to sign up as drivers. By leveraging brand heterogeneity, our analysis finds supporting evidence that platform competition has resulted in increased sales of those car brands that are commonly adopted by ride-hailing drivers. Our study contributes to the literature on pricing strategies and subsidy allocation for two-sided markets by providing empirical evidence from the ride-hailing market. It suggests that companies’ competitive strategies need to account for consumer expectations and learning in the presence of strong network effects.","author":[{"dropping-particle":"","family":"Guo","given":"Yue","non-dropping-particle":"","parse-names":false,"suffix":""},{"dropping-particle":"","family":"Li","given":"Xiaotong","non-dropping-particle":"","parse-names":false,"suffix":""},{"dropping-particle":"","family":"Zeng","given":"Xiaohua","non-dropping-particle":"","parse-names":false,"suffix":""}],"container-title":"Journal of Management Information Systems","id":"ITEM-1","issue":"4","issued":{"date-parts":[["2019"]]},"page":"1043-1070","publisher":"Routledge","title":"Platform Competition in the Sharing Economy: Understanding How Ride-Hailing Services Influence New Car Purchases","type":"article-journal","volume":"36"},"uris":["http://www.mendeley.com/documents/?uuid=82d3b1ff-c2c6-4eef-8ef6-4b95d012e586"]}],"mendeley":{"formattedCitation":"(Guo et al., 2019)","manualFormatting":"(Guo et al., 2019)","plainTextFormattedCitation":"(Guo et al., 2019)","previouslyFormattedCitation":"(Guo et al., 2019)"},"properties":{"noteIndex":0},"schema":"https://github.com/citation-style-language/schema/raw/master/csl-citation.json"}</w:instrText>
      </w:r>
      <w:r w:rsidRPr="00101A2A">
        <w:fldChar w:fldCharType="separate"/>
      </w:r>
      <w:r w:rsidRPr="00101A2A">
        <w:rPr>
          <w:noProof/>
        </w:rPr>
        <w:t>(Guo et al.</w:t>
      </w:r>
      <w:r w:rsidR="00877ACB" w:rsidRPr="00101A2A">
        <w:rPr>
          <w:noProof/>
        </w:rPr>
        <w:t>,</w:t>
      </w:r>
      <w:r w:rsidRPr="00101A2A">
        <w:rPr>
          <w:noProof/>
        </w:rPr>
        <w:t xml:space="preserve"> 2019)</w:t>
      </w:r>
      <w:r w:rsidRPr="00101A2A">
        <w:fldChar w:fldCharType="end"/>
      </w:r>
      <w:r w:rsidRPr="00101A2A">
        <w:t xml:space="preserve">. This effect is </w:t>
      </w:r>
      <w:r w:rsidR="00B4247F">
        <w:t>because</w:t>
      </w:r>
      <w:r w:rsidRPr="00101A2A">
        <w:t xml:space="preserve"> products originally intended for private uses are now exploitable both for </w:t>
      </w:r>
      <w:r w:rsidR="00B4247F">
        <w:t>personal</w:t>
      </w:r>
      <w:r w:rsidRPr="00101A2A">
        <w:t xml:space="preserve"> consumption and for creating income </w:t>
      </w:r>
      <w:r w:rsidRPr="00101A2A">
        <w:fldChar w:fldCharType="begin" w:fldLock="1"/>
      </w:r>
      <w:r w:rsidR="003749C2">
        <w:instrText>ADDIN CSL_CITATION {"citationItems":[{"id":"ITEM-1","itemData":{"author":[{"dropping-particle":"","family":"Munger","given":"Michael C.","non-dropping-particle":"","parse-names":false,"suffix":""}],"id":"ITEM-1","issued":{"date-parts":[["2018"]]},"publisher":"Cambridge University Press","publisher-place":"Cambridge, United Kingdom","title":"Tomorrow 3.0: transaction costs and the sharing economy.","type":"book"},"uris":["http://www.mendeley.com/documents/?uuid=6cfde0c4-93ea-45a5-83bf-b2bcde87ab7d"]},{"id":"ITEM-2","itemData":{"author":[{"dropping-particle":"","family":"Sundararajan","given":"Arun","non-dropping-particle":"","parse-names":false,"suffix":""}],"id":"ITEM-2","issued":{"date-parts":[["2016"]]},"publisher":"MIT Press","publisher-place":"Boston, MA","title":"The sharing economy: The end of employment and the rise of crowd-based capitalism","type":"book"},"uris":["http://www.mendeley.com/documents/?uuid=c5527eee-82df-4ba5-b6aa-c685fb879af4"]}],"mendeley":{"formattedCitation":"(Munger, 2018; Sundararajan, 2016)","manualFormatting":"(Munger, 2018; Sundararajan, 2016)","plainTextFormattedCitation":"(Munger, 2018; Sundararajan, 2016)","previouslyFormattedCitation":"(Munger, 2018; Sundararajan, 2016)"},"properties":{"noteIndex":0},"schema":"https://github.com/citation-style-language/schema/raw/master/csl-citation.json"}</w:instrText>
      </w:r>
      <w:r w:rsidRPr="00101A2A">
        <w:fldChar w:fldCharType="separate"/>
      </w:r>
      <w:r w:rsidRPr="00101A2A">
        <w:rPr>
          <w:noProof/>
        </w:rPr>
        <w:t>(Munger</w:t>
      </w:r>
      <w:r w:rsidR="00877ACB" w:rsidRPr="00101A2A">
        <w:rPr>
          <w:noProof/>
        </w:rPr>
        <w:t>,</w:t>
      </w:r>
      <w:r w:rsidRPr="00101A2A">
        <w:rPr>
          <w:noProof/>
        </w:rPr>
        <w:t xml:space="preserve"> 2018</w:t>
      </w:r>
      <w:r w:rsidR="00877ACB" w:rsidRPr="00101A2A">
        <w:rPr>
          <w:noProof/>
        </w:rPr>
        <w:t>;</w:t>
      </w:r>
      <w:r w:rsidRPr="00101A2A">
        <w:rPr>
          <w:noProof/>
        </w:rPr>
        <w:t xml:space="preserve"> Sundararajan</w:t>
      </w:r>
      <w:r w:rsidR="00877ACB" w:rsidRPr="00101A2A">
        <w:rPr>
          <w:noProof/>
        </w:rPr>
        <w:t>,</w:t>
      </w:r>
      <w:r w:rsidRPr="00101A2A">
        <w:rPr>
          <w:noProof/>
        </w:rPr>
        <w:t xml:space="preserve"> 2016)</w:t>
      </w:r>
      <w:r w:rsidRPr="00101A2A">
        <w:fldChar w:fldCharType="end"/>
      </w:r>
      <w:r w:rsidR="00B4247F">
        <w:t>,</w:t>
      </w:r>
      <w:r w:rsidR="005C4533" w:rsidRPr="00101A2A">
        <w:t xml:space="preserve"> and this </w:t>
      </w:r>
      <w:r w:rsidR="00D128E8" w:rsidRPr="00101A2A">
        <w:t xml:space="preserve">potential </w:t>
      </w:r>
      <w:r w:rsidRPr="00101A2A">
        <w:t xml:space="preserve">double use increases their value and their </w:t>
      </w:r>
      <w:r w:rsidR="00D128E8" w:rsidRPr="00101A2A">
        <w:t xml:space="preserve">market </w:t>
      </w:r>
      <w:r w:rsidRPr="00101A2A">
        <w:t xml:space="preserve">price </w:t>
      </w:r>
      <w:r w:rsidRPr="00101A2A">
        <w:fldChar w:fldCharType="begin" w:fldLock="1"/>
      </w:r>
      <w:r w:rsidR="00920500">
        <w:instrText>ADDIN CSL_CITATION {"citationItems":[{"id":"ITEM-1","itemData":{"abstract":"We assess the impact of home-sharing on residential house prices and rental rates. Using a comprehensive dataset on Airbnb listings from the whole United States, we regress zipcode level house prices and rental rates on the number of Airbnb listings, controlling for endogeneity using a shift-share instrumental variable strategy. We find that a 10% increase in Airbnb listings leads to a 0.39% increase in rents and a 0.64% increase in house prices. Moreover, we find that the effect of Airbnb is smaller in zipcodes with a larger share of owner-occupiers, suggesting that it is the absentee landlords who are on the margin of substituting their homes away from the rental market and into Airbnb. We present a simple model that rationalizes these findings.","author":[{"dropping-particle":"","family":"Barron","given":"Kyle","non-dropping-particle":"","parse-names":false,"suffix":""},{"dropping-particle":"","family":"Kung","given":"Edward","non-dropping-particle":"","parse-names":false,"suffix":""},{"dropping-particle":"","family":"Proserpio","given":"Davide","non-dropping-particle":"","parse-names":false,"suffix":""}],"container-title":"Marketing Science","id":"ITEM-1","issue":"1","issued":{"date-parts":[["2021"]]},"page":"23-47","title":"The effect of home-sharing on house prices and rents: Evidence from Airbnb","type":"article-journal","volume":"40"},"uris":["http://www.mendeley.com/documents/?uuid=c3795c9e-bff0-472b-89fd-6e5c064ded01"]},{"id":"ITEM-2","itemData":{"DOI":"10.2139/ssrn.3435105","abstract":"This paper examines the impact of Airbnb on the local rental housing market. Airbnb provides landlords an alternative opportunity to rent to short-term tourists, potentially causing some property owners to switch away from long-term rental to local residents, thereby affecting the rental housing supply and afforability. Despite recent government regulations to address this concern, it remains unclear whether and what type of properties are switching.","author":[{"dropping-particle":"","family":"Li","given":"Hui","non-dropping-particle":"","parse-names":false,"suffix":""},{"dropping-particle":"","family":"Kim","given":"Yijin","non-dropping-particle":"","parse-names":false,"suffix":""},{"dropping-particle":"","family":"Srinivasan","given":"Kannan","non-dropping-particle":"","parse-names":false,"suffix":""}],"container-title":"Management Science","id":"ITEM-2","issue":"11","issued":{"date-parts":[["2022"]]},"page":"8015-8044","title":"Market Shifts in the Sharing Economy: The Impact of Airbnb on Housing Rentals","type":"article-journal","volume":"68"},"uris":["http://www.mendeley.com/documents/?uuid=a9115a92-0fdb-435d-92ec-630176016aea"]},{"id":"ITEM-3","itemData":{"DOI":"10.2139/ssrn.3257521","ISBN":"0000000302","abstract":"As cities debate how to regulate Airbnb and other home-sharing services, we study the impacts of home sharing on local residential real estate markets. By accommodating transient travelers with short-term rental properties, home-sharing platforms have evolved as a major alternative channel that attracts the growing supply of residential properties. However, on the demand side of local residential markets, home-sharing platforms are not a viable option for residents. To demonstrate this dynamic between home sharing and local residential markets, we leverage a unique quasi-experiment on Airbnb—a platform policy that caps the number of properties a host can manage in a city—and find that the policy reduced rents (in the long-term rental markets) and home values (in the for-sale housing markets) by about 3% and did not affect the price-to-rent ratio. Consistent with the conjecture, we find that the policy impacts can be attributed to increased supply in local residential markets because of the policy. Quantitatively, our estimates suggest that, if the density of affected Airbnb properties is 1% higher in a market, the policy may further decrease rents and home values by about 0.03%–0.06%, which is similar across each policy-affected city. Our empirical findings add to the debate about the impacts of home sharing on local residential markets with a novel data set and a unique identification strategy. Practically speaking, our research is a timely response to the debate on regulating home sharing and has implications for various stakeholders of the residential real estate markets.","author":[{"dropping-particle":"","family":"Chen","given":"Wei","non-dropping-particle":"","parse-names":false,"suffix":""},{"dropping-particle":"","family":"Wei","given":"Zaiyan","non-dropping-particle":"","parse-names":false,"suffix":""},{"dropping-particle":"","family":"Xie","given":"Karen","non-dropping-particle":"","parse-names":false,"suffix":""}],"container-title":"Management Science","id":"ITEM-3","issue":"12","issued":{"date-parts":[["2022"]]},"page":"8589-8612","title":"The Battle for Homes: How Does Home Sharing Disrupt Local Residential Markets?","type":"article-journal","volume":"68"},"uris":["http://www.mendeley.com/documents/?uuid=5112e5d4-27be-416a-819a-a389df846e47"]}],"mendeley":{"formattedCitation":"(Barron et al., 2021; Chen et al., 2022; Li et al., 2022)","manualFormatting":"(Barron et al., 2021; Chen et al., 2022; Li et al., 2022)","plainTextFormattedCitation":"(Barron et al., 2021; Chen et al., 2022; Li et al., 2022)","previouslyFormattedCitation":"(Barron et al., 2021; Chen et al., 2022; Li et al., 2022)"},"properties":{"noteIndex":0},"schema":"https://github.com/citation-style-language/schema/raw/master/csl-citation.json"}</w:instrText>
      </w:r>
      <w:r w:rsidRPr="00101A2A">
        <w:fldChar w:fldCharType="separate"/>
      </w:r>
      <w:r w:rsidRPr="00101A2A">
        <w:rPr>
          <w:noProof/>
        </w:rPr>
        <w:t>(Barron et al.</w:t>
      </w:r>
      <w:r w:rsidR="00877ACB" w:rsidRPr="00101A2A">
        <w:rPr>
          <w:noProof/>
        </w:rPr>
        <w:t>,</w:t>
      </w:r>
      <w:r w:rsidRPr="00101A2A">
        <w:rPr>
          <w:noProof/>
        </w:rPr>
        <w:t xml:space="preserve"> 2021</w:t>
      </w:r>
      <w:r w:rsidR="00877ACB" w:rsidRPr="00101A2A">
        <w:rPr>
          <w:noProof/>
        </w:rPr>
        <w:t>;</w:t>
      </w:r>
      <w:r w:rsidRPr="00101A2A">
        <w:rPr>
          <w:noProof/>
        </w:rPr>
        <w:t xml:space="preserve"> Chen et al.</w:t>
      </w:r>
      <w:r w:rsidR="00877ACB" w:rsidRPr="00101A2A">
        <w:rPr>
          <w:noProof/>
        </w:rPr>
        <w:t>,</w:t>
      </w:r>
      <w:r w:rsidRPr="00101A2A">
        <w:rPr>
          <w:noProof/>
        </w:rPr>
        <w:t xml:space="preserve"> 2022</w:t>
      </w:r>
      <w:r w:rsidR="00877ACB" w:rsidRPr="00101A2A">
        <w:rPr>
          <w:noProof/>
        </w:rPr>
        <w:t>;</w:t>
      </w:r>
      <w:r w:rsidRPr="00101A2A">
        <w:rPr>
          <w:noProof/>
        </w:rPr>
        <w:t xml:space="preserve"> Li et al.</w:t>
      </w:r>
      <w:r w:rsidR="00877ACB" w:rsidRPr="00101A2A">
        <w:rPr>
          <w:noProof/>
        </w:rPr>
        <w:t>,</w:t>
      </w:r>
      <w:r w:rsidRPr="00101A2A">
        <w:rPr>
          <w:noProof/>
        </w:rPr>
        <w:t xml:space="preserve"> 2022)</w:t>
      </w:r>
      <w:r w:rsidRPr="00101A2A">
        <w:fldChar w:fldCharType="end"/>
      </w:r>
      <w:r w:rsidR="00D128E8" w:rsidRPr="00101A2A">
        <w:t>.</w:t>
      </w:r>
      <w:r w:rsidRPr="00101A2A">
        <w:t xml:space="preserve"> </w:t>
      </w:r>
      <w:r w:rsidR="00D128E8" w:rsidRPr="00101A2A">
        <w:t>H</w:t>
      </w:r>
      <w:r w:rsidRPr="00101A2A">
        <w:t xml:space="preserve">omeowners can now rent their </w:t>
      </w:r>
      <w:r w:rsidR="00D128E8" w:rsidRPr="00101A2A">
        <w:t xml:space="preserve">excess capacity </w:t>
      </w:r>
      <w:r w:rsidRPr="00101A2A">
        <w:t xml:space="preserve">on digital platforms like Airbnb and VRBO; this raises the value of owning, which is then capitalized into house prices. </w:t>
      </w:r>
      <w:r w:rsidR="00B90B90">
        <w:t>S</w:t>
      </w:r>
      <w:r w:rsidRPr="00101A2A">
        <w:t xml:space="preserve">tudies of the short-term rental market </w:t>
      </w:r>
      <w:r w:rsidR="00D128E8" w:rsidRPr="00101A2A">
        <w:t xml:space="preserve">have </w:t>
      </w:r>
      <w:r w:rsidRPr="00101A2A">
        <w:t xml:space="preserve">found that the entry of Airbnb is responsible for an increase in the sale price of houses ranging from 1% </w:t>
      </w:r>
      <w:r w:rsidRPr="00101A2A">
        <w:fldChar w:fldCharType="begin" w:fldLock="1"/>
      </w:r>
      <w:r w:rsidR="00920500">
        <w:instrText>ADDIN CSL_CITATION {"citationItems":[{"id":"ITEM-1","itemData":{"abstract":"We assess the impact of home-sharing on residential house prices and rental rates. Using a comprehensive dataset on Airbnb listings from the whole United States, we regress zipcode level house prices and rental rates on the number of Airbnb listings, controlling for endogeneity using a shift-share instrumental variable strategy. We find that a 10% increase in Airbnb listings leads to a 0.39% increase in rents and a 0.64% increase in house prices. Moreover, we find that the effect of Airbnb is smaller in zipcodes with a larger share of owner-occupiers, suggesting that it is the absentee landlords who are on the margin of substituting their homes away from the rental market and into Airbnb. We present a simple model that rationalizes these findings.","author":[{"dropping-particle":"","family":"Barron","given":"Kyle","non-dropping-particle":"","parse-names":false,"suffix":""},{"dropping-particle":"","family":"Kung","given":"Edward","non-dropping-particle":"","parse-names":false,"suffix":""},{"dropping-particle":"","family":"Proserpio","given":"Davide","non-dropping-particle":"","parse-names":false,"suffix":""}],"container-title":"Marketing Science","id":"ITEM-1","issue":"1","issued":{"date-parts":[["2021"]]},"page":"23-47","title":"The effect of home-sharing on house prices and rents: Evidence from Airbnb","type":"article-journal","volume":"40"},"uris":["http://www.mendeley.com/documents/?uuid=c3795c9e-bff0-472b-89fd-6e5c064ded01"]},{"id":"ITEM-2","itemData":{"DOI":"10.2139/ssrn.3257521","ISBN":"0000000302","abstract":"As cities debate how to regulate Airbnb and other home-sharing services, we study the impacts of home sharing on local residential real estate markets. By accommodating transient travelers with short-term rental properties, home-sharing platforms have evolved as a major alternative channel that attracts the growing supply of residential properties. However, on the demand side of local residential markets, home-sharing platforms are not a viable option for residents. To demonstrate this dynamic between home sharing and local residential markets, we leverage a unique quasi-experiment on Airbnb—a platform policy that caps the number of properties a host can manage in a city—and find that the policy reduced rents (in the long-term rental markets) and home values (in the for-sale housing markets) by about 3% and did not affect the price-to-rent ratio. Consistent with the conjecture, we find that the policy impacts can be attributed to increased supply in local residential markets because of the policy. Quantitatively, our estimates suggest that, if the density of affected Airbnb properties is 1% higher in a market, the policy may further decrease rents and home values by about 0.03%–0.06%, which is similar across each policy-affected city. Our empirical findings add to the debate about the impacts of home sharing on local residential markets with a novel data set and a unique identification strategy. Practically speaking, our research is a timely response to the debate on regulating home sharing and has implications for various stakeholders of the residential real estate markets.","author":[{"dropping-particle":"","family":"Chen","given":"Wei","non-dropping-particle":"","parse-names":false,"suffix":""},{"dropping-particle":"","family":"Wei","given":"Zaiyan","non-dropping-particle":"","parse-names":false,"suffix":""},{"dropping-particle":"","family":"Xie","given":"Karen","non-dropping-particle":"","parse-names":false,"suffix":""}],"container-title":"Management Science","id":"ITEM-2","issue":"12","issued":{"date-parts":[["2022"]]},"page":"8589-8612","title":"The Battle for Homes: How Does Home Sharing Disrupt Local Residential Markets?","type":"article-journal","volume":"68"},"uris":["http://www.mendeley.com/documents/?uuid=5112e5d4-27be-416a-819a-a389df846e47"]}],"mendeley":{"formattedCitation":"(Barron et al., 2021; Chen et al., 2022)","manualFormatting":"(Barron et al., 2021; Chen et al., 2022)","plainTextFormattedCitation":"(Barron et al., 2021; Chen et al., 2022)","previouslyFormattedCitation":"(Barron et al., 2021; Chen et al., 2022)"},"properties":{"noteIndex":0},"schema":"https://github.com/citation-style-language/schema/raw/master/csl-citation.json"}</w:instrText>
      </w:r>
      <w:r w:rsidRPr="00101A2A">
        <w:fldChar w:fldCharType="separate"/>
      </w:r>
      <w:r w:rsidRPr="00101A2A">
        <w:rPr>
          <w:noProof/>
        </w:rPr>
        <w:t>(Barron et al.</w:t>
      </w:r>
      <w:r w:rsidR="00877ACB" w:rsidRPr="00101A2A">
        <w:rPr>
          <w:noProof/>
        </w:rPr>
        <w:t>,</w:t>
      </w:r>
      <w:r w:rsidRPr="00101A2A">
        <w:rPr>
          <w:noProof/>
        </w:rPr>
        <w:t xml:space="preserve"> 2021</w:t>
      </w:r>
      <w:r w:rsidR="00877ACB" w:rsidRPr="00101A2A">
        <w:rPr>
          <w:noProof/>
        </w:rPr>
        <w:t>;</w:t>
      </w:r>
      <w:r w:rsidRPr="00101A2A">
        <w:rPr>
          <w:noProof/>
        </w:rPr>
        <w:t xml:space="preserve"> Chen et al.</w:t>
      </w:r>
      <w:r w:rsidR="00877ACB" w:rsidRPr="00101A2A">
        <w:rPr>
          <w:noProof/>
        </w:rPr>
        <w:t>,</w:t>
      </w:r>
      <w:r w:rsidRPr="00101A2A">
        <w:rPr>
          <w:noProof/>
        </w:rPr>
        <w:t xml:space="preserve"> 2022)</w:t>
      </w:r>
      <w:r w:rsidRPr="00101A2A">
        <w:fldChar w:fldCharType="end"/>
      </w:r>
      <w:r w:rsidRPr="00101A2A">
        <w:t xml:space="preserve"> up to about 15% in </w:t>
      </w:r>
      <w:r w:rsidR="00B4247F">
        <w:t>tourist</w:t>
      </w:r>
      <w:r w:rsidRPr="00101A2A">
        <w:t xml:space="preserve"> areas </w:t>
      </w:r>
      <w:r w:rsidRPr="00101A2A">
        <w:fldChar w:fldCharType="begin" w:fldLock="1"/>
      </w:r>
      <w:r w:rsidR="003749C2">
        <w:instrText>ADDIN CSL_CITATION {"citationItems":[{"id":"ITEM-1","itemData":{"DOI":"10.1016/j.jue.2021.103356","ISSN":"00941190","abstract":"Online short-term rental (STR) platforms such as Airbnb have grown spectacularly. We study the effects of regulation of these platforms on the housing market using a quasi-experimental research design. 18 out of 88 cities in Los Angeles County have severely restricted short-term rentals by adopting Home Sharing Ordinances. We apply a panel regression-discontinuity design around the cities’ borders. Ordinances reduced listings by 50% and housing prices by 2%. Additional difference-in-differences estimates show that ordinances reduced rents also by 2%. These estimates imply large effects of Airbnb on property values in areas attractive to tourists (e.g. an increase in house prices of 15% within 2.5km of Hollywood's Walk of Fame).","author":[{"dropping-particle":"","family":"Koster","given":"Hans R A","non-dropping-particle":"","parse-names":false,"suffix":""},{"dropping-particle":"","family":"Ommeren","given":"Jos","non-dropping-particle":"van","parse-names":false,"suffix":""},{"dropping-particle":"","family":"Volkhausen","given":"Nicolas","non-dropping-particle":"","parse-names":false,"suffix":""}],"container-title":"Journal of Urban Economics","id":"ITEM-1","issue":"April","issued":{"date-parts":[["2021"]]},"page":"103356","publisher":"Elsevier Inc.","title":"Short-term rentals and the housing market: Quasi-experimental evidence from Airbnb in Los Angeles","type":"article-journal","volume":"124"},"uris":["http://www.mendeley.com/documents/?uuid=ccc263f0-2500-4cb9-a083-cbf2188831a7"]}],"mendeley":{"formattedCitation":"(H. R. A. Koster et al., 2021)","manualFormatting":"(Koster et al., 2021)","plainTextFormattedCitation":"(H. R. A. Koster et al., 2021)","previouslyFormattedCitation":"(H. R. A. Koster et al., 2021)"},"properties":{"noteIndex":0},"schema":"https://github.com/citation-style-language/schema/raw/master/csl-citation.json"}</w:instrText>
      </w:r>
      <w:r w:rsidRPr="00101A2A">
        <w:fldChar w:fldCharType="separate"/>
      </w:r>
      <w:r w:rsidRPr="00101A2A">
        <w:rPr>
          <w:noProof/>
        </w:rPr>
        <w:t>(Koster et al.</w:t>
      </w:r>
      <w:r w:rsidR="00877ACB" w:rsidRPr="00101A2A">
        <w:rPr>
          <w:noProof/>
        </w:rPr>
        <w:t>,</w:t>
      </w:r>
      <w:r w:rsidRPr="00101A2A">
        <w:rPr>
          <w:noProof/>
        </w:rPr>
        <w:t xml:space="preserve"> 2021)</w:t>
      </w:r>
      <w:r w:rsidRPr="00101A2A">
        <w:fldChar w:fldCharType="end"/>
      </w:r>
      <w:r w:rsidRPr="00101A2A">
        <w:t xml:space="preserve">. </w:t>
      </w:r>
    </w:p>
    <w:p w14:paraId="08A839AE" w14:textId="76B8AF0D" w:rsidR="006C3732" w:rsidRPr="00101A2A" w:rsidRDefault="006C3732" w:rsidP="009209F8">
      <w:pPr>
        <w:pStyle w:val="Heading2"/>
      </w:pPr>
      <w:r w:rsidRPr="00101A2A">
        <w:t>Spanners</w:t>
      </w:r>
    </w:p>
    <w:p w14:paraId="07526AF1" w14:textId="68FC0FA7" w:rsidR="00FF45FD" w:rsidRPr="00101A2A" w:rsidRDefault="00F74F04" w:rsidP="00DE1E3E">
      <w:r w:rsidRPr="00101A2A">
        <w:t>In general, e</w:t>
      </w:r>
      <w:r w:rsidR="00AB67D4" w:rsidRPr="00101A2A">
        <w:t>stablished f</w:t>
      </w:r>
      <w:r w:rsidR="00C03D69" w:rsidRPr="00101A2A">
        <w:t>irms</w:t>
      </w:r>
      <w:r w:rsidR="00A963BE" w:rsidRPr="00101A2A">
        <w:t xml:space="preserve"> </w:t>
      </w:r>
      <w:r w:rsidR="005834BB" w:rsidRPr="00101A2A">
        <w:t>can</w:t>
      </w:r>
      <w:r w:rsidR="008607D6" w:rsidRPr="00101A2A">
        <w:t xml:space="preserve"> contribute to the growth of</w:t>
      </w:r>
      <w:r w:rsidR="00795B87" w:rsidRPr="00101A2A">
        <w:t xml:space="preserve"> </w:t>
      </w:r>
      <w:r w:rsidR="008607D6" w:rsidRPr="00101A2A">
        <w:t xml:space="preserve">new market spaces by </w:t>
      </w:r>
      <w:r w:rsidR="007101E2" w:rsidRPr="00101A2A">
        <w:t xml:space="preserve">moving part of </w:t>
      </w:r>
      <w:r w:rsidR="008607D6" w:rsidRPr="00101A2A">
        <w:t xml:space="preserve">their resources to the </w:t>
      </w:r>
      <w:r w:rsidR="00F31341" w:rsidRPr="00101A2A">
        <w:t>emerging</w:t>
      </w:r>
      <w:r w:rsidR="008607D6" w:rsidRPr="00101A2A">
        <w:t xml:space="preserve"> </w:t>
      </w:r>
      <w:r w:rsidR="00C636B9" w:rsidRPr="00101A2A">
        <w:t>industry</w:t>
      </w:r>
      <w:r w:rsidR="00C40DDF" w:rsidRPr="00101A2A">
        <w:t xml:space="preserve"> </w:t>
      </w:r>
      <w:r w:rsidR="00C40DDF" w:rsidRPr="00101A2A">
        <w:fldChar w:fldCharType="begin" w:fldLock="1"/>
      </w:r>
      <w:r w:rsidR="003749C2">
        <w:instrText>ADDIN CSL_CITATION {"citationItems":[{"id":"ITEM-1","itemData":{"DOI":"10.1287/orsc.2015.1029","ISSN":"1047-7039","abstract":"Recent scholarship on entrepreneurship suggests that the pre-entry know-how of start-ups, embodied in their founders, affects not only entry, but also performance. Although prior work focuses on new entrants from the focal industry (i.e., employee spinouts) and academic organizations (i.e., university spinoffs), this study identifies and examines a hybrid category of start-ups from downstream user-industries, which we call “user-industry spinouts.” We draw from the literature on evolutionary theory, user innovation, and industrial dynamics to propose that, given the unique combination of knowledge inherited by these entrants, their choices at entry and their ability to survive in the focal industry will differ with respect to other start-ups. We do this by extending existing work on new firm creation to investigate entry and performance in different product markets. Our findings, based on a dataset of start-ups in the semiconductor industry over a 10-year period (1997–2007), show that user-industry spinou...","author":[{"dropping-particle":"","family":"Adams","given":"Pamela","non-dropping-particle":"","parse-names":false,"suffix":""},{"dropping-particle":"","family":"Fontana","given":"Roberto","non-dropping-particle":"","parse-names":false,"suffix":""},{"dropping-particle":"","family":"Malerba","given":"Franco","non-dropping-particle":"","parse-names":false,"suffix":""}],"container-title":"Organization Science","id":"ITEM-1","issue":"1","issued":{"date-parts":[["2015"]]},"page":"18-35","title":"User-Industry Spinouts: Downstream Industry Knowledge as a Source of New Firm Entry and Survival","type":"article-journal","volume":"27"},"uris":["http://www.mendeley.com/documents/?uuid=c85a8ab2-10b9-4cd3-8547-43bffdf3a1ab"]},{"id":"ITEM-2","itemData":{"DOI":"10.1002/smj.4250171009","ISBN":"01432095","ISSN":"01432095","abstract":"Do laterally diversifying firms outlast new startups? Or does organizational inertia give the advantage to startups? We explore these questions here using the experiences of American automobile manufacturers from 1885 through 1981. We advance and test an integrative model that allows the organizational effects of entry mode to vary across the firm's life cycle. We also compare the life chances of laterally diversifying firms by industry of origin, including especially bicycle, carriage and engine manufacturers. Findings show the potentially integrative value of an evolutionary approach to strategy","author":[{"dropping-particle":"","family":"Carroll","given":"Glenn R.","non-dropping-particle":"","parse-names":false,"suffix":""},{"dropping-particle":"","family":"Bigelow","given":"Lyda S.","non-dropping-particle":"","parse-names":false,"suffix":""},{"dropping-particle":"","family":"Seidel","given":"Marc-David L.","non-dropping-particle":"","parse-names":false,"suffix":""},{"dropping-particle":"","family":"Tsai","given":"Lucia B.","non-dropping-particle":"","parse-names":false,"suffix":""}],"container-title":"Strategic Management Journal","id":"ITEM-2","issue":"S1","issued":{"date-parts":[["1996"]]},"page":"117-137","title":"The fates of De Novo and De Alio producers in the American Automobile Industry 1885-1981","type":"article-journal","volume":"17"},"uris":["http://www.mendeley.com/documents/?uuid=8ace97d9-b529-4474-a68f-8cadbb652db5"]},{"id":"ITEM-3","itemData":{"DOI":"10.1086/318962","ISBN":"00029602","ISSN":"0002-9602","PMID":"4304441","abstract":"The number of small specialty brewers in the U.S. beer brewing industry has increased dramatically in recent decades, even as the market for beer became increasingly dominated by mass-production brewing companies. Using the resource-partitioning model of organizational ecology, this article shows that these two apparently contradictory trends are fundamentally interrelated. Hypotheses developed here refine the way scale competition among generalist organizations is modeled and improve the theoretical development of the sociological bases for the appeal of specialist organizations’ products, especially those related to organizational identity. Evidence drawn from qualitative and quantitative research provides strong support for the theory. The article offers a brief discussion of the theoretical and substantive issues involved in application of the model to other industries and to other cultures.","author":[{"dropping-particle":"","family":"Carroll","given":"Glenn R.","non-dropping-particle":"","parse-names":false,"suffix":""},{"dropping-particle":"","family":"Swaminathan","given":"Anand","non-dropping-particle":"","parse-names":false,"suffix":""}],"container-title":"American Journal of Sociology","id":"ITEM-3","issue":"3","issued":{"date-parts":[["2000"]]},"page":"715-762","title":"Why the Microbrewery Movement? Organizational Dynamics of Resource Partitioning in the U.S. Brewing Industry","type":"article-journal","volume":"106"},"uris":["http://www.mendeley.com/documents/?uuid=3725790e-e739-4e41-ac4d-a2ee27d11858"]},{"id":"ITEM-4","itemData":{"DOI":"10.5465/amr.2013.0359","ISBN":"0363-7425","ISSN":"0363-7425","PMID":"108331706","abstract":"Scholars have long studied technology evolution. More recently, organizational theo- rists have begun to explore the role of categories and their associated labels in industry dynamics. Yet little is known about how technological designs and categories coevolve. We build on these two bodies of literature to develop an integrative model of how industries emerge and evolve. We propose that the evolution of both technological designs and categories follows a similar pattern, characterized by an early period of divergence followed by a period of convergence, and we identify the mechanisms that account for this coevolutionary process. We add to the literature on technological evo- lution by explicating the mechanisms through which designs evolve and identifying how different stakeholders’ categorical understandings shape design competition. Our model also augments the categorization literature by detailing categorical evolution as a contested process of category creation and selection, which, in turn, is influenced by the designs that the categories are trying to group. Our model creates a much needed bridge between two bodies of literature that, while addressing similar topics, have evolved largely separately.","author":[{"dropping-particle":"","family":"Grodal","given":"Stine","non-dropping-particle":"","parse-names":false,"suffix":""},{"dropping-particle":"","family":"Gotsopoulos","given":"Aleksios","non-dropping-particle":"","parse-names":false,"suffix":""},{"dropping-particle":"","family":"Suarez","given":"Fernando F.","non-dropping-particle":"","parse-names":false,"suffix":""}],"container-title":"Academy of Management Review","id":"ITEM-4","issue":"3","issued":{"date-parts":[["2015"]]},"page":"423-445","title":"The Coevolution of technologies and Categories During Industry Emergence","type":"article-journal","volume":"40"},"uris":["http://www.mendeley.com/documents/?uuid=15f1c7b0-5e05-4722-b2c7-3dcc8050c5b2"]},{"id":"ITEM-5","itemData":{"DOI":"10.1002/1097-0266(200010/11)21:10/11&lt;997::AID-SMJ134&gt;3.0.CO;2-O","ISBN":"01432095","ISSN":"0143-2095","PMID":"225004921","abstract":"The U.S. television receiver industry evolved to be an oligopoly dominated by firms that produced radios prior to TVs. Data on the experience of all U.S. radio manufacturers and on the length of survival and rate of innovation of all U.S. TV entrants are collected to analyze how radio experience influenced entry, firm performance, and the evolution of market structure in the TV industry. Consistent with a model of the evolution of an oligopolistic industry, more experienced radio firms were more likely to enter TV manufacturing, had higher innovation rates, and in turn had greater market shares and longer survival, suggesting that firm capabilities and the evolution of the TV industry's market structure were critically shaped by firms' experience prior to entry. Copyright © 2000 John Wiley &amp; Sons, Ltd.","author":[{"dropping-particle":"","family":"Klepper","given":"Steven","non-dropping-particle":"","parse-names":false,"suffix":""},{"dropping-particle":"","family":"Simons","given":"Kenneth L.","non-dropping-particle":"","parse-names":false,"suffix":""}],"container-title":"Strategic Management Journal","id":"ITEM-5","issue":"10-11","issued":{"date-parts":[["2000"]]},"page":"997-1016","title":"Dominance by birthright: entry of prior radio producers and competitive ramifications in the U.S. television receiver industry","type":"article-journal","volume":"21"},"uris":["http://www.mendeley.com/documents/?uuid=cc27dd4a-76bf-4b99-b3e1-fec2be88e30d"]}],"mendeley":{"formattedCitation":"(Adams, Fontana, &amp; Malerba, 2015; Carroll, Bigelow, Seidel, &amp; Tsai, 1996; Carroll &amp; Swaminathan, 2000; Grodal, Gotsopoulos, &amp; Suarez, 2015; Klepper &amp; Simons, 2000)","manualFormatting":"(Adams, Fontana, &amp; Malerba, 2015; Carroll, Bigelow, Seidel, &amp; Tsai, 1996; Carroll &amp; Swaminathan, 2000; Grodal, Gotsopoulos, &amp; Suarez, 2015; Klepper &amp; Simons, 2000)","plainTextFormattedCitation":"(Adams, Fontana, &amp; Malerba, 2015; Carroll, Bigelow, Seidel, &amp; Tsai, 1996; Carroll &amp; Swaminathan, 2000; Grodal, Gotsopoulos, &amp; Suarez, 2015; Klepper &amp; Simons, 2000)","previouslyFormattedCitation":"(Adams, Fontana, &amp; Malerba, 2015; Carroll, Bigelow, Seidel, &amp; Tsai, 1996; Carroll &amp; Swaminathan, 2000; Grodal, Gotsopoulos, &amp; Suarez, 2015; Klepper &amp; Simons, 2000)"},"properties":{"noteIndex":0},"schema":"https://github.com/citation-style-language/schema/raw/master/csl-citation.json"}</w:instrText>
      </w:r>
      <w:r w:rsidR="00C40DDF" w:rsidRPr="00101A2A">
        <w:fldChar w:fldCharType="separate"/>
      </w:r>
      <w:r w:rsidR="00C40DDF" w:rsidRPr="00101A2A">
        <w:rPr>
          <w:noProof/>
        </w:rPr>
        <w:t>(Adams</w:t>
      </w:r>
      <w:r w:rsidR="006475EB" w:rsidRPr="00101A2A">
        <w:rPr>
          <w:noProof/>
        </w:rPr>
        <w:t>, Fontana, &amp; Malerba,</w:t>
      </w:r>
      <w:r w:rsidR="00C40DDF" w:rsidRPr="00101A2A">
        <w:rPr>
          <w:noProof/>
        </w:rPr>
        <w:t xml:space="preserve"> 2015</w:t>
      </w:r>
      <w:r w:rsidR="008E058D" w:rsidRPr="00101A2A">
        <w:rPr>
          <w:noProof/>
        </w:rPr>
        <w:t>;</w:t>
      </w:r>
      <w:r w:rsidR="00C40DDF" w:rsidRPr="00101A2A">
        <w:rPr>
          <w:noProof/>
        </w:rPr>
        <w:t xml:space="preserve"> Carroll</w:t>
      </w:r>
      <w:r w:rsidR="006475EB" w:rsidRPr="00101A2A">
        <w:rPr>
          <w:noProof/>
        </w:rPr>
        <w:t>, Bigelow, Seidel, &amp; Tsai,</w:t>
      </w:r>
      <w:r w:rsidR="00C40DDF" w:rsidRPr="00101A2A">
        <w:rPr>
          <w:noProof/>
        </w:rPr>
        <w:t xml:space="preserve"> 1996</w:t>
      </w:r>
      <w:r w:rsidR="006475EB" w:rsidRPr="00101A2A">
        <w:rPr>
          <w:noProof/>
        </w:rPr>
        <w:t>;</w:t>
      </w:r>
      <w:r w:rsidR="00C40DDF" w:rsidRPr="00101A2A">
        <w:rPr>
          <w:noProof/>
        </w:rPr>
        <w:t xml:space="preserve"> Carroll </w:t>
      </w:r>
      <w:r w:rsidR="006475EB" w:rsidRPr="00101A2A">
        <w:rPr>
          <w:noProof/>
        </w:rPr>
        <w:t>&amp;</w:t>
      </w:r>
      <w:r w:rsidR="00C40DDF" w:rsidRPr="00101A2A">
        <w:rPr>
          <w:noProof/>
        </w:rPr>
        <w:t xml:space="preserve"> Swaminathan</w:t>
      </w:r>
      <w:r w:rsidR="006475EB" w:rsidRPr="00101A2A">
        <w:rPr>
          <w:noProof/>
        </w:rPr>
        <w:t>,</w:t>
      </w:r>
      <w:r w:rsidR="00C40DDF" w:rsidRPr="00101A2A">
        <w:rPr>
          <w:noProof/>
        </w:rPr>
        <w:t xml:space="preserve"> 2000</w:t>
      </w:r>
      <w:r w:rsidR="006475EB" w:rsidRPr="00101A2A">
        <w:rPr>
          <w:noProof/>
        </w:rPr>
        <w:t>;</w:t>
      </w:r>
      <w:r w:rsidR="00C40DDF" w:rsidRPr="00101A2A">
        <w:rPr>
          <w:noProof/>
        </w:rPr>
        <w:t xml:space="preserve"> Grodal</w:t>
      </w:r>
      <w:r w:rsidR="006475EB" w:rsidRPr="00101A2A">
        <w:rPr>
          <w:noProof/>
        </w:rPr>
        <w:t>, Gotsopoulos, &amp; Suarez,</w:t>
      </w:r>
      <w:r w:rsidR="00C40DDF" w:rsidRPr="00101A2A">
        <w:rPr>
          <w:noProof/>
        </w:rPr>
        <w:t xml:space="preserve"> 2015</w:t>
      </w:r>
      <w:r w:rsidR="006475EB" w:rsidRPr="00101A2A">
        <w:rPr>
          <w:noProof/>
        </w:rPr>
        <w:t>;</w:t>
      </w:r>
      <w:r w:rsidR="00C40DDF" w:rsidRPr="00101A2A">
        <w:rPr>
          <w:noProof/>
        </w:rPr>
        <w:t xml:space="preserve"> Klepper </w:t>
      </w:r>
      <w:r w:rsidR="006475EB" w:rsidRPr="00101A2A">
        <w:rPr>
          <w:noProof/>
        </w:rPr>
        <w:t>&amp;</w:t>
      </w:r>
      <w:r w:rsidR="00C40DDF" w:rsidRPr="00101A2A">
        <w:rPr>
          <w:noProof/>
        </w:rPr>
        <w:t xml:space="preserve"> Simons</w:t>
      </w:r>
      <w:r w:rsidR="006475EB" w:rsidRPr="00101A2A">
        <w:rPr>
          <w:noProof/>
        </w:rPr>
        <w:t>,</w:t>
      </w:r>
      <w:r w:rsidR="00C40DDF" w:rsidRPr="00101A2A">
        <w:rPr>
          <w:noProof/>
        </w:rPr>
        <w:t xml:space="preserve"> 2000)</w:t>
      </w:r>
      <w:r w:rsidR="00C40DDF" w:rsidRPr="00101A2A">
        <w:fldChar w:fldCharType="end"/>
      </w:r>
      <w:r w:rsidR="00C40DDF" w:rsidRPr="00101A2A">
        <w:t xml:space="preserve">. </w:t>
      </w:r>
      <w:r w:rsidR="00D06AA7" w:rsidRPr="00101A2A">
        <w:t>T</w:t>
      </w:r>
      <w:r w:rsidR="00B52556" w:rsidRPr="00101A2A">
        <w:t>he</w:t>
      </w:r>
      <w:r w:rsidR="005C4CBD" w:rsidRPr="00101A2A">
        <w:t xml:space="preserve"> displac</w:t>
      </w:r>
      <w:r w:rsidR="00B52556" w:rsidRPr="00101A2A">
        <w:t>ement of</w:t>
      </w:r>
      <w:r w:rsidR="005C4CBD" w:rsidRPr="00101A2A">
        <w:t xml:space="preserve"> </w:t>
      </w:r>
      <w:r w:rsidR="00955BB3" w:rsidRPr="00101A2A">
        <w:t xml:space="preserve">resources </w:t>
      </w:r>
      <w:r w:rsidR="005C4CBD" w:rsidRPr="00101A2A">
        <w:t xml:space="preserve">from other </w:t>
      </w:r>
      <w:r w:rsidR="00C636B9" w:rsidRPr="00101A2A">
        <w:t xml:space="preserve">industries </w:t>
      </w:r>
      <w:r w:rsidR="005834BB" w:rsidRPr="00101A2A">
        <w:t>into SE platform</w:t>
      </w:r>
      <w:r w:rsidR="003F44E5" w:rsidRPr="00101A2A">
        <w:t>s</w:t>
      </w:r>
      <w:r w:rsidR="005834BB" w:rsidRPr="00101A2A">
        <w:t xml:space="preserve"> </w:t>
      </w:r>
      <w:r w:rsidR="005C4CBD" w:rsidRPr="00101A2A">
        <w:fldChar w:fldCharType="begin" w:fldLock="1"/>
      </w:r>
      <w:r w:rsidR="00920500">
        <w:instrText>ADDIN CSL_CITATION {"citationItems":[{"id":"ITEM-1","itemData":{"abstract":"We assess the impact of home-sharing on residential house prices and rental rates. Using a comprehensive dataset on Airbnb listings from the whole United States, we regress zipcode level house prices and rental rates on the number of Airbnb listings, controlling for endogeneity using a shift-share instrumental variable strategy. We find that a 10% increase in Airbnb listings leads to a 0.39% increase in rents and a 0.64% increase in house prices. Moreover, we find that the effect of Airbnb is smaller in zipcodes with a larger share of owner-occupiers, suggesting that it is the absentee landlords who are on the margin of substituting their homes away from the rental market and into Airbnb. We present a simple model that rationalizes these findings.","author":[{"dropping-particle":"","family":"Barron","given":"Kyle","non-dropping-particle":"","parse-names":false,"suffix":""},{"dropping-particle":"","family":"Kung","given":"Edward","non-dropping-particle":"","parse-names":false,"suffix":""},{"dropping-particle":"","family":"Proserpio","given":"Davide","non-dropping-particle":"","parse-names":false,"suffix":""}],"container-title":"Marketing Science","id":"ITEM-1","issue":"1","issued":{"date-parts":[["2021"]]},"page":"23-47","title":"The effect of home-sharing on house prices and rents: Evidence from Airbnb","type":"article-journal","volume":"40"},"uris":["http://www.mendeley.com/documents/?uuid=c3795c9e-bff0-472b-89fd-6e5c064ded01"]},{"id":"ITEM-2","itemData":{"DOI":"10.2139/ssrn.3435105","abstract":"This paper examines the impact of Airbnb on the local rental housing market. Airbnb provides landlords an alternative opportunity to rent to short-term tourists, potentially causing some property owners to switch away from long-term rental to local residents, thereby affecting the rental housing supply and afforability. Despite recent government regulations to address this concern, it remains unclear whether and what type of properties are switching.","author":[{"dropping-particle":"","family":"Li","given":"Hui","non-dropping-particle":"","parse-names":false,"suffix":""},{"dropping-particle":"","family":"Kim","given":"Yijin","non-dropping-particle":"","parse-names":false,"suffix":""},{"dropping-particle":"","family":"Srinivasan","given":"Kannan","non-dropping-particle":"","parse-names":false,"suffix":""}],"container-title":"Management Science","id":"ITEM-2","issue":"11","issued":{"date-parts":[["2022"]]},"page":"8015-8044","title":"Market Shifts in the Sharing Economy: The Impact of Airbnb on Housing Rentals","type":"article-journal","volume":"68"},"uris":["http://www.mendeley.com/documents/?uuid=a9115a92-0fdb-435d-92ec-630176016aea"]},{"id":"ITEM-3","itemData":{"DOI":"10.2139/ssrn.3257521","ISBN":"0000000302","abstract":"As cities debate how to regulate Airbnb and other home-sharing services, we study the impacts of home sharing on local residential real estate markets. By accommodating transient travelers with short-term rental properties, home-sharing platforms have evolved as a major alternative channel that attracts the growing supply of residential properties. However, on the demand side of local residential markets, home-sharing platforms are not a viable option for residents. To demonstrate this dynamic between home sharing and local residential markets, we leverage a unique quasi-experiment on Airbnb—a platform policy that caps the number of properties a host can manage in a city—and find that the policy reduced rents (in the long-term rental markets) and home values (in the for-sale housing markets) by about 3% and did not affect the price-to-rent ratio. Consistent with the conjecture, we find that the policy impacts can be attributed to increased supply in local residential markets because of the policy. Quantitatively, our estimates suggest that, if the density of affected Airbnb properties is 1% higher in a market, the policy may further decrease rents and home values by about 0.03%–0.06%, which is similar across each policy-affected city. Our empirical findings add to the debate about the impacts of home sharing on local residential markets with a novel data set and a unique identification strategy. Practically speaking, our research is a timely response to the debate on regulating home sharing and has implications for various stakeholders of the residential real estate markets.","author":[{"dropping-particle":"","family":"Chen","given":"Wei","non-dropping-particle":"","parse-names":false,"suffix":""},{"dropping-particle":"","family":"Wei","given":"Zaiyan","non-dropping-particle":"","parse-names":false,"suffix":""},{"dropping-particle":"","family":"Xie","given":"Karen","non-dropping-particle":"","parse-names":false,"suffix":""}],"container-title":"Management Science","id":"ITEM-3","issue":"12","issued":{"date-parts":[["2022"]]},"page":"8589-8612","title":"The Battle for Homes: How Does Home Sharing Disrupt Local Residential Markets?","type":"article-journal","volume":"68"},"uris":["http://www.mendeley.com/documents/?uuid=5112e5d4-27be-416a-819a-a389df846e47"]}],"mendeley":{"formattedCitation":"(Barron et al., 2021; Chen et al., 2022; Li et al., 2022)","manualFormatting":"(Barron et al., 2021; Chen et al., 2022; Li et al., 2022)","plainTextFormattedCitation":"(Barron et al., 2021; Chen et al., 2022; Li et al., 2022)","previouslyFormattedCitation":"(Barron et al., 2021; Chen et al., 2022; Li et al., 2022)"},"properties":{"noteIndex":0},"schema":"https://github.com/citation-style-language/schema/raw/master/csl-citation.json"}</w:instrText>
      </w:r>
      <w:r w:rsidR="005C4CBD" w:rsidRPr="00101A2A">
        <w:fldChar w:fldCharType="separate"/>
      </w:r>
      <w:r w:rsidR="00F8644E" w:rsidRPr="00101A2A">
        <w:rPr>
          <w:noProof/>
        </w:rPr>
        <w:t>(Barron et al.</w:t>
      </w:r>
      <w:r w:rsidR="006475EB" w:rsidRPr="00101A2A">
        <w:rPr>
          <w:noProof/>
        </w:rPr>
        <w:t>,</w:t>
      </w:r>
      <w:r w:rsidR="00F8644E" w:rsidRPr="00101A2A">
        <w:rPr>
          <w:noProof/>
        </w:rPr>
        <w:t xml:space="preserve"> 2021</w:t>
      </w:r>
      <w:r w:rsidR="006475EB" w:rsidRPr="00101A2A">
        <w:rPr>
          <w:noProof/>
        </w:rPr>
        <w:t>;</w:t>
      </w:r>
      <w:r w:rsidR="00F8644E" w:rsidRPr="00101A2A">
        <w:rPr>
          <w:noProof/>
        </w:rPr>
        <w:t xml:space="preserve"> Chen et al.</w:t>
      </w:r>
      <w:r w:rsidR="006475EB" w:rsidRPr="00101A2A">
        <w:rPr>
          <w:noProof/>
        </w:rPr>
        <w:t>,</w:t>
      </w:r>
      <w:r w:rsidR="00F8644E" w:rsidRPr="00101A2A">
        <w:rPr>
          <w:noProof/>
        </w:rPr>
        <w:t xml:space="preserve"> 2022</w:t>
      </w:r>
      <w:r w:rsidR="006475EB" w:rsidRPr="00101A2A">
        <w:rPr>
          <w:noProof/>
        </w:rPr>
        <w:t>;</w:t>
      </w:r>
      <w:r w:rsidR="00F8644E" w:rsidRPr="00101A2A">
        <w:rPr>
          <w:noProof/>
        </w:rPr>
        <w:t xml:space="preserve"> Li et al.</w:t>
      </w:r>
      <w:r w:rsidR="006475EB" w:rsidRPr="00101A2A">
        <w:rPr>
          <w:noProof/>
        </w:rPr>
        <w:t>,</w:t>
      </w:r>
      <w:r w:rsidR="00F8644E" w:rsidRPr="00101A2A">
        <w:rPr>
          <w:noProof/>
        </w:rPr>
        <w:t xml:space="preserve"> 2022)</w:t>
      </w:r>
      <w:r w:rsidR="005C4CBD" w:rsidRPr="00101A2A">
        <w:fldChar w:fldCharType="end"/>
      </w:r>
      <w:r w:rsidR="00D854BE" w:rsidRPr="00101A2A">
        <w:t xml:space="preserve"> allow</w:t>
      </w:r>
      <w:r w:rsidR="00D06AA7" w:rsidRPr="00101A2A">
        <w:t>s</w:t>
      </w:r>
      <w:r w:rsidR="00D854BE" w:rsidRPr="00101A2A">
        <w:t xml:space="preserve"> </w:t>
      </w:r>
      <w:r w:rsidR="00955BB3" w:rsidRPr="00101A2A">
        <w:t>the fast growth of the</w:t>
      </w:r>
      <w:r w:rsidR="00D06AA7" w:rsidRPr="00101A2A">
        <w:t>se</w:t>
      </w:r>
      <w:r w:rsidR="00955BB3" w:rsidRPr="00101A2A">
        <w:t xml:space="preserve"> platforms </w:t>
      </w:r>
      <w:r w:rsidR="00955BB3" w:rsidRPr="00101A2A">
        <w:fldChar w:fldCharType="begin" w:fldLock="1"/>
      </w:r>
      <w:r w:rsidR="003749C2">
        <w:instrText>ADDIN CSL_CITATION {"citationItems":[{"id":"ITEM-1","itemData":{"DOI":"10.1287/mnsc.2019.3356","ISSN":"15265501","abstract":"We explore conditions under which a multiproduct firm can profitably turn itself into a platform by “hosting rivals,” that is, by inviting rivals to sell products or services on top of its core product. Hosting eliminates the additional shopping costs to consumers of buying a specialist rival's competing version of the multiproduct firm's noncore product. On the one hand, this makes it easier for the rival to compete on the noncore product. On the other hand, hosting turns the rival from a pure competitor into a complementor: the value added by its product now helps raise consumer demand for the multiproduct firm's core product. As a result, hosting can be both unilaterally profitable for the multiproduct firm and jointly profitable for both firms.","author":[{"dropping-particle":"","family":"Hagiu","given":"Andrei","non-dropping-particle":"","parse-names":false,"suffix":""},{"dropping-particle":"","family":"Jullien","given":"Bruno","non-dropping-particle":"","parse-names":false,"suffix":""},{"dropping-particle":"","family":"Wright","given":"Julian","non-dropping-particle":"","parse-names":false,"suffix":""}],"container-title":"Management Science","id":"ITEM-1","issue":"7","issued":{"date-parts":[["2020"]]},"page":"3234-3248","title":"Creating platforms by hosting rivals","type":"article-journal","volume":"66"},"uris":["http://www.mendeley.com/documents/?uuid=35f0600a-0351-4755-b46c-f83bf3298980"]}],"mendeley":{"formattedCitation":"(Hagiu, Jullien, &amp; Wright, 2020)","manualFormatting":"(Hagiu, Jullien, &amp; Wright, 2020)","plainTextFormattedCitation":"(Hagiu, Jullien, &amp; Wright, 2020)","previouslyFormattedCitation":"(Hagiu, Jullien, &amp; Wright, 2020)"},"properties":{"noteIndex":0},"schema":"https://github.com/citation-style-language/schema/raw/master/csl-citation.json"}</w:instrText>
      </w:r>
      <w:r w:rsidR="00955BB3" w:rsidRPr="00101A2A">
        <w:fldChar w:fldCharType="separate"/>
      </w:r>
      <w:r w:rsidR="00955BB3" w:rsidRPr="00101A2A">
        <w:rPr>
          <w:noProof/>
        </w:rPr>
        <w:t>(Hagiu</w:t>
      </w:r>
      <w:r w:rsidR="006475EB" w:rsidRPr="00101A2A">
        <w:rPr>
          <w:noProof/>
        </w:rPr>
        <w:t>, Jullien, &amp; Wright,</w:t>
      </w:r>
      <w:r w:rsidR="00955BB3" w:rsidRPr="00101A2A">
        <w:rPr>
          <w:noProof/>
        </w:rPr>
        <w:t xml:space="preserve"> 2020)</w:t>
      </w:r>
      <w:r w:rsidR="00955BB3" w:rsidRPr="00101A2A">
        <w:fldChar w:fldCharType="end"/>
      </w:r>
      <w:r w:rsidR="007101E2" w:rsidRPr="00101A2A">
        <w:t xml:space="preserve">. </w:t>
      </w:r>
    </w:p>
    <w:p w14:paraId="3C3CD943" w14:textId="456A4342" w:rsidR="00937EEC" w:rsidRPr="00101A2A" w:rsidRDefault="00D06AA7" w:rsidP="005D3447">
      <w:r w:rsidRPr="00101A2A">
        <w:t>In the case of Airbnb</w:t>
      </w:r>
      <w:r w:rsidR="007101E2" w:rsidRPr="00101A2A">
        <w:t xml:space="preserve">, </w:t>
      </w:r>
      <w:r w:rsidR="00741667" w:rsidRPr="00101A2A">
        <w:t xml:space="preserve">by </w:t>
      </w:r>
      <w:r w:rsidR="007101E2" w:rsidRPr="00101A2A">
        <w:t>mov</w:t>
      </w:r>
      <w:r w:rsidRPr="00101A2A">
        <w:t xml:space="preserve">ing resources </w:t>
      </w:r>
      <w:r w:rsidR="00732359" w:rsidRPr="00101A2A">
        <w:t xml:space="preserve">from the long-term rental </w:t>
      </w:r>
      <w:r w:rsidR="00C636B9" w:rsidRPr="00101A2A">
        <w:t xml:space="preserve">industry </w:t>
      </w:r>
      <w:r w:rsidR="007101E2" w:rsidRPr="00101A2A">
        <w:t xml:space="preserve">to </w:t>
      </w:r>
      <w:r w:rsidRPr="00101A2A">
        <w:t>the platform</w:t>
      </w:r>
      <w:r w:rsidR="007101E2" w:rsidRPr="00101A2A">
        <w:t xml:space="preserve">, </w:t>
      </w:r>
      <w:r w:rsidR="00732359" w:rsidRPr="00101A2A">
        <w:t>spanners</w:t>
      </w:r>
      <w:r w:rsidR="002929D7" w:rsidRPr="00101A2A" w:rsidDel="002929D7">
        <w:t xml:space="preserve"> </w:t>
      </w:r>
      <w:r w:rsidR="007101E2" w:rsidRPr="00101A2A">
        <w:t>can fuel the platform</w:t>
      </w:r>
      <w:r w:rsidR="00B90B90">
        <w:t>’s</w:t>
      </w:r>
      <w:r w:rsidR="007101E2" w:rsidRPr="00101A2A">
        <w:t xml:space="preserve"> indirect </w:t>
      </w:r>
      <w:r w:rsidR="001C38A9" w:rsidRPr="00101A2A">
        <w:t xml:space="preserve">network </w:t>
      </w:r>
      <w:r w:rsidR="007101E2" w:rsidRPr="00101A2A">
        <w:t xml:space="preserve">effects: the more </w:t>
      </w:r>
      <w:r w:rsidR="00943B6B" w:rsidRPr="00101A2A">
        <w:t>properties</w:t>
      </w:r>
      <w:r w:rsidR="005203E2" w:rsidRPr="00101A2A">
        <w:t xml:space="preserve"> are offered for rent on Airbnb</w:t>
      </w:r>
      <w:r w:rsidR="009329E9" w:rsidRPr="00101A2A">
        <w:t>,</w:t>
      </w:r>
      <w:r w:rsidR="005203E2" w:rsidRPr="00101A2A">
        <w:t xml:space="preserve"> </w:t>
      </w:r>
      <w:r w:rsidR="007101E2" w:rsidRPr="00101A2A">
        <w:t xml:space="preserve">the more </w:t>
      </w:r>
      <w:r w:rsidR="00E6538A" w:rsidRPr="00101A2A">
        <w:t>travelers</w:t>
      </w:r>
      <w:r w:rsidR="007101E2" w:rsidRPr="00101A2A">
        <w:t xml:space="preserve"> will </w:t>
      </w:r>
      <w:r w:rsidR="001C38A9" w:rsidRPr="00101A2A">
        <w:t>rely upon</w:t>
      </w:r>
      <w:r w:rsidR="007101E2" w:rsidRPr="00101A2A">
        <w:t xml:space="preserve"> </w:t>
      </w:r>
      <w:r w:rsidR="005203E2" w:rsidRPr="00101A2A">
        <w:t>Airbnb</w:t>
      </w:r>
      <w:r w:rsidR="007101E2" w:rsidRPr="00101A2A">
        <w:t xml:space="preserve"> to </w:t>
      </w:r>
      <w:r w:rsidR="005203E2" w:rsidRPr="00101A2A">
        <w:t xml:space="preserve">find a place to </w:t>
      </w:r>
      <w:r w:rsidR="00C40DDF" w:rsidRPr="00101A2A">
        <w:t>stay</w:t>
      </w:r>
      <w:r w:rsidR="007101E2" w:rsidRPr="00101A2A">
        <w:t xml:space="preserve"> </w:t>
      </w:r>
      <w:r w:rsidR="001704B2" w:rsidRPr="00101A2A">
        <w:fldChar w:fldCharType="begin" w:fldLock="1"/>
      </w:r>
      <w:r w:rsidR="003749C2">
        <w:instrText>ADDIN CSL_CITATION {"citationItems":[{"id":"ITEM-1","itemData":{"DOI":"10.1002/smj","ISBN":"1097-0266","ISSN":"01432095","author":[{"dropping-particle":"","family":"Afuah","given":"Allan","non-dropping-particle":"","parse-names":false,"suffix":""}],"container-title":"Strategic Management Journal","id":"ITEM-1","issue":"3","issued":{"date-parts":[["2013"]]},"page":"257-273","title":"Are network effects really about size? The role of structure and conduct","type":"article-journal","volume":"34"},"uris":["http://www.mendeley.com/documents/?uuid=fc7dd9d1-260c-4740-a015-3d992fc29d17"]},{"id":"ITEM-2","itemData":{"author":[{"dropping-particle":"","family":"Rochet","given":"Jean-charles","non-dropping-particle":"","parse-names":false,"suffix":""},{"dropping-particle":"","family":"Tirole","given":"Jean","non-dropping-particle":"","parse-names":false,"suffix":""}],"container-title":"RAND Journal of Economics","id":"ITEM-2","issue":"3","issued":{"date-parts":[["2006"]]},"page":"645-667","title":"Two-sided markets : a progress report","type":"article-journal","volume":"37"},"uris":["http://www.mendeley.com/documents/?uuid=0101ee51-99f1-4f4e-ad53-ccb63524c9e0"]}],"mendeley":{"formattedCitation":"(Afuah, 2013; Rochet &amp; Tirole, 2006)","manualFormatting":"(Afuah, 2013; Rochet &amp; Tirole, 2006)","plainTextFormattedCitation":"(Afuah, 2013; Rochet &amp; Tirole, 2006)","previouslyFormattedCitation":"(Afuah, 2013; Rochet &amp; Tirole, 2006)"},"properties":{"noteIndex":0},"schema":"https://github.com/citation-style-language/schema/raw/master/csl-citation.json"}</w:instrText>
      </w:r>
      <w:r w:rsidR="001704B2" w:rsidRPr="00101A2A">
        <w:fldChar w:fldCharType="separate"/>
      </w:r>
      <w:r w:rsidR="00F8644E" w:rsidRPr="00101A2A">
        <w:rPr>
          <w:noProof/>
        </w:rPr>
        <w:t>(Afuah</w:t>
      </w:r>
      <w:r w:rsidR="006475EB" w:rsidRPr="00101A2A">
        <w:rPr>
          <w:noProof/>
        </w:rPr>
        <w:t>,</w:t>
      </w:r>
      <w:r w:rsidR="00F8644E" w:rsidRPr="00101A2A">
        <w:rPr>
          <w:noProof/>
        </w:rPr>
        <w:t xml:space="preserve"> 2013</w:t>
      </w:r>
      <w:r w:rsidR="006475EB" w:rsidRPr="00101A2A">
        <w:rPr>
          <w:noProof/>
        </w:rPr>
        <w:t>;</w:t>
      </w:r>
      <w:r w:rsidR="00F8644E" w:rsidRPr="00101A2A">
        <w:rPr>
          <w:noProof/>
        </w:rPr>
        <w:t xml:space="preserve"> Rochet </w:t>
      </w:r>
      <w:r w:rsidR="006475EB" w:rsidRPr="00101A2A">
        <w:rPr>
          <w:noProof/>
        </w:rPr>
        <w:t>&amp;</w:t>
      </w:r>
      <w:r w:rsidR="00F8644E" w:rsidRPr="00101A2A">
        <w:rPr>
          <w:noProof/>
        </w:rPr>
        <w:t xml:space="preserve"> Tirole</w:t>
      </w:r>
      <w:r w:rsidR="006475EB" w:rsidRPr="00101A2A">
        <w:rPr>
          <w:noProof/>
        </w:rPr>
        <w:t>,</w:t>
      </w:r>
      <w:r w:rsidR="00F8644E" w:rsidRPr="00101A2A">
        <w:rPr>
          <w:noProof/>
        </w:rPr>
        <w:t xml:space="preserve"> 2006)</w:t>
      </w:r>
      <w:r w:rsidR="001704B2" w:rsidRPr="00101A2A">
        <w:fldChar w:fldCharType="end"/>
      </w:r>
      <w:r w:rsidR="001704B2" w:rsidRPr="00101A2A">
        <w:t>.</w:t>
      </w:r>
      <w:r w:rsidR="00FF45FD" w:rsidRPr="00101A2A">
        <w:t xml:space="preserve"> </w:t>
      </w:r>
      <w:r w:rsidR="005D3447" w:rsidRPr="00101A2A">
        <w:t xml:space="preserve">Meanwhile, the spanning </w:t>
      </w:r>
      <w:r w:rsidR="00B6620A" w:rsidRPr="00101A2A">
        <w:t xml:space="preserve">firms </w:t>
      </w:r>
      <w:r w:rsidR="00A664D2" w:rsidRPr="00101A2A">
        <w:t xml:space="preserve">are shrinking the supply of </w:t>
      </w:r>
      <w:r w:rsidR="00910EE2" w:rsidRPr="00101A2A">
        <w:t>houses</w:t>
      </w:r>
      <w:r w:rsidR="007C1D48" w:rsidRPr="00101A2A">
        <w:t xml:space="preserve"> in </w:t>
      </w:r>
      <w:r w:rsidR="00A664D2" w:rsidRPr="00101A2A">
        <w:t xml:space="preserve">their original </w:t>
      </w:r>
      <w:r w:rsidR="00C636B9" w:rsidRPr="00101A2A">
        <w:t>industry</w:t>
      </w:r>
      <w:r w:rsidR="00A664D2" w:rsidRPr="00101A2A">
        <w:t xml:space="preserve">, hence </w:t>
      </w:r>
      <w:r w:rsidRPr="00101A2A">
        <w:t xml:space="preserve">contributing </w:t>
      </w:r>
      <w:r w:rsidR="00A664D2" w:rsidRPr="00101A2A">
        <w:t xml:space="preserve">to an increase </w:t>
      </w:r>
      <w:r w:rsidR="00B90B90">
        <w:t>in</w:t>
      </w:r>
      <w:r w:rsidR="00A664D2" w:rsidRPr="00101A2A">
        <w:t xml:space="preserve"> their pric</w:t>
      </w:r>
      <w:r w:rsidR="00D854BE" w:rsidRPr="00101A2A">
        <w:t xml:space="preserve">es </w:t>
      </w:r>
      <w:r w:rsidR="00D854BE" w:rsidRPr="00101A2A">
        <w:fldChar w:fldCharType="begin" w:fldLock="1"/>
      </w:r>
      <w:r w:rsidR="00920500">
        <w:instrText>ADDIN CSL_CITATION {"citationItems":[{"id":"ITEM-1","itemData":{"abstract":"We assess the impact of home-sharing on residential house prices and rental rates. Using a comprehensive dataset on Airbnb listings from the whole United States, we regress zipcode level house prices and rental rates on the number of Airbnb listings, controlling for endogeneity using a shift-share instrumental variable strategy. We find that a 10% increase in Airbnb listings leads to a 0.39% increase in rents and a 0.64% increase in house prices. Moreover, we find that the effect of Airbnb is smaller in zipcodes with a larger share of owner-occupiers, suggesting that it is the absentee landlords who are on the margin of substituting their homes away from the rental market and into Airbnb. We present a simple model that rationalizes these findings.","author":[{"dropping-particle":"","family":"Barron","given":"Kyle","non-dropping-particle":"","parse-names":false,"suffix":""},{"dropping-particle":"","family":"Kung","given":"Edward","non-dropping-particle":"","parse-names":false,"suffix":""},{"dropping-particle":"","family":"Proserpio","given":"Davide","non-dropping-particle":"","parse-names":false,"suffix":""}],"container-title":"Marketing Science","id":"ITEM-1","issue":"1","issued":{"date-parts":[["2021"]]},"page":"23-47","title":"The effect of home-sharing on house prices and rents: Evidence from Airbnb","type":"article-journal","volume":"40"},"uris":["http://www.mendeley.com/documents/?uuid=c3795c9e-bff0-472b-89fd-6e5c064ded01"]},{"id":"ITEM-2","itemData":{"DOI":"10.2139/ssrn.3435105","abstract":"This paper examines the impact of Airbnb on the local rental housing market. Airbnb provides landlords an alternative opportunity to rent to short-term tourists, potentially causing some property owners to switch away from long-term rental to local residents, thereby affecting the rental housing supply and afforability. Despite recent government regulations to address this concern, it remains unclear whether and what type of properties are switching.","author":[{"dropping-particle":"","family":"Li","given":"Hui","non-dropping-particle":"","parse-names":false,"suffix":""},{"dropping-particle":"","family":"Kim","given":"Yijin","non-dropping-particle":"","parse-names":false,"suffix":""},{"dropping-particle":"","family":"Srinivasan","given":"Kannan","non-dropping-particle":"","parse-names":false,"suffix":""}],"container-title":"Management Science","id":"ITEM-2","issue":"11","issued":{"date-parts":[["2022"]]},"page":"8015-8044","title":"Market Shifts in the Sharing Economy: The Impact of Airbnb on Housing Rentals","type":"article-journal","volume":"68"},"uris":["http://www.mendeley.com/documents/?uuid=a9115a92-0fdb-435d-92ec-630176016aea"]},{"id":"ITEM-3","itemData":{"DOI":"10.2139/ssrn.3257521","ISBN":"0000000302","abstract":"As cities debate how to regulate Airbnb and other home-sharing services, we study the impacts of home sharing on local residential real estate markets. By accommodating transient travelers with short-term rental properties, home-sharing platforms have evolved as a major alternative channel that attracts the growing supply of residential properties. However, on the demand side of local residential markets, home-sharing platforms are not a viable option for residents. To demonstrate this dynamic between home sharing and local residential markets, we leverage a unique quasi-experiment on Airbnb—a platform policy that caps the number of properties a host can manage in a city—and find that the policy reduced rents (in the long-term rental markets) and home values (in the for-sale housing markets) by about 3% and did not affect the price-to-rent ratio. Consistent with the conjecture, we find that the policy impacts can be attributed to increased supply in local residential markets because of the policy. Quantitatively, our estimates suggest that, if the density of affected Airbnb properties is 1% higher in a market, the policy may further decrease rents and home values by about 0.03%–0.06%, which is similar across each policy-affected city. Our empirical findings add to the debate about the impacts of home sharing on local residential markets with a novel data set and a unique identification strategy. Practically speaking, our research is a timely response to the debate on regulating home sharing and has implications for various stakeholders of the residential real estate markets.","author":[{"dropping-particle":"","family":"Chen","given":"Wei","non-dropping-particle":"","parse-names":false,"suffix":""},{"dropping-particle":"","family":"Wei","given":"Zaiyan","non-dropping-particle":"","parse-names":false,"suffix":""},{"dropping-particle":"","family":"Xie","given":"Karen","non-dropping-particle":"","parse-names":false,"suffix":""}],"container-title":"Management Science","id":"ITEM-3","issue":"12","issued":{"date-parts":[["2022"]]},"page":"8589-8612","title":"The Battle for Homes: How Does Home Sharing Disrupt Local Residential Markets?","type":"article-journal","volume":"68"},"uris":["http://www.mendeley.com/documents/?uuid=5112e5d4-27be-416a-819a-a389df846e47"]}],"mendeley":{"formattedCitation":"(Barron et al., 2021; Chen et al., 2022; Li et al., 2022)","manualFormatting":"(Barron et al., 2021; Chen et al., 2022; Li et al., 2022)","plainTextFormattedCitation":"(Barron et al., 2021; Chen et al., 2022; Li et al., 2022)","previouslyFormattedCitation":"(Barron et al., 2021; Chen et al., 2022; Li et al., 2022)"},"properties":{"noteIndex":0},"schema":"https://github.com/citation-style-language/schema/raw/master/csl-citation.json"}</w:instrText>
      </w:r>
      <w:r w:rsidR="00D854BE" w:rsidRPr="00101A2A">
        <w:fldChar w:fldCharType="separate"/>
      </w:r>
      <w:r w:rsidR="00F8644E" w:rsidRPr="00101A2A">
        <w:rPr>
          <w:noProof/>
        </w:rPr>
        <w:t xml:space="preserve">(Barron et </w:t>
      </w:r>
      <w:r w:rsidR="00F8644E" w:rsidRPr="00101A2A">
        <w:rPr>
          <w:noProof/>
        </w:rPr>
        <w:lastRenderedPageBreak/>
        <w:t>al.</w:t>
      </w:r>
      <w:r w:rsidR="006475EB" w:rsidRPr="00101A2A">
        <w:rPr>
          <w:noProof/>
        </w:rPr>
        <w:t>,</w:t>
      </w:r>
      <w:r w:rsidR="00F8644E" w:rsidRPr="00101A2A">
        <w:rPr>
          <w:noProof/>
        </w:rPr>
        <w:t xml:space="preserve"> 2021</w:t>
      </w:r>
      <w:r w:rsidR="006475EB" w:rsidRPr="00101A2A">
        <w:rPr>
          <w:noProof/>
        </w:rPr>
        <w:t>;</w:t>
      </w:r>
      <w:r w:rsidR="00F8644E" w:rsidRPr="00101A2A">
        <w:rPr>
          <w:noProof/>
        </w:rPr>
        <w:t xml:space="preserve"> Chen et al.</w:t>
      </w:r>
      <w:r w:rsidR="006475EB" w:rsidRPr="00101A2A">
        <w:rPr>
          <w:noProof/>
        </w:rPr>
        <w:t>,</w:t>
      </w:r>
      <w:r w:rsidR="00F8644E" w:rsidRPr="00101A2A">
        <w:rPr>
          <w:noProof/>
        </w:rPr>
        <w:t xml:space="preserve"> 2022</w:t>
      </w:r>
      <w:r w:rsidR="006475EB" w:rsidRPr="00101A2A">
        <w:rPr>
          <w:noProof/>
        </w:rPr>
        <w:t>;</w:t>
      </w:r>
      <w:r w:rsidR="00F8644E" w:rsidRPr="00101A2A">
        <w:rPr>
          <w:noProof/>
        </w:rPr>
        <w:t xml:space="preserve"> Li et al.</w:t>
      </w:r>
      <w:r w:rsidR="006475EB" w:rsidRPr="00101A2A">
        <w:rPr>
          <w:noProof/>
        </w:rPr>
        <w:t>,</w:t>
      </w:r>
      <w:r w:rsidR="00F8644E" w:rsidRPr="00101A2A">
        <w:rPr>
          <w:noProof/>
        </w:rPr>
        <w:t xml:space="preserve"> 2022)</w:t>
      </w:r>
      <w:r w:rsidR="00D854BE" w:rsidRPr="00101A2A">
        <w:fldChar w:fldCharType="end"/>
      </w:r>
      <w:r w:rsidR="00A664D2" w:rsidRPr="00101A2A">
        <w:t xml:space="preserve">. </w:t>
      </w:r>
      <w:r w:rsidR="005D3447" w:rsidRPr="00101A2A">
        <w:t xml:space="preserve">But there have been </w:t>
      </w:r>
      <w:r w:rsidR="00937EEC" w:rsidRPr="00101A2A">
        <w:t>few direct tests of th</w:t>
      </w:r>
      <w:r w:rsidRPr="00101A2A">
        <w:t>is</w:t>
      </w:r>
      <w:r w:rsidR="00937EEC" w:rsidRPr="00101A2A">
        <w:t xml:space="preserve"> effect and</w:t>
      </w:r>
      <w:r w:rsidR="005D3447" w:rsidRPr="00101A2A">
        <w:t>,</w:t>
      </w:r>
      <w:r w:rsidR="00937EEC" w:rsidRPr="00101A2A">
        <w:t xml:space="preserve"> </w:t>
      </w:r>
      <w:r w:rsidR="00E25B34" w:rsidRPr="00101A2A">
        <w:t>most importantly</w:t>
      </w:r>
      <w:r w:rsidR="005D3447" w:rsidRPr="00101A2A">
        <w:t>,</w:t>
      </w:r>
      <w:r w:rsidR="00E25B34" w:rsidRPr="00101A2A">
        <w:t xml:space="preserve"> </w:t>
      </w:r>
      <w:r w:rsidR="00937EEC" w:rsidRPr="00101A2A">
        <w:t>o</w:t>
      </w:r>
      <w:r w:rsidR="00E25B34" w:rsidRPr="00101A2A">
        <w:t>f</w:t>
      </w:r>
      <w:r w:rsidR="00937EEC" w:rsidRPr="00101A2A">
        <w:t xml:space="preserve"> the </w:t>
      </w:r>
      <w:r w:rsidRPr="00101A2A">
        <w:t xml:space="preserve">underlying </w:t>
      </w:r>
      <w:r w:rsidR="00937EEC" w:rsidRPr="00101A2A">
        <w:t xml:space="preserve">mechanisms. We explore the specific </w:t>
      </w:r>
      <w:r w:rsidR="002A3958" w:rsidRPr="00101A2A">
        <w:t>influence</w:t>
      </w:r>
      <w:r w:rsidR="00937EEC" w:rsidRPr="00101A2A">
        <w:t xml:space="preserve"> of consumers and regulator</w:t>
      </w:r>
      <w:r w:rsidR="002A3958">
        <w:t>s</w:t>
      </w:r>
      <w:r w:rsidR="00937EEC" w:rsidRPr="00101A2A">
        <w:t xml:space="preserve"> in shaping the dynamics </w:t>
      </w:r>
      <w:r w:rsidR="00B4247F">
        <w:t>of</w:t>
      </w:r>
      <w:r w:rsidR="00937EEC" w:rsidRPr="00101A2A">
        <w:t xml:space="preserve"> Airbnb and</w:t>
      </w:r>
      <w:r w:rsidR="00B4247F">
        <w:t>,</w:t>
      </w:r>
      <w:r w:rsidR="00937EEC" w:rsidRPr="00101A2A">
        <w:t xml:space="preserve"> hence</w:t>
      </w:r>
      <w:r w:rsidR="00E42FF2">
        <w:t>,</w:t>
      </w:r>
      <w:r w:rsidR="00937EEC" w:rsidRPr="00101A2A">
        <w:t xml:space="preserve"> the</w:t>
      </w:r>
      <w:r w:rsidR="001229E6" w:rsidRPr="00101A2A">
        <w:t xml:space="preserve"> </w:t>
      </w:r>
      <w:r w:rsidR="00B4247F">
        <w:t>impact</w:t>
      </w:r>
      <w:r w:rsidR="00937EEC" w:rsidRPr="00101A2A">
        <w:t xml:space="preserve"> on real estate prices.</w:t>
      </w:r>
    </w:p>
    <w:p w14:paraId="14C92031" w14:textId="17A87A34" w:rsidR="00C23ED9" w:rsidRPr="00101A2A" w:rsidRDefault="00787A67" w:rsidP="00F92E89">
      <w:pPr>
        <w:pStyle w:val="Heading2"/>
        <w:rPr>
          <w:rStyle w:val="Emphasis"/>
          <w:bCs/>
          <w:i w:val="0"/>
          <w:iCs/>
        </w:rPr>
      </w:pPr>
      <w:r w:rsidRPr="00101A2A">
        <w:rPr>
          <w:rStyle w:val="Emphasis"/>
          <w:bCs/>
          <w:i w:val="0"/>
          <w:iCs/>
        </w:rPr>
        <w:t>Consumer</w:t>
      </w:r>
      <w:r w:rsidR="00C23ED9" w:rsidRPr="00101A2A">
        <w:rPr>
          <w:rStyle w:val="Emphasis"/>
          <w:bCs/>
          <w:i w:val="0"/>
          <w:iCs/>
        </w:rPr>
        <w:t xml:space="preserve">s’ </w:t>
      </w:r>
      <w:r w:rsidR="008B6EF7" w:rsidRPr="00101A2A">
        <w:rPr>
          <w:rStyle w:val="Emphasis"/>
          <w:bCs/>
          <w:i w:val="0"/>
          <w:iCs/>
        </w:rPr>
        <w:t>P</w:t>
      </w:r>
      <w:r w:rsidR="00C23ED9" w:rsidRPr="00101A2A">
        <w:rPr>
          <w:rStyle w:val="Emphasis"/>
          <w:bCs/>
          <w:i w:val="0"/>
          <w:iCs/>
        </w:rPr>
        <w:t xml:space="preserve">erceptions </w:t>
      </w:r>
    </w:p>
    <w:p w14:paraId="3C592574" w14:textId="1ED3A1EF" w:rsidR="00682ECE" w:rsidRPr="00101A2A" w:rsidRDefault="005D3447" w:rsidP="001F626A">
      <w:pPr>
        <w:rPr>
          <w:rStyle w:val="Emphasis"/>
          <w:i w:val="0"/>
          <w:iCs/>
        </w:rPr>
      </w:pPr>
      <w:r w:rsidRPr="00101A2A">
        <w:rPr>
          <w:rStyle w:val="Emphasis"/>
          <w:i w:val="0"/>
          <w:iCs/>
        </w:rPr>
        <w:t>T</w:t>
      </w:r>
      <w:r w:rsidR="00BF3D62" w:rsidRPr="00101A2A">
        <w:rPr>
          <w:rStyle w:val="Emphasis"/>
          <w:i w:val="0"/>
          <w:iCs/>
        </w:rPr>
        <w:t>ypically</w:t>
      </w:r>
      <w:r w:rsidRPr="00101A2A">
        <w:rPr>
          <w:rStyle w:val="Emphasis"/>
          <w:i w:val="0"/>
          <w:iCs/>
        </w:rPr>
        <w:t>,</w:t>
      </w:r>
      <w:r w:rsidR="00BF3D62" w:rsidRPr="00101A2A">
        <w:rPr>
          <w:rStyle w:val="Emphasis"/>
          <w:i w:val="0"/>
          <w:iCs/>
        </w:rPr>
        <w:t xml:space="preserve"> </w:t>
      </w:r>
      <w:r w:rsidR="00A140C7" w:rsidRPr="00101A2A">
        <w:rPr>
          <w:rStyle w:val="Emphasis"/>
          <w:i w:val="0"/>
          <w:iCs/>
        </w:rPr>
        <w:t xml:space="preserve">at </w:t>
      </w:r>
      <w:r w:rsidRPr="00101A2A">
        <w:rPr>
          <w:rStyle w:val="Emphasis"/>
          <w:i w:val="0"/>
          <w:iCs/>
        </w:rPr>
        <w:t xml:space="preserve">the </w:t>
      </w:r>
      <w:r w:rsidR="00A140C7" w:rsidRPr="00101A2A">
        <w:rPr>
          <w:rStyle w:val="Emphasis"/>
          <w:i w:val="0"/>
          <w:iCs/>
        </w:rPr>
        <w:t xml:space="preserve">early stages of </w:t>
      </w:r>
      <w:r w:rsidR="00BF3D62" w:rsidRPr="00101A2A">
        <w:rPr>
          <w:rStyle w:val="Emphasis"/>
          <w:i w:val="0"/>
          <w:iCs/>
        </w:rPr>
        <w:t>a</w:t>
      </w:r>
      <w:r w:rsidR="00A140C7" w:rsidRPr="00101A2A">
        <w:rPr>
          <w:rStyle w:val="Emphasis"/>
          <w:i w:val="0"/>
          <w:iCs/>
        </w:rPr>
        <w:t xml:space="preserve"> category</w:t>
      </w:r>
      <w:r w:rsidRPr="00101A2A">
        <w:rPr>
          <w:rStyle w:val="Emphasis"/>
          <w:i w:val="0"/>
          <w:iCs/>
        </w:rPr>
        <w:t xml:space="preserve">’s development, heterogeneous interpretations of </w:t>
      </w:r>
      <w:r w:rsidR="00B62BC5">
        <w:rPr>
          <w:rStyle w:val="Emphasis"/>
          <w:i w:val="0"/>
          <w:iCs/>
        </w:rPr>
        <w:t>the category</w:t>
      </w:r>
      <w:r w:rsidR="00B62BC5" w:rsidRPr="00101A2A">
        <w:rPr>
          <w:rStyle w:val="Emphasis"/>
          <w:i w:val="0"/>
          <w:iCs/>
        </w:rPr>
        <w:t xml:space="preserve"> </w:t>
      </w:r>
      <w:r w:rsidRPr="00101A2A">
        <w:rPr>
          <w:rStyle w:val="Emphasis"/>
          <w:i w:val="0"/>
          <w:iCs/>
        </w:rPr>
        <w:t>coexist</w:t>
      </w:r>
      <w:r w:rsidR="00B17592" w:rsidRPr="00101A2A">
        <w:rPr>
          <w:rStyle w:val="Emphasis"/>
          <w:i w:val="0"/>
          <w:iCs/>
        </w:rPr>
        <w:t xml:space="preserve"> </w:t>
      </w:r>
      <w:r w:rsidR="00233824" w:rsidRPr="00101A2A">
        <w:rPr>
          <w:rStyle w:val="Emphasis"/>
          <w:i w:val="0"/>
          <w:iCs/>
        </w:rPr>
        <w:fldChar w:fldCharType="begin" w:fldLock="1"/>
      </w:r>
      <w:r w:rsidR="003749C2">
        <w:rPr>
          <w:rStyle w:val="Emphasis"/>
          <w:i w:val="0"/>
          <w:iCs/>
        </w:rPr>
        <w:instrText>ADDIN CSL_CITATION {"citationItems":[{"id":"ITEM-1","itemData":{"DOI":"10.1002/smj","ISBN":"1097-0266","ISSN":"00014273","PMID":"31767271","abstract":"The optimal time to enter emerging industries is a key concern in strategy, yet scholars struggle to create a theoretical foundation that can integrate conflicting empirical findings. We incorporate categorical dynamics to industry life cycle theory to enhance existing entry timing theories. We introduce the concept of a dominant category—the conceptual schema that most stakeholders adhere to when referring to products that address similar needs and compete for the same market space—linking it to the dominant technological design and entry-timing advantages. In particular, we propose the existence of a window of opportunity for firm entry that starts with the emergence of the dominant category and ends with the emergence of the dominant design.","author":[{"dropping-particle":"","family":"Suarez","given":"Fernando F.","non-dropping-particle":"","parse-names":false,"suffix":""},{"dropping-particle":"","family":"Grodal","given":"Stine","non-dropping-particle":"","parse-names":false,"suffix":""},{"dropping-particle":"","family":"Gotsopoulos","given":"Aleksios","non-dropping-particle":"","parse-names":false,"suffix":""}],"container-title":"Strategic Management Journal","id":"ITEM-1","issue":"3","issued":{"date-parts":[["2015"]]},"page":"437-448","title":"Perfect timing? Dominant category, dominant design, and the window of opportunity for firm entry","type":"article-journal","volume":"36"},"uris":["http://www.mendeley.com/documents/?uuid=a979da37-d748-4253-aa90-44f4dfcfbd38"]}],"mendeley":{"formattedCitation":"(Suarez et al., 2015)","manualFormatting":"(Suarez et al., 2015)","plainTextFormattedCitation":"(Suarez et al., 2015)","previouslyFormattedCitation":"(Suarez et al., 2015)"},"properties":{"noteIndex":0},"schema":"https://github.com/citation-style-language/schema/raw/master/csl-citation.json"}</w:instrText>
      </w:r>
      <w:r w:rsidR="00233824" w:rsidRPr="00101A2A">
        <w:rPr>
          <w:rStyle w:val="Emphasis"/>
          <w:i w:val="0"/>
          <w:iCs/>
        </w:rPr>
        <w:fldChar w:fldCharType="separate"/>
      </w:r>
      <w:r w:rsidR="00233824" w:rsidRPr="00101A2A">
        <w:rPr>
          <w:rStyle w:val="Emphasis"/>
          <w:i w:val="0"/>
          <w:iCs/>
          <w:noProof/>
        </w:rPr>
        <w:t>(Suarez et al.</w:t>
      </w:r>
      <w:r w:rsidR="006475EB" w:rsidRPr="00101A2A">
        <w:rPr>
          <w:rStyle w:val="Emphasis"/>
          <w:i w:val="0"/>
          <w:iCs/>
          <w:noProof/>
        </w:rPr>
        <w:t>,</w:t>
      </w:r>
      <w:r w:rsidR="00233824" w:rsidRPr="00101A2A">
        <w:rPr>
          <w:rStyle w:val="Emphasis"/>
          <w:i w:val="0"/>
          <w:iCs/>
          <w:noProof/>
        </w:rPr>
        <w:t xml:space="preserve"> 2015)</w:t>
      </w:r>
      <w:r w:rsidR="00233824" w:rsidRPr="00101A2A">
        <w:rPr>
          <w:rStyle w:val="Emphasis"/>
          <w:i w:val="0"/>
          <w:iCs/>
        </w:rPr>
        <w:fldChar w:fldCharType="end"/>
      </w:r>
      <w:r w:rsidR="00B17592" w:rsidRPr="00101A2A">
        <w:rPr>
          <w:rStyle w:val="Emphasis"/>
          <w:i w:val="0"/>
          <w:iCs/>
        </w:rPr>
        <w:t>. However</w:t>
      </w:r>
      <w:r w:rsidR="00FA2FF6" w:rsidRPr="00101A2A">
        <w:rPr>
          <w:rStyle w:val="Emphasis"/>
          <w:i w:val="0"/>
          <w:iCs/>
        </w:rPr>
        <w:t>,</w:t>
      </w:r>
      <w:r w:rsidR="00A140C7" w:rsidRPr="00101A2A">
        <w:rPr>
          <w:rStyle w:val="Emphasis"/>
          <w:i w:val="0"/>
          <w:iCs/>
        </w:rPr>
        <w:t xml:space="preserve"> over time</w:t>
      </w:r>
      <w:r w:rsidR="00B4247F">
        <w:rPr>
          <w:rStyle w:val="Emphasis"/>
          <w:i w:val="0"/>
          <w:iCs/>
        </w:rPr>
        <w:t>,</w:t>
      </w:r>
      <w:r w:rsidR="00A140C7" w:rsidRPr="00101A2A">
        <w:rPr>
          <w:rStyle w:val="Emphasis"/>
          <w:i w:val="0"/>
          <w:iCs/>
        </w:rPr>
        <w:t xml:space="preserve"> audience</w:t>
      </w:r>
      <w:r w:rsidR="00426DFB" w:rsidRPr="00101A2A">
        <w:rPr>
          <w:rStyle w:val="Emphasis"/>
          <w:i w:val="0"/>
          <w:iCs/>
        </w:rPr>
        <w:t xml:space="preserve">s </w:t>
      </w:r>
      <w:r w:rsidR="0011642F" w:rsidRPr="00101A2A">
        <w:rPr>
          <w:rStyle w:val="Emphasis"/>
          <w:i w:val="0"/>
          <w:iCs/>
        </w:rPr>
        <w:t>converg</w:t>
      </w:r>
      <w:r w:rsidR="00D854BE" w:rsidRPr="00101A2A">
        <w:rPr>
          <w:rStyle w:val="Emphasis"/>
          <w:i w:val="0"/>
          <w:iCs/>
        </w:rPr>
        <w:t>e</w:t>
      </w:r>
      <w:r w:rsidR="00A140C7" w:rsidRPr="00101A2A">
        <w:rPr>
          <w:rStyle w:val="Emphasis"/>
          <w:i w:val="0"/>
          <w:iCs/>
        </w:rPr>
        <w:t xml:space="preserve"> </w:t>
      </w:r>
      <w:r w:rsidRPr="00101A2A">
        <w:rPr>
          <w:rStyle w:val="Emphasis"/>
          <w:i w:val="0"/>
          <w:iCs/>
        </w:rPr>
        <w:t>on</w:t>
      </w:r>
      <w:r w:rsidR="00A140C7" w:rsidRPr="00101A2A">
        <w:rPr>
          <w:rStyle w:val="Emphasis"/>
          <w:i w:val="0"/>
          <w:iCs/>
        </w:rPr>
        <w:t xml:space="preserve"> a</w:t>
      </w:r>
      <w:r w:rsidR="00233824" w:rsidRPr="00101A2A">
        <w:rPr>
          <w:rStyle w:val="Emphasis"/>
          <w:i w:val="0"/>
          <w:iCs/>
        </w:rPr>
        <w:t xml:space="preserve"> single </w:t>
      </w:r>
      <w:r w:rsidR="00D854BE" w:rsidRPr="00101A2A">
        <w:rPr>
          <w:rStyle w:val="Emphasis"/>
          <w:i w:val="0"/>
          <w:iCs/>
        </w:rPr>
        <w:t xml:space="preserve">understanding </w:t>
      </w:r>
      <w:r w:rsidR="00233824" w:rsidRPr="00101A2A">
        <w:rPr>
          <w:rStyle w:val="Emphasis"/>
          <w:i w:val="0"/>
          <w:iCs/>
        </w:rPr>
        <w:t xml:space="preserve">of </w:t>
      </w:r>
      <w:r w:rsidRPr="00101A2A">
        <w:rPr>
          <w:rStyle w:val="Emphasis"/>
          <w:i w:val="0"/>
          <w:iCs/>
        </w:rPr>
        <w:t>what constitutes a</w:t>
      </w:r>
      <w:r w:rsidR="00233824" w:rsidRPr="00101A2A">
        <w:rPr>
          <w:rStyle w:val="Emphasis"/>
          <w:i w:val="0"/>
          <w:iCs/>
        </w:rPr>
        <w:t xml:space="preserve"> prototypical actor in th</w:t>
      </w:r>
      <w:r w:rsidRPr="00101A2A">
        <w:rPr>
          <w:rStyle w:val="Emphasis"/>
          <w:i w:val="0"/>
          <w:iCs/>
        </w:rPr>
        <w:t>at</w:t>
      </w:r>
      <w:r w:rsidR="00233824" w:rsidRPr="00101A2A">
        <w:rPr>
          <w:rStyle w:val="Emphasis"/>
          <w:i w:val="0"/>
          <w:iCs/>
        </w:rPr>
        <w:t xml:space="preserve"> category </w:t>
      </w:r>
      <w:r w:rsidR="00233824" w:rsidRPr="00101A2A">
        <w:rPr>
          <w:rStyle w:val="Emphasis"/>
          <w:i w:val="0"/>
          <w:iCs/>
        </w:rPr>
        <w:fldChar w:fldCharType="begin" w:fldLock="1"/>
      </w:r>
      <w:r w:rsidR="003749C2">
        <w:rPr>
          <w:rStyle w:val="Emphasis"/>
          <w:i w:val="0"/>
          <w:iCs/>
        </w:rPr>
        <w:instrText>ADDIN CSL_CITATION {"citationItems":[{"id":"ITEM-1","itemData":{"DOI":"10.1108/S0733-558X(2010)0000031014","ISSN":"0733558X","abstract":"In markets, audiences generally discount offerings that fail to fit established product categories, but when misfit offerings change category meaning, the effects of conformity and deviation can reverse so that previously overlooked or unappealing offerings become popular while previously appealing products fall into disfavor. After introducing the idea of category currency to explain how the value of conformity changes with ongoing meaning construction, we use it to make sense of the emergence of nanotechnology. In conclusion, we argue that category currency is useful for explaining the changing value of conformity both in and beyond markets.","author":[{"dropping-particle":"","family":"Kennedy","given":"Mark Thomas","non-dropping-particle":"","parse-names":false,"suffix":""},{"dropping-particle":"","family":"Lo","given":"Jade Yu Chieh","non-dropping-particle":"","parse-names":false,"suffix":""},{"dropping-particle":"","family":"Lounsbury","given":"Michael","non-dropping-particle":"","parse-names":false,"suffix":""}],"container-title":"Research in the Sociology of Organizations","id":"ITEM-1","issue":"2010","issued":{"date-parts":[["2010"]]},"number-of-pages":"369-397","publisher":"Elsevier","title":"Category currency: The changing value of conformity as a function of ongoing meaning construction","type":"book","volume":"31"},"uris":["http://www.mendeley.com/documents/?uuid=619c88ee-53fc-4e21-90b5-4f92b250d4e2"]},{"id":"ITEM-2","itemData":{"DOI":"10.1111/joms.12044","ISBN":"0022-2380","ISSN":"00222380","abstract":"This paper offers a systematic review of the literature on organizational categories and categorization published in the last 14 years (1999–2012). After identifying a core of roughly 100 papers on categories that appeared in management, organization, and sociology journals, we classified them based on several key dimensions, and analysed a few trends within the categorization literature. Our most surprising finding may be the fact that until recently, there was no mutual recognition of the existence of a distinct ‘literature on categories’ despite the wealth of published material on the topic. After summarizing some core theoretical features of that emergent literature, we propose integrative definitions of its core constructs and suggest several areas of research that could further enrich it in the future.","author":[{"dropping-particle":"","family":"Vergne","given":"J. P.","non-dropping-particle":"","parse-names":false,"suffix":""},{"dropping-particle":"","family":"Wry","given":"Tyler","non-dropping-particle":"","parse-names":false,"suffix":""}],"container-title":"Journal of Management Studies","id":"ITEM-2","issue":"1","issued":{"date-parts":[["2014"]]},"page":"56-94","title":"Categorizing categorization research: Review, integration, and future directions","type":"article-journal","volume":"51"},"uris":["http://www.mendeley.com/documents/?uuid=4502695d-4b9b-4595-a616-9ef373fe6f23"]},{"id":"ITEM-3","itemData":{"author":[{"dropping-particle":"","family":"Zuckerman","given":"Ezra W","non-dropping-particle":"","parse-names":false,"suffix":""}],"container-title":"American Journal of Sociology","id":"ITEM-3","issue":"5","issued":{"date-parts":[["1999"]]},"page":"1398-1438","title":"The Categorical Imperative : Securities Analysts and the Illegitimacy Discount 1","type":"article-journal","volume":"104"},"uris":["http://www.mendeley.com/documents/?uuid=7f48d0d4-4ac2-4547-98ee-42718da7d341"]}],"mendeley":{"formattedCitation":"(Kennedy et al., 2010; Vergne &amp; Wry, 2014; Zuckerman, 1999)","manualFormatting":"(Kennedy et al., 2010; Navis &amp; Glynn, 2010; Vergne &amp; Wry, 2014; Zuckerman, 1999)","plainTextFormattedCitation":"(Kennedy et al., 2010; Vergne &amp; Wry, 2014; Zuckerman, 1999)","previouslyFormattedCitation":"(Kennedy et al., 2010; Vergne &amp; Wry, 2014; Zuckerman, 1999)"},"properties":{"noteIndex":0},"schema":"https://github.com/citation-style-language/schema/raw/master/csl-citation.json"}</w:instrText>
      </w:r>
      <w:r w:rsidR="00233824" w:rsidRPr="00101A2A">
        <w:rPr>
          <w:rStyle w:val="Emphasis"/>
          <w:i w:val="0"/>
          <w:iCs/>
        </w:rPr>
        <w:fldChar w:fldCharType="separate"/>
      </w:r>
      <w:r w:rsidR="00056834" w:rsidRPr="00101A2A">
        <w:rPr>
          <w:rStyle w:val="Emphasis"/>
          <w:i w:val="0"/>
          <w:iCs/>
          <w:noProof/>
        </w:rPr>
        <w:t>(Kennedy et al.</w:t>
      </w:r>
      <w:r w:rsidR="006475EB" w:rsidRPr="00101A2A">
        <w:rPr>
          <w:rStyle w:val="Emphasis"/>
          <w:i w:val="0"/>
          <w:iCs/>
          <w:noProof/>
        </w:rPr>
        <w:t>,</w:t>
      </w:r>
      <w:r w:rsidR="00056834" w:rsidRPr="00101A2A">
        <w:rPr>
          <w:rStyle w:val="Emphasis"/>
          <w:i w:val="0"/>
          <w:iCs/>
          <w:noProof/>
        </w:rPr>
        <w:t xml:space="preserve"> 2010</w:t>
      </w:r>
      <w:r w:rsidR="006475EB" w:rsidRPr="00101A2A">
        <w:rPr>
          <w:rStyle w:val="Emphasis"/>
          <w:i w:val="0"/>
          <w:iCs/>
          <w:noProof/>
        </w:rPr>
        <w:t>;</w:t>
      </w:r>
      <w:r w:rsidR="00056834" w:rsidRPr="00101A2A">
        <w:rPr>
          <w:rStyle w:val="Emphasis"/>
          <w:i w:val="0"/>
          <w:iCs/>
          <w:noProof/>
        </w:rPr>
        <w:t xml:space="preserve"> </w:t>
      </w:r>
      <w:r w:rsidRPr="00101A2A">
        <w:rPr>
          <w:rStyle w:val="Emphasis"/>
          <w:i w:val="0"/>
          <w:iCs/>
          <w:noProof/>
        </w:rPr>
        <w:t xml:space="preserve">Navis </w:t>
      </w:r>
      <w:r w:rsidR="006475EB" w:rsidRPr="00101A2A">
        <w:rPr>
          <w:rStyle w:val="Emphasis"/>
          <w:i w:val="0"/>
          <w:iCs/>
          <w:noProof/>
        </w:rPr>
        <w:t>&amp;</w:t>
      </w:r>
      <w:r w:rsidRPr="00101A2A">
        <w:rPr>
          <w:rStyle w:val="Emphasis"/>
          <w:i w:val="0"/>
          <w:iCs/>
          <w:noProof/>
        </w:rPr>
        <w:t xml:space="preserve"> Glynn</w:t>
      </w:r>
      <w:r w:rsidR="006475EB" w:rsidRPr="00101A2A">
        <w:rPr>
          <w:rStyle w:val="Emphasis"/>
          <w:i w:val="0"/>
          <w:iCs/>
          <w:noProof/>
        </w:rPr>
        <w:t>,</w:t>
      </w:r>
      <w:r w:rsidRPr="00101A2A">
        <w:rPr>
          <w:rStyle w:val="Emphasis"/>
          <w:i w:val="0"/>
          <w:iCs/>
          <w:noProof/>
        </w:rPr>
        <w:t xml:space="preserve"> 2010</w:t>
      </w:r>
      <w:r w:rsidR="006475EB" w:rsidRPr="00101A2A">
        <w:rPr>
          <w:rStyle w:val="Emphasis"/>
          <w:i w:val="0"/>
          <w:iCs/>
          <w:noProof/>
        </w:rPr>
        <w:t>;</w:t>
      </w:r>
      <w:r w:rsidRPr="00101A2A">
        <w:rPr>
          <w:rStyle w:val="Emphasis"/>
          <w:i w:val="0"/>
          <w:iCs/>
          <w:noProof/>
        </w:rPr>
        <w:t xml:space="preserve"> </w:t>
      </w:r>
      <w:r w:rsidR="00056834" w:rsidRPr="00101A2A">
        <w:rPr>
          <w:rStyle w:val="Emphasis"/>
          <w:i w:val="0"/>
          <w:iCs/>
          <w:noProof/>
        </w:rPr>
        <w:t xml:space="preserve">Vergne </w:t>
      </w:r>
      <w:r w:rsidR="006475EB" w:rsidRPr="00101A2A">
        <w:rPr>
          <w:rStyle w:val="Emphasis"/>
          <w:i w:val="0"/>
          <w:iCs/>
          <w:noProof/>
        </w:rPr>
        <w:t>&amp;</w:t>
      </w:r>
      <w:r w:rsidR="00056834" w:rsidRPr="00101A2A">
        <w:rPr>
          <w:rStyle w:val="Emphasis"/>
          <w:i w:val="0"/>
          <w:iCs/>
          <w:noProof/>
        </w:rPr>
        <w:t xml:space="preserve"> Wry</w:t>
      </w:r>
      <w:r w:rsidR="006475EB" w:rsidRPr="00101A2A">
        <w:rPr>
          <w:rStyle w:val="Emphasis"/>
          <w:i w:val="0"/>
          <w:iCs/>
          <w:noProof/>
        </w:rPr>
        <w:t>,</w:t>
      </w:r>
      <w:r w:rsidR="00056834" w:rsidRPr="00101A2A">
        <w:rPr>
          <w:rStyle w:val="Emphasis"/>
          <w:i w:val="0"/>
          <w:iCs/>
          <w:noProof/>
        </w:rPr>
        <w:t xml:space="preserve"> 2014</w:t>
      </w:r>
      <w:r w:rsidR="006475EB" w:rsidRPr="00101A2A">
        <w:rPr>
          <w:rStyle w:val="Emphasis"/>
          <w:i w:val="0"/>
          <w:iCs/>
          <w:noProof/>
        </w:rPr>
        <w:t>;</w:t>
      </w:r>
      <w:r w:rsidR="00056834" w:rsidRPr="00101A2A">
        <w:rPr>
          <w:rStyle w:val="Emphasis"/>
          <w:i w:val="0"/>
          <w:iCs/>
          <w:noProof/>
        </w:rPr>
        <w:t xml:space="preserve"> Zuckerman</w:t>
      </w:r>
      <w:r w:rsidR="006475EB" w:rsidRPr="00101A2A">
        <w:rPr>
          <w:rStyle w:val="Emphasis"/>
          <w:i w:val="0"/>
          <w:iCs/>
          <w:noProof/>
        </w:rPr>
        <w:t>,</w:t>
      </w:r>
      <w:r w:rsidR="00056834" w:rsidRPr="00101A2A">
        <w:rPr>
          <w:rStyle w:val="Emphasis"/>
          <w:i w:val="0"/>
          <w:iCs/>
          <w:noProof/>
        </w:rPr>
        <w:t xml:space="preserve"> 1999)</w:t>
      </w:r>
      <w:r w:rsidR="00233824" w:rsidRPr="00101A2A">
        <w:rPr>
          <w:rStyle w:val="Emphasis"/>
          <w:i w:val="0"/>
          <w:iCs/>
        </w:rPr>
        <w:fldChar w:fldCharType="end"/>
      </w:r>
      <w:r w:rsidR="00233824" w:rsidRPr="00101A2A">
        <w:rPr>
          <w:rStyle w:val="Emphasis"/>
          <w:i w:val="0"/>
          <w:iCs/>
        </w:rPr>
        <w:t xml:space="preserve">. </w:t>
      </w:r>
      <w:r w:rsidR="00BF3D62" w:rsidRPr="00101A2A">
        <w:rPr>
          <w:rStyle w:val="Emphasis"/>
          <w:i w:val="0"/>
          <w:iCs/>
        </w:rPr>
        <w:t xml:space="preserve">In Airbnb, the convergence </w:t>
      </w:r>
      <w:r w:rsidR="00783526" w:rsidRPr="00101A2A">
        <w:rPr>
          <w:rStyle w:val="Emphasis"/>
          <w:i w:val="0"/>
          <w:iCs/>
        </w:rPr>
        <w:t>happen</w:t>
      </w:r>
      <w:r w:rsidRPr="00101A2A">
        <w:rPr>
          <w:rStyle w:val="Emphasis"/>
          <w:i w:val="0"/>
          <w:iCs/>
        </w:rPr>
        <w:t>s</w:t>
      </w:r>
      <w:r w:rsidR="00783526" w:rsidRPr="00101A2A">
        <w:rPr>
          <w:rStyle w:val="Emphasis"/>
          <w:i w:val="0"/>
          <w:iCs/>
        </w:rPr>
        <w:t xml:space="preserve"> </w:t>
      </w:r>
      <w:r w:rsidR="00FE44F8" w:rsidRPr="00101A2A">
        <w:rPr>
          <w:rStyle w:val="Emphasis"/>
          <w:i w:val="0"/>
          <w:iCs/>
        </w:rPr>
        <w:t xml:space="preserve">partly </w:t>
      </w:r>
      <w:r w:rsidR="00783526" w:rsidRPr="00101A2A">
        <w:rPr>
          <w:rStyle w:val="Emphasis"/>
          <w:i w:val="0"/>
          <w:iCs/>
        </w:rPr>
        <w:t>through reviews</w:t>
      </w:r>
      <w:r w:rsidR="00D854BE" w:rsidRPr="00101A2A">
        <w:rPr>
          <w:rStyle w:val="Emphasis"/>
          <w:i w:val="0"/>
          <w:iCs/>
        </w:rPr>
        <w:t xml:space="preserve"> that guests leave on the platform about their experience in an Airbnb property</w:t>
      </w:r>
      <w:r w:rsidR="0068400A" w:rsidRPr="00101A2A">
        <w:rPr>
          <w:rStyle w:val="Emphasis"/>
          <w:i w:val="0"/>
          <w:iCs/>
        </w:rPr>
        <w:t xml:space="preserve"> and with a host</w:t>
      </w:r>
      <w:r w:rsidR="00783526" w:rsidRPr="00101A2A">
        <w:rPr>
          <w:rStyle w:val="Emphasis"/>
          <w:i w:val="0"/>
          <w:iCs/>
        </w:rPr>
        <w:t>.</w:t>
      </w:r>
      <w:r w:rsidR="00D854BE" w:rsidRPr="00101A2A">
        <w:rPr>
          <w:rStyle w:val="Emphasis"/>
          <w:i w:val="0"/>
          <w:iCs/>
        </w:rPr>
        <w:t xml:space="preserve"> </w:t>
      </w:r>
      <w:r w:rsidR="00B17592" w:rsidRPr="00101A2A">
        <w:rPr>
          <w:rStyle w:val="Emphasis"/>
          <w:i w:val="0"/>
          <w:iCs/>
        </w:rPr>
        <w:t>Reviews not only disclos</w:t>
      </w:r>
      <w:r w:rsidR="00FE44F8" w:rsidRPr="00101A2A">
        <w:rPr>
          <w:rStyle w:val="Emphasis"/>
          <w:i w:val="0"/>
          <w:iCs/>
        </w:rPr>
        <w:t>e</w:t>
      </w:r>
      <w:r w:rsidR="00B17592" w:rsidRPr="00101A2A">
        <w:rPr>
          <w:rStyle w:val="Emphasis"/>
          <w:i w:val="0"/>
          <w:iCs/>
        </w:rPr>
        <w:t xml:space="preserve"> the intrinsic quality of Airbnb </w:t>
      </w:r>
      <w:r w:rsidR="00B6620A" w:rsidRPr="00101A2A">
        <w:t xml:space="preserve">hosts </w:t>
      </w:r>
      <w:r w:rsidR="00B17592" w:rsidRPr="00101A2A">
        <w:rPr>
          <w:rStyle w:val="Emphasis"/>
          <w:i w:val="0"/>
          <w:iCs/>
        </w:rPr>
        <w:t>but also differentiat</w:t>
      </w:r>
      <w:r w:rsidR="00FE44F8" w:rsidRPr="00101A2A">
        <w:rPr>
          <w:rStyle w:val="Emphasis"/>
          <w:i w:val="0"/>
          <w:iCs/>
        </w:rPr>
        <w:t>e</w:t>
      </w:r>
      <w:r w:rsidR="00B17592" w:rsidRPr="00101A2A">
        <w:rPr>
          <w:rStyle w:val="Emphasis"/>
          <w:i w:val="0"/>
          <w:iCs/>
        </w:rPr>
        <w:t xml:space="preserve"> between types of </w:t>
      </w:r>
      <w:r w:rsidR="00B6620A" w:rsidRPr="00101A2A">
        <w:t>hosts</w:t>
      </w:r>
      <w:r w:rsidR="00B17592" w:rsidRPr="00101A2A">
        <w:rPr>
          <w:rStyle w:val="Emphasis"/>
          <w:i w:val="0"/>
          <w:iCs/>
        </w:rPr>
        <w:t xml:space="preserve">. </w:t>
      </w:r>
      <w:r w:rsidR="00783526" w:rsidRPr="00101A2A">
        <w:rPr>
          <w:rStyle w:val="Emphasis"/>
          <w:i w:val="0"/>
          <w:iCs/>
        </w:rPr>
        <w:t>Th</w:t>
      </w:r>
      <w:r w:rsidR="00426DFB" w:rsidRPr="00101A2A">
        <w:rPr>
          <w:rStyle w:val="Emphasis"/>
          <w:i w:val="0"/>
          <w:iCs/>
        </w:rPr>
        <w:t>rough th</w:t>
      </w:r>
      <w:r w:rsidR="00783526" w:rsidRPr="00101A2A">
        <w:rPr>
          <w:rStyle w:val="Emphasis"/>
          <w:i w:val="0"/>
          <w:iCs/>
        </w:rPr>
        <w:t>e features review</w:t>
      </w:r>
      <w:r w:rsidR="00B17592" w:rsidRPr="00101A2A">
        <w:rPr>
          <w:rStyle w:val="Emphasis"/>
          <w:i w:val="0"/>
          <w:iCs/>
        </w:rPr>
        <w:t>ed</w:t>
      </w:r>
      <w:r w:rsidR="00426DFB" w:rsidRPr="00101A2A">
        <w:rPr>
          <w:rStyle w:val="Emphasis"/>
          <w:i w:val="0"/>
          <w:iCs/>
        </w:rPr>
        <w:t xml:space="preserve">, one can identify those that </w:t>
      </w:r>
      <w:r w:rsidR="00783526" w:rsidRPr="00101A2A">
        <w:rPr>
          <w:rStyle w:val="Emphasis"/>
          <w:i w:val="0"/>
          <w:iCs/>
        </w:rPr>
        <w:t xml:space="preserve">are considered the most </w:t>
      </w:r>
      <w:r w:rsidR="00B4247F">
        <w:rPr>
          <w:rStyle w:val="Emphasis"/>
          <w:i w:val="0"/>
          <w:iCs/>
        </w:rPr>
        <w:t>critical</w:t>
      </w:r>
      <w:r w:rsidR="00783526" w:rsidRPr="00101A2A">
        <w:rPr>
          <w:rStyle w:val="Emphasis"/>
          <w:i w:val="0"/>
          <w:iCs/>
        </w:rPr>
        <w:t xml:space="preserve"> </w:t>
      </w:r>
      <w:r w:rsidR="00D854BE" w:rsidRPr="00101A2A">
        <w:rPr>
          <w:rStyle w:val="Emphasis"/>
          <w:i w:val="0"/>
          <w:iCs/>
        </w:rPr>
        <w:t xml:space="preserve">factual </w:t>
      </w:r>
      <w:r w:rsidR="00783526" w:rsidRPr="00101A2A">
        <w:rPr>
          <w:rStyle w:val="Emphasis"/>
          <w:i w:val="0"/>
          <w:iCs/>
        </w:rPr>
        <w:t>attributes of the category</w:t>
      </w:r>
      <w:r w:rsidR="00FE44F8" w:rsidRPr="00101A2A">
        <w:rPr>
          <w:rStyle w:val="Emphasis"/>
          <w:i w:val="0"/>
          <w:iCs/>
        </w:rPr>
        <w:t>,</w:t>
      </w:r>
      <w:r w:rsidR="00426DFB" w:rsidRPr="00101A2A">
        <w:rPr>
          <w:rStyle w:val="Emphasis"/>
          <w:i w:val="0"/>
          <w:iCs/>
        </w:rPr>
        <w:t xml:space="preserve"> and through</w:t>
      </w:r>
      <w:r w:rsidR="00783526" w:rsidRPr="00101A2A">
        <w:rPr>
          <w:rStyle w:val="Emphasis"/>
          <w:i w:val="0"/>
          <w:iCs/>
        </w:rPr>
        <w:t xml:space="preserve"> </w:t>
      </w:r>
      <w:r w:rsidR="00426DFB" w:rsidRPr="00101A2A">
        <w:rPr>
          <w:rStyle w:val="Emphasis"/>
          <w:i w:val="0"/>
          <w:iCs/>
        </w:rPr>
        <w:t>t</w:t>
      </w:r>
      <w:r w:rsidR="00B17592" w:rsidRPr="00101A2A">
        <w:rPr>
          <w:rStyle w:val="Emphasis"/>
          <w:i w:val="0"/>
          <w:iCs/>
        </w:rPr>
        <w:t xml:space="preserve">he </w:t>
      </w:r>
      <w:r w:rsidR="00097FB8" w:rsidRPr="00101A2A">
        <w:rPr>
          <w:rStyle w:val="Emphasis"/>
          <w:i w:val="0"/>
          <w:iCs/>
        </w:rPr>
        <w:t xml:space="preserve">sentiment </w:t>
      </w:r>
      <w:r w:rsidR="00B17592" w:rsidRPr="00101A2A">
        <w:rPr>
          <w:rStyle w:val="Emphasis"/>
          <w:i w:val="0"/>
          <w:iCs/>
        </w:rPr>
        <w:t xml:space="preserve">of </w:t>
      </w:r>
      <w:r w:rsidR="00682ECE" w:rsidRPr="00101A2A">
        <w:rPr>
          <w:rStyle w:val="Emphasis"/>
          <w:i w:val="0"/>
          <w:iCs/>
        </w:rPr>
        <w:t>reviews</w:t>
      </w:r>
      <w:r w:rsidR="00426DFB" w:rsidRPr="00101A2A">
        <w:rPr>
          <w:rStyle w:val="Emphasis"/>
          <w:i w:val="0"/>
          <w:iCs/>
        </w:rPr>
        <w:t xml:space="preserve">, one can </w:t>
      </w:r>
      <w:r w:rsidR="0085214F" w:rsidRPr="00101A2A">
        <w:rPr>
          <w:rStyle w:val="Emphasis"/>
          <w:i w:val="0"/>
          <w:iCs/>
        </w:rPr>
        <w:t>understa</w:t>
      </w:r>
      <w:r w:rsidR="00E25B34" w:rsidRPr="00101A2A">
        <w:rPr>
          <w:rStyle w:val="Emphasis"/>
          <w:i w:val="0"/>
          <w:iCs/>
        </w:rPr>
        <w:t>n</w:t>
      </w:r>
      <w:r w:rsidR="0085214F" w:rsidRPr="00101A2A">
        <w:rPr>
          <w:rStyle w:val="Emphasis"/>
          <w:i w:val="0"/>
          <w:iCs/>
        </w:rPr>
        <w:t>d</w:t>
      </w:r>
      <w:r w:rsidR="00682ECE" w:rsidRPr="00101A2A">
        <w:rPr>
          <w:rStyle w:val="Emphasis"/>
          <w:i w:val="0"/>
          <w:iCs/>
        </w:rPr>
        <w:t xml:space="preserve"> </w:t>
      </w:r>
      <w:r w:rsidR="005C4533" w:rsidRPr="00101A2A">
        <w:rPr>
          <w:rStyle w:val="Emphasis"/>
          <w:i w:val="0"/>
          <w:iCs/>
        </w:rPr>
        <w:t xml:space="preserve">the host’s degree of prototypicality and its </w:t>
      </w:r>
      <w:r w:rsidR="00B17592" w:rsidRPr="00101A2A">
        <w:rPr>
          <w:rStyle w:val="Emphasis"/>
          <w:i w:val="0"/>
          <w:iCs/>
        </w:rPr>
        <w:t xml:space="preserve">appeal to consumers </w:t>
      </w:r>
      <w:r w:rsidR="00682ECE" w:rsidRPr="00101A2A">
        <w:rPr>
          <w:rStyle w:val="Emphasis"/>
          <w:i w:val="0"/>
          <w:iCs/>
        </w:rPr>
        <w:fldChar w:fldCharType="begin" w:fldLock="1"/>
      </w:r>
      <w:r w:rsidR="003749C2">
        <w:rPr>
          <w:rStyle w:val="Emphasis"/>
          <w:i w:val="0"/>
          <w:iCs/>
        </w:rPr>
        <w:instrText>ADDIN CSL_CITATION {"citationItems":[{"id":"ITEM-1","itemData":{"DOI":"10.1108/S0733-558X(2010)0000031014","ISSN":"0733558X","abstract":"In markets, audiences generally discount offerings that fail to fit established product categories, but when misfit offerings change category meaning, the effects of conformity and deviation can reverse so that previously overlooked or unappealing offerings become popular while previously appealing products fall into disfavor. After introducing the idea of category currency to explain how the value of conformity changes with ongoing meaning construction, we use it to make sense of the emergence of nanotechnology. In conclusion, we argue that category currency is useful for explaining the changing value of conformity both in and beyond markets.","author":[{"dropping-particle":"","family":"Kennedy","given":"Mark Thomas","non-dropping-particle":"","parse-names":false,"suffix":""},{"dropping-particle":"","family":"Lo","given":"Jade Yu Chieh","non-dropping-particle":"","parse-names":false,"suffix":""},{"dropping-particle":"","family":"Lounsbury","given":"Michael","non-dropping-particle":"","parse-names":false,"suffix":""}],"container-title":"Research in the Sociology of Organizations","id":"ITEM-1","issue":"2010","issued":{"date-parts":[["2010"]]},"number-of-pages":"369-397","publisher":"Elsevier","title":"Category currency: The changing value of conformity as a function of ongoing meaning construction","type":"book","volume":"31"},"uris":["http://www.mendeley.com/documents/?uuid=619c88ee-53fc-4e21-90b5-4f92b250d4e2"]},{"id":"ITEM-2","itemData":{"DOI":"10.1177/000312240907400108","ISBN":"0003122409","ISSN":"0003-1224","PMID":"36450215","abstract":"This article examines the effects of market specialization on economic and social outcomes. Integrating two perspectives, we explore why products that span multiple categories suffer social and economic disadvantages. According to the audience-side perspective, audience members refer to established categories to make sense of products. Products that incorporate features from multiple categories are perceived to be poor fits with category expectations and less appealing than category specialists. The producer-side view holds that spanning categories reduces one’s ability to effectively target each category’s audience, which decreases appeal to audience members. Rather than treating these as rival explanations, we propose that both processes matter and offer a systematic, integrated account of how penalties arise as a consequence of audience-side and producer-side processes. We analyze data from two dissimilar contexts, eBay auctions and U.S. feature-film projects, to test the central implications of our theory. Together, these tests provide support for our integrated approach and suggest that both processes contribute to the penalties associated with category spanning.","author":[{"dropping-particle":"","family":"Hsu","given":"G.","non-dropping-particle":"","parse-names":false,"suffix":""},{"dropping-particle":"","family":"Hannan","given":"M. T.","non-dropping-particle":"","parse-names":false,"suffix":""},{"dropping-particle":"","family":"Kocak","given":"O.","non-dropping-particle":"","parse-names":false,"suffix":""}],"container-title":"American Sociological Review","id":"ITEM-2","issue":"1","issued":{"date-parts":[["2009"]]},"page":"150-169","title":"Multiple category memberships in markets: An integrative theory and two empirical tests","type":"article-journal","volume":"74"},"uris":["http://www.mendeley.com/documents/?uuid=35e817e0-13de-45e7-a170-00efe3cfe8dd"]},{"id":"ITEM-3","itemData":{"DOI":"10.1111/joms.12000","ISSN":"00222380","abstract":"The organizational literature is increasingly interested in the origins and consequences of category emergence. We examine the effects of being affiliated with categories initially considered illegitimate ('divergence'), and of organizational attempts to blur the boundaries between categories ('straddling'), on capital market reactions to firm announcements. We develop arguments for how these effects likely vary with increasing legitimation ('currency') of the category. We apply event study methodology to the complete population of firms' announcements of open source activities, an open innovation model for software development that is novel and defies the extant dominant logic of software production and valorization. Over a ten-year period, we find negative effects of divergence, positive effects of straddling, and that the magnitude of both these effects diminishes with increasing category currency. The implications for theories of organization and open innovation in the context of category emergence are discussed. © 2012 The Authors. Journal of Management Studies © 2012 Blackwell Publishing Ltd and Society for the Advancement of Management Studies.","author":[{"dropping-particle":"","family":"Alexy","given":"Oliver","non-dropping-particle":"","parse-names":false,"suffix":""},{"dropping-particle":"","family":"George","given":"Gerard","non-dropping-particle":"","parse-names":false,"suffix":""}],"container-title":"Journal of Management Studies","id":"ITEM-3","issue":"2","issued":{"date-parts":[["2013"]]},"page":"173-203","title":"Category Divergence, Straddling, and Currency: Open Innovation and the Legitimation of Illegitimate Categories","type":"article-journal","volume":"50"},"uris":["http://www.mendeley.com/documents/?uuid=c6adaf56-351f-4389-8b4f-108b33de99e7"]}],"mendeley":{"formattedCitation":"(Alexy &amp; George, 2013; Hsu, Hannan, &amp; Kocak, 2009; Kennedy et al., 2010)","manualFormatting":"(Alexy &amp; George, 2013; Hsu, Hannan, &amp; Kocak, 2009; Kennedy et al., 2010)","plainTextFormattedCitation":"(Alexy &amp; George, 2013; Hsu, Hannan, &amp; Kocak, 2009; Kennedy et al., 2010)","previouslyFormattedCitation":"(Alexy &amp; George, 2013; Hsu, Hannan, &amp; Kocak, 2009; Kennedy et al., 2010)"},"properties":{"noteIndex":0},"schema":"https://github.com/citation-style-language/schema/raw/master/csl-citation.json"}</w:instrText>
      </w:r>
      <w:r w:rsidR="00682ECE" w:rsidRPr="00101A2A">
        <w:rPr>
          <w:rStyle w:val="Emphasis"/>
          <w:i w:val="0"/>
          <w:iCs/>
        </w:rPr>
        <w:fldChar w:fldCharType="separate"/>
      </w:r>
      <w:r w:rsidR="00406A1F" w:rsidRPr="00101A2A">
        <w:rPr>
          <w:rStyle w:val="Emphasis"/>
          <w:i w:val="0"/>
          <w:iCs/>
          <w:noProof/>
        </w:rPr>
        <w:t xml:space="preserve">(Alexy </w:t>
      </w:r>
      <w:r w:rsidR="006475EB" w:rsidRPr="00101A2A">
        <w:rPr>
          <w:rStyle w:val="Emphasis"/>
          <w:i w:val="0"/>
          <w:iCs/>
          <w:noProof/>
        </w:rPr>
        <w:t>&amp;</w:t>
      </w:r>
      <w:r w:rsidR="00406A1F" w:rsidRPr="00101A2A">
        <w:rPr>
          <w:rStyle w:val="Emphasis"/>
          <w:i w:val="0"/>
          <w:iCs/>
          <w:noProof/>
        </w:rPr>
        <w:t xml:space="preserve"> George</w:t>
      </w:r>
      <w:r w:rsidR="006475EB" w:rsidRPr="00101A2A">
        <w:rPr>
          <w:rStyle w:val="Emphasis"/>
          <w:i w:val="0"/>
          <w:iCs/>
          <w:noProof/>
        </w:rPr>
        <w:t>,</w:t>
      </w:r>
      <w:r w:rsidR="00406A1F" w:rsidRPr="00101A2A">
        <w:rPr>
          <w:rStyle w:val="Emphasis"/>
          <w:i w:val="0"/>
          <w:iCs/>
          <w:noProof/>
        </w:rPr>
        <w:t xml:space="preserve"> 2013</w:t>
      </w:r>
      <w:r w:rsidR="006475EB" w:rsidRPr="00101A2A">
        <w:rPr>
          <w:rStyle w:val="Emphasis"/>
          <w:i w:val="0"/>
          <w:iCs/>
          <w:noProof/>
        </w:rPr>
        <w:t>;</w:t>
      </w:r>
      <w:r w:rsidR="00406A1F" w:rsidRPr="00101A2A">
        <w:rPr>
          <w:rStyle w:val="Emphasis"/>
          <w:i w:val="0"/>
          <w:iCs/>
          <w:noProof/>
        </w:rPr>
        <w:t xml:space="preserve"> Hsu</w:t>
      </w:r>
      <w:r w:rsidR="006475EB" w:rsidRPr="00101A2A">
        <w:rPr>
          <w:rStyle w:val="Emphasis"/>
          <w:i w:val="0"/>
          <w:iCs/>
          <w:noProof/>
        </w:rPr>
        <w:t>, Hannan, &amp; Kocak,</w:t>
      </w:r>
      <w:r w:rsidR="00406A1F" w:rsidRPr="00101A2A">
        <w:rPr>
          <w:rStyle w:val="Emphasis"/>
          <w:i w:val="0"/>
          <w:iCs/>
          <w:noProof/>
        </w:rPr>
        <w:t xml:space="preserve"> 2009</w:t>
      </w:r>
      <w:r w:rsidR="006475EB" w:rsidRPr="00101A2A">
        <w:rPr>
          <w:rStyle w:val="Emphasis"/>
          <w:i w:val="0"/>
          <w:iCs/>
          <w:noProof/>
        </w:rPr>
        <w:t>;</w:t>
      </w:r>
      <w:r w:rsidR="00406A1F" w:rsidRPr="00101A2A">
        <w:rPr>
          <w:rStyle w:val="Emphasis"/>
          <w:i w:val="0"/>
          <w:iCs/>
          <w:noProof/>
        </w:rPr>
        <w:t xml:space="preserve"> Kennedy et al.</w:t>
      </w:r>
      <w:r w:rsidR="006475EB" w:rsidRPr="00101A2A">
        <w:rPr>
          <w:rStyle w:val="Emphasis"/>
          <w:i w:val="0"/>
          <w:iCs/>
          <w:noProof/>
        </w:rPr>
        <w:t>,</w:t>
      </w:r>
      <w:r w:rsidR="00406A1F" w:rsidRPr="00101A2A">
        <w:rPr>
          <w:rStyle w:val="Emphasis"/>
          <w:i w:val="0"/>
          <w:iCs/>
          <w:noProof/>
        </w:rPr>
        <w:t xml:space="preserve"> 2010)</w:t>
      </w:r>
      <w:r w:rsidR="00682ECE" w:rsidRPr="00101A2A">
        <w:rPr>
          <w:rStyle w:val="Emphasis"/>
          <w:i w:val="0"/>
          <w:iCs/>
        </w:rPr>
        <w:fldChar w:fldCharType="end"/>
      </w:r>
      <w:r w:rsidR="00682ECE" w:rsidRPr="00101A2A">
        <w:rPr>
          <w:rStyle w:val="Emphasis"/>
          <w:i w:val="0"/>
          <w:iCs/>
        </w:rPr>
        <w:t xml:space="preserve">. </w:t>
      </w:r>
    </w:p>
    <w:p w14:paraId="29992E6F" w14:textId="65CF649A" w:rsidR="002929D7" w:rsidRPr="00101A2A" w:rsidRDefault="009F353E" w:rsidP="00E25B34">
      <w:pPr>
        <w:rPr>
          <w:rStyle w:val="Emphasis"/>
          <w:i w:val="0"/>
          <w:iCs/>
        </w:rPr>
      </w:pPr>
      <w:r w:rsidRPr="00101A2A">
        <w:rPr>
          <w:rStyle w:val="Emphasis"/>
          <w:i w:val="0"/>
          <w:iCs/>
        </w:rPr>
        <w:t>According to</w:t>
      </w:r>
      <w:r w:rsidR="00682ECE" w:rsidRPr="00101A2A">
        <w:rPr>
          <w:rStyle w:val="Emphasis"/>
          <w:i w:val="0"/>
          <w:iCs/>
        </w:rPr>
        <w:t xml:space="preserve"> the categories literature, </w:t>
      </w:r>
      <w:r w:rsidR="00732359" w:rsidRPr="00101A2A">
        <w:t>spanners</w:t>
      </w:r>
      <w:r w:rsidR="004D1852" w:rsidRPr="00101A2A" w:rsidDel="004D1852">
        <w:t xml:space="preserve"> </w:t>
      </w:r>
      <w:r w:rsidR="00964A0B" w:rsidRPr="00101A2A">
        <w:rPr>
          <w:rStyle w:val="Emphasis"/>
          <w:i w:val="0"/>
          <w:iCs/>
        </w:rPr>
        <w:t>are</w:t>
      </w:r>
      <w:r w:rsidR="00682ECE" w:rsidRPr="00101A2A">
        <w:rPr>
          <w:rStyle w:val="Emphasis"/>
          <w:i w:val="0"/>
          <w:iCs/>
        </w:rPr>
        <w:t xml:space="preserve"> eventually recognized as less prototypical actors in the </w:t>
      </w:r>
      <w:r w:rsidR="00915970">
        <w:rPr>
          <w:rStyle w:val="Emphasis"/>
          <w:i w:val="0"/>
          <w:iCs/>
        </w:rPr>
        <w:t>SE</w:t>
      </w:r>
      <w:r w:rsidR="00682ECE" w:rsidRPr="00101A2A">
        <w:rPr>
          <w:rStyle w:val="Emphasis"/>
          <w:i w:val="0"/>
          <w:iCs/>
        </w:rPr>
        <w:t xml:space="preserve"> </w:t>
      </w:r>
      <w:r w:rsidR="00682ECE" w:rsidRPr="00101A2A">
        <w:rPr>
          <w:rStyle w:val="Emphasis"/>
          <w:i w:val="0"/>
          <w:iCs/>
        </w:rPr>
        <w:fldChar w:fldCharType="begin" w:fldLock="1"/>
      </w:r>
      <w:r w:rsidR="003749C2">
        <w:rPr>
          <w:rStyle w:val="Emphasis"/>
          <w:i w:val="0"/>
          <w:iCs/>
        </w:rPr>
        <w:instrText>ADDIN CSL_CITATION {"citationItems":[{"id":"ITEM-1","itemData":{"DOI":"10.1287/orsc.2015.1011","ISSN":"1047-7039","abstract":"? 2015 INFORMS.Extant organizational literature argues that straddling institutionalized categories begets an illegitimacy discount, leading organizations to reproduce established categorical boundaries. If gaining legitimacy requires compliance with this \"categorical imperative,\" why do we frequently observe categorical straddling even in uncontested and fully institutionalized categorical structures? To address this question, we propose that de novo (i.e., newly founded) and de alio (i.e., diversifying) organizations respond differently to the categorical imperative. Specifically, de novo organizations are more likely to enter and fit in high-contrast categories than in low-contrast ones, whereas the opposite is true for de alio entrants. To test these hypotheses, we follow technological entry dynamics within the semiconductor industry between 1976 and 2002. Using patent information, we examine how category contrast affects which technological categories de novo and de alio organizations enter, and the performance associated with those entry events. A comprehensive set of empirical analyses lend support to our hypotheses. Besides clarifying the link between the categorical imperative and structural reproduction, this study bears implications for entrepreneurship and strategy research on entry dynamics.","author":[{"dropping-particle":"","family":"Carnabuci","given":"Gianluca","non-dropping-particle":"","parse-names":false,"suffix":""},{"dropping-particle":"","family":"Operti","given":"Elisa","non-dropping-particle":"","parse-names":false,"suffix":""},{"dropping-particle":"","family":"Kovács","given":"Balázs","non-dropping-particle":"","parse-names":false,"suffix":""}],"container-title":"Organization Science","id":"ITEM-1","issue":"6","issued":{"date-parts":[["2015"]]},"page":"1734-1751","title":"The Categorical Imperative and Structural Reproduction: Dynamics of Technological Entry in the Semiconductor Industry","type":"article-journal","volume":"26"},"uris":["http://www.mendeley.com/documents/?uuid=99db9771-a235-47e3-b686-b01302650fef"]},{"id":"ITEM-2","itemData":{"author":[{"dropping-particle":"","family":"Zuckerman","given":"Ezra W","non-dropping-particle":"","parse-names":false,"suffix":""}],"container-title":"American Journal of Sociology","id":"ITEM-2","issue":"5","issued":{"date-parts":[["1999"]]},"page":"1398-1438","title":"The Categorical Imperative : Securities Analysts and the Illegitimacy Discount 1","type":"article-journal","volume":"104"},"uris":["http://www.mendeley.com/documents/?uuid=7f48d0d4-4ac2-4547-98ee-42718da7d341"]}],"mendeley":{"formattedCitation":"(Carnabuci et al., 2015; Zuckerman, 1999)","plainTextFormattedCitation":"(Carnabuci et al., 2015; Zuckerman, 1999)","previouslyFormattedCitation":"(Carnabuci et al., 2015; Zuckerman, 1999)"},"properties":{"noteIndex":0},"schema":"https://github.com/citation-style-language/schema/raw/master/csl-citation.json"}</w:instrText>
      </w:r>
      <w:r w:rsidR="00682ECE" w:rsidRPr="00101A2A">
        <w:rPr>
          <w:rStyle w:val="Emphasis"/>
          <w:i w:val="0"/>
          <w:iCs/>
        </w:rPr>
        <w:fldChar w:fldCharType="separate"/>
      </w:r>
      <w:r w:rsidR="006A7A22" w:rsidRPr="006A7A22">
        <w:rPr>
          <w:rStyle w:val="Emphasis"/>
          <w:i w:val="0"/>
          <w:iCs/>
          <w:noProof/>
        </w:rPr>
        <w:t>(Carnabuci et al., 2015; Zuckerman, 1999)</w:t>
      </w:r>
      <w:r w:rsidR="00682ECE" w:rsidRPr="00101A2A">
        <w:rPr>
          <w:rStyle w:val="Emphasis"/>
          <w:i w:val="0"/>
          <w:iCs/>
        </w:rPr>
        <w:fldChar w:fldCharType="end"/>
      </w:r>
      <w:r w:rsidR="00682ECE" w:rsidRPr="00101A2A">
        <w:rPr>
          <w:rStyle w:val="Emphasis"/>
          <w:i w:val="0"/>
          <w:iCs/>
        </w:rPr>
        <w:t>.</w:t>
      </w:r>
      <w:r w:rsidRPr="00101A2A">
        <w:rPr>
          <w:rStyle w:val="Emphasis"/>
          <w:i w:val="0"/>
          <w:iCs/>
        </w:rPr>
        <w:t xml:space="preserve"> For example, the many properties that </w:t>
      </w:r>
      <w:r w:rsidR="00E25B34" w:rsidRPr="00101A2A">
        <w:t>spanners</w:t>
      </w:r>
      <w:r w:rsidR="00E25B34" w:rsidRPr="00101A2A" w:rsidDel="004D1852">
        <w:t xml:space="preserve"> </w:t>
      </w:r>
      <w:r w:rsidRPr="00101A2A">
        <w:rPr>
          <w:rStyle w:val="Emphasis"/>
          <w:i w:val="0"/>
          <w:iCs/>
        </w:rPr>
        <w:t xml:space="preserve">rent </w:t>
      </w:r>
      <w:r w:rsidR="00E42FF2">
        <w:rPr>
          <w:rStyle w:val="Emphasis"/>
          <w:i w:val="0"/>
          <w:iCs/>
        </w:rPr>
        <w:t>full-time</w:t>
      </w:r>
      <w:r w:rsidRPr="00101A2A">
        <w:rPr>
          <w:rStyle w:val="Emphasis"/>
          <w:i w:val="0"/>
          <w:iCs/>
        </w:rPr>
        <w:t xml:space="preserve"> are likely to be perceived as vacation rental</w:t>
      </w:r>
      <w:r w:rsidR="004D1852" w:rsidRPr="00101A2A">
        <w:rPr>
          <w:rStyle w:val="Emphasis"/>
          <w:i w:val="0"/>
          <w:iCs/>
        </w:rPr>
        <w:t>s</w:t>
      </w:r>
      <w:r w:rsidR="00F9365A" w:rsidRPr="00101A2A">
        <w:rPr>
          <w:rStyle w:val="Emphasis"/>
          <w:i w:val="0"/>
          <w:iCs/>
        </w:rPr>
        <w:t xml:space="preserve"> because they </w:t>
      </w:r>
      <w:r w:rsidR="00E42FF2">
        <w:rPr>
          <w:rStyle w:val="Emphasis"/>
          <w:i w:val="0"/>
          <w:iCs/>
        </w:rPr>
        <w:t>do</w:t>
      </w:r>
      <w:r w:rsidR="00F9365A" w:rsidRPr="00101A2A">
        <w:rPr>
          <w:rStyle w:val="Emphasis"/>
          <w:i w:val="0"/>
          <w:iCs/>
        </w:rPr>
        <w:t xml:space="preserve"> not </w:t>
      </w:r>
      <w:r w:rsidR="00E42FF2">
        <w:rPr>
          <w:rStyle w:val="Emphasis"/>
          <w:i w:val="0"/>
          <w:iCs/>
        </w:rPr>
        <w:t>live</w:t>
      </w:r>
      <w:r w:rsidR="00FE44F8" w:rsidRPr="00101A2A">
        <w:rPr>
          <w:rStyle w:val="Emphasis"/>
          <w:i w:val="0"/>
          <w:iCs/>
        </w:rPr>
        <w:t xml:space="preserve"> </w:t>
      </w:r>
      <w:r w:rsidR="00E42FF2">
        <w:rPr>
          <w:rStyle w:val="Emphasis"/>
          <w:i w:val="0"/>
          <w:iCs/>
        </w:rPr>
        <w:t>full-time</w:t>
      </w:r>
      <w:r w:rsidR="00AC78CE">
        <w:rPr>
          <w:rStyle w:val="Emphasis"/>
          <w:i w:val="0"/>
          <w:iCs/>
        </w:rPr>
        <w:t>. They</w:t>
      </w:r>
      <w:r w:rsidR="001A774C" w:rsidRPr="00101A2A">
        <w:rPr>
          <w:rStyle w:val="Emphasis"/>
          <w:i w:val="0"/>
          <w:iCs/>
        </w:rPr>
        <w:t xml:space="preserve"> </w:t>
      </w:r>
      <w:r w:rsidR="00E42FF2">
        <w:rPr>
          <w:rStyle w:val="Emphasis"/>
          <w:i w:val="0"/>
          <w:iCs/>
        </w:rPr>
        <w:t xml:space="preserve">are </w:t>
      </w:r>
      <w:r w:rsidRPr="00101A2A">
        <w:rPr>
          <w:rStyle w:val="Emphasis"/>
          <w:i w:val="0"/>
          <w:iCs/>
        </w:rPr>
        <w:t>substantially different from other properties on Airbnb</w:t>
      </w:r>
      <w:r w:rsidR="00E42FF2">
        <w:rPr>
          <w:rStyle w:val="Emphasis"/>
          <w:i w:val="0"/>
          <w:iCs/>
        </w:rPr>
        <w:t>,</w:t>
      </w:r>
      <w:r w:rsidRPr="00101A2A">
        <w:rPr>
          <w:rStyle w:val="Emphasis"/>
          <w:i w:val="0"/>
          <w:iCs/>
        </w:rPr>
        <w:t xml:space="preserve"> where the host lives most of the year.</w:t>
      </w:r>
      <w:r w:rsidR="00682ECE" w:rsidRPr="00101A2A">
        <w:rPr>
          <w:rStyle w:val="Emphasis"/>
          <w:i w:val="0"/>
          <w:iCs/>
        </w:rPr>
        <w:t xml:space="preserve"> </w:t>
      </w:r>
      <w:r w:rsidR="00AE504E" w:rsidRPr="00101A2A">
        <w:rPr>
          <w:rStyle w:val="Emphasis"/>
          <w:i w:val="0"/>
          <w:iCs/>
        </w:rPr>
        <w:t>If</w:t>
      </w:r>
      <w:r w:rsidR="00682ECE" w:rsidRPr="00101A2A">
        <w:rPr>
          <w:rStyle w:val="Emphasis"/>
          <w:i w:val="0"/>
          <w:iCs/>
        </w:rPr>
        <w:t xml:space="preserve"> </w:t>
      </w:r>
      <w:r w:rsidR="00732359" w:rsidRPr="00101A2A">
        <w:t>spanners</w:t>
      </w:r>
      <w:r w:rsidR="004D1852" w:rsidRPr="00101A2A" w:rsidDel="004D1852">
        <w:rPr>
          <w:rStyle w:val="Emphasis"/>
          <w:i w:val="0"/>
          <w:iCs/>
        </w:rPr>
        <w:t xml:space="preserve"> </w:t>
      </w:r>
      <w:r w:rsidR="00B17592" w:rsidRPr="00101A2A">
        <w:rPr>
          <w:rStyle w:val="Emphasis"/>
          <w:i w:val="0"/>
          <w:iCs/>
        </w:rPr>
        <w:t>are</w:t>
      </w:r>
      <w:r w:rsidR="00682ECE" w:rsidRPr="00101A2A">
        <w:rPr>
          <w:rStyle w:val="Emphasis"/>
          <w:i w:val="0"/>
          <w:iCs/>
        </w:rPr>
        <w:t xml:space="preserve"> perceived as atypical, the </w:t>
      </w:r>
      <w:r w:rsidR="00097FB8" w:rsidRPr="00101A2A">
        <w:rPr>
          <w:rStyle w:val="Emphasis"/>
          <w:i w:val="0"/>
          <w:iCs/>
        </w:rPr>
        <w:t xml:space="preserve">sentiment </w:t>
      </w:r>
      <w:r w:rsidR="00682ECE" w:rsidRPr="00101A2A">
        <w:rPr>
          <w:rStyle w:val="Emphasis"/>
          <w:i w:val="0"/>
          <w:iCs/>
        </w:rPr>
        <w:t xml:space="preserve">of their reviews </w:t>
      </w:r>
      <w:r w:rsidR="000E7254">
        <w:rPr>
          <w:rStyle w:val="Emphasis"/>
          <w:i w:val="0"/>
          <w:iCs/>
        </w:rPr>
        <w:t>decreases</w:t>
      </w:r>
      <w:r w:rsidR="00771178">
        <w:rPr>
          <w:rStyle w:val="Emphasis"/>
          <w:i w:val="0"/>
          <w:iCs/>
        </w:rPr>
        <w:t xml:space="preserve"> </w:t>
      </w:r>
      <w:r w:rsidR="00682ECE" w:rsidRPr="00101A2A">
        <w:rPr>
          <w:rStyle w:val="Emphasis"/>
          <w:i w:val="0"/>
          <w:iCs/>
        </w:rPr>
        <w:fldChar w:fldCharType="begin" w:fldLock="1"/>
      </w:r>
      <w:r w:rsidR="003749C2">
        <w:rPr>
          <w:rStyle w:val="Emphasis"/>
          <w:i w:val="0"/>
          <w:iCs/>
        </w:rPr>
        <w:instrText>ADDIN CSL_CITATION {"citationItems":[{"id":"ITEM-1","itemData":{"DOI":"10.2189/asqu.51.3.420","ISBN":"0001-8392","ISSN":"00018392","PMID":"23454541","abstract":"Through analyses of audience reception of U.S.-produced feature film projects from the period 2000–2003, I develop insight into the trade-off assumed in organizational ecology theory between an organization's niche width and its fitness. This assumption, termed the principle of allocation, holds that the greater the diversity in regions of resource space targeted by an organization, the lower the organization's capacity to perform well within them. Using data at both the professional critic and consumer levels, I demonstrate the empirical validity of this principle: films targeting more genres attract larger audiences but are less appealing to those audience members. Moreover, I find that audiences' perceptions of a film's fit with targeted genres drive this trade-off, as multi-genre films are difficult for audiences to make sense of, leading to poor fit with tastes and lowered appeal. These findings highlight the key role audiences' perceptions play in the trade-offs associated with different niche strategies.","author":[{"dropping-particle":"","family":"Hsu","given":"Greta","non-dropping-particle":"","parse-names":false,"suffix":""}],"container-title":"Administrative Science Quarterly","id":"ITEM-1","issue":"3","issued":{"date-parts":[["2006"]]},"page":"420-450","title":"Jacks of All Trades and Masters of None: Audiences' Reactions to Spanning Genres in Feature Film Production","type":"article-journal","volume":"51"},"uris":["http://www.mendeley.com/documents/?uuid=6be2f047-0f2f-4209-9f20-d384d4a04524"]},{"id":"ITEM-2","itemData":{"DOI":"10.1177/000312240907400108","ISBN":"0003122409","ISSN":"0003-1224","PMID":"36450215","abstract":"This article examines the effects of market specialization on economic and social outcomes. Integrating two perspectives, we explore why products that span multiple categories suffer social and economic disadvantages. According to the audience-side perspective, audience members refer to established categories to make sense of products. Products that incorporate features from multiple categories are perceived to be poor fits with category expectations and less appealing than category specialists. The producer-side view holds that spanning categories reduces one’s ability to effectively target each category’s audience, which decreases appeal to audience members. Rather than treating these as rival explanations, we propose that both processes matter and offer a systematic, integrated account of how penalties arise as a consequence of audience-side and producer-side processes. We analyze data from two dissimilar contexts, eBay auctions and U.S. feature-film projects, to test the central implications of our theory. Together, these tests provide support for our integrated approach and suggest that both processes contribute to the penalties associated with category spanning.","author":[{"dropping-particle":"","family":"Hsu","given":"G.","non-dropping-particle":"","parse-names":false,"suffix":""},{"dropping-particle":"","family":"Hannan","given":"M. T.","non-dropping-particle":"","parse-names":false,"suffix":""},{"dropping-particle":"","family":"Kocak","given":"O.","non-dropping-particle":"","parse-names":false,"suffix":""}],"container-title":"American Sociological Review","id":"ITEM-2","issue":"1","issued":{"date-parts":[["2009"]]},"page":"150-169","title":"Multiple category memberships in markets: An integrative theory and two empirical tests","type":"article-journal","volume":"74"},"uris":["http://www.mendeley.com/documents/?uuid=35e817e0-13de-45e7-a170-00efe3cfe8dd"]},{"id":"ITEM-3","itemData":{"DOI":"10.1111/joms.12000","ISSN":"00222380","abstract":"The organizational literature is increasingly interested in the origins and consequences of category emergence. We examine the effects of being affiliated with categories initially considered illegitimate ('divergence'), and of organizational attempts to blur the boundaries between categories ('straddling'), on capital market reactions to firm announcements. We develop arguments for how these effects likely vary with increasing legitimation ('currency') of the category. We apply event study methodology to the complete population of firms' announcements of open source activities, an open innovation model for software development that is novel and defies the extant dominant logic of software production and valorization. Over a ten-year period, we find negative effects of divergence, positive effects of straddling, and that the magnitude of both these effects diminishes with increasing category currency. The implications for theories of organization and open innovation in the context of category emergence are discussed. © 2012 The Authors. Journal of Management Studies © 2012 Blackwell Publishing Ltd and Society for the Advancement of Management Studies.","author":[{"dropping-particle":"","family":"Alexy","given":"Oliver","non-dropping-particle":"","parse-names":false,"suffix":""},{"dropping-particle":"","family":"George","given":"Gerard","non-dropping-particle":"","parse-names":false,"suffix":""}],"container-title":"Journal of Management Studies","id":"ITEM-3","issue":"2","issued":{"date-parts":[["2013"]]},"page":"173-203","title":"Category Divergence, Straddling, and Currency: Open Innovation and the Legitimation of Illegitimate Categories","type":"article-journal","volume":"50"},"uris":["http://www.mendeley.com/documents/?uuid=c6adaf56-351f-4389-8b4f-108b33de99e7"]}],"mendeley":{"formattedCitation":"(Alexy &amp; George, 2013; Hsu, 2006; Hsu et al., 2009)","plainTextFormattedCitation":"(Alexy &amp; George, 2013; Hsu, 2006; Hsu et al., 2009)","previouslyFormattedCitation":"(Alexy &amp; George, 2013; Hsu, 2006; Hsu et al., 2009)"},"properties":{"noteIndex":0},"schema":"https://github.com/citation-style-language/schema/raw/master/csl-citation.json"}</w:instrText>
      </w:r>
      <w:r w:rsidR="00682ECE" w:rsidRPr="00101A2A">
        <w:rPr>
          <w:rStyle w:val="Emphasis"/>
          <w:i w:val="0"/>
          <w:iCs/>
        </w:rPr>
        <w:fldChar w:fldCharType="separate"/>
      </w:r>
      <w:r w:rsidR="006A7A22" w:rsidRPr="006A7A22">
        <w:rPr>
          <w:rStyle w:val="Emphasis"/>
          <w:i w:val="0"/>
          <w:iCs/>
          <w:noProof/>
        </w:rPr>
        <w:t>(Alexy &amp; George, 2013; Hsu, 2006; Hsu et al., 2009)</w:t>
      </w:r>
      <w:r w:rsidR="00682ECE" w:rsidRPr="00101A2A">
        <w:rPr>
          <w:rStyle w:val="Emphasis"/>
          <w:i w:val="0"/>
          <w:iCs/>
        </w:rPr>
        <w:fldChar w:fldCharType="end"/>
      </w:r>
      <w:r w:rsidR="00B4247F">
        <w:rPr>
          <w:rStyle w:val="Emphasis"/>
          <w:i w:val="0"/>
          <w:iCs/>
        </w:rPr>
        <w:t>. Consequently,</w:t>
      </w:r>
      <w:r w:rsidR="008E15DB" w:rsidRPr="00101A2A">
        <w:rPr>
          <w:rStyle w:val="Emphasis"/>
          <w:i w:val="0"/>
          <w:iCs/>
        </w:rPr>
        <w:t xml:space="preserve"> </w:t>
      </w:r>
      <w:r w:rsidR="00406A1F" w:rsidRPr="00101A2A">
        <w:rPr>
          <w:rStyle w:val="Emphasis"/>
          <w:i w:val="0"/>
          <w:iCs/>
        </w:rPr>
        <w:t xml:space="preserve">the demand for their properties </w:t>
      </w:r>
      <w:r w:rsidR="008E15DB" w:rsidRPr="00101A2A">
        <w:rPr>
          <w:rStyle w:val="Emphasis"/>
          <w:i w:val="0"/>
          <w:iCs/>
        </w:rPr>
        <w:t xml:space="preserve">also </w:t>
      </w:r>
      <w:r w:rsidR="00406A1F" w:rsidRPr="00101A2A">
        <w:rPr>
          <w:rStyle w:val="Emphasis"/>
          <w:i w:val="0"/>
          <w:iCs/>
        </w:rPr>
        <w:t xml:space="preserve">declines </w:t>
      </w:r>
      <w:r w:rsidR="00406A1F" w:rsidRPr="00101A2A">
        <w:rPr>
          <w:rStyle w:val="Emphasis"/>
          <w:i w:val="0"/>
          <w:iCs/>
        </w:rPr>
        <w:fldChar w:fldCharType="begin" w:fldLock="1"/>
      </w:r>
      <w:r w:rsidR="003749C2">
        <w:rPr>
          <w:rStyle w:val="Emphasis"/>
          <w:i w:val="0"/>
          <w:iCs/>
        </w:rPr>
        <w:instrText>ADDIN CSL_CITATION {"citationItems":[{"id":"ITEM-1","itemData":{"DOI":"10.1108/S0733-558X(2010)0000031014","ISSN":"0733558X","abstract":"In markets, audiences generally discount offerings that fail to fit established product categories, but when misfit offerings change category meaning, the effects of conformity and deviation can reverse so that previously overlooked or unappealing offerings become popular while previously appealing products fall into disfavor. After introducing the idea of category currency to explain how the value of conformity changes with ongoing meaning construction, we use it to make sense of the emergence of nanotechnology. In conclusion, we argue that category currency is useful for explaining the changing value of conformity both in and beyond markets.","author":[{"dropping-particle":"","family":"Kennedy","given":"Mark Thomas","non-dropping-particle":"","parse-names":false,"suffix":""},{"dropping-particle":"","family":"Lo","given":"Jade Yu Chieh","non-dropping-particle":"","parse-names":false,"suffix":""},{"dropping-particle":"","family":"Lounsbury","given":"Michael","non-dropping-particle":"","parse-names":false,"suffix":""}],"container-title":"Research in the Sociology of Organizations","id":"ITEM-1","issue":"2010","issued":{"date-parts":[["2010"]]},"number-of-pages":"369-397","publisher":"Elsevier","title":"Category currency: The changing value of conformity as a function of ongoing meaning construction","type":"book","volume":"31"},"uris":["http://www.mendeley.com/documents/?uuid=619c88ee-53fc-4e21-90b5-4f92b250d4e2"]}],"mendeley":{"formattedCitation":"(Kennedy et al., 2010)","manualFormatting":"(Kennedy et al., 2010)","plainTextFormattedCitation":"(Kennedy et al., 2010)","previouslyFormattedCitation":"(Kennedy et al., 2010)"},"properties":{"noteIndex":0},"schema":"https://github.com/citation-style-language/schema/raw/master/csl-citation.json"}</w:instrText>
      </w:r>
      <w:r w:rsidR="00406A1F" w:rsidRPr="00101A2A">
        <w:rPr>
          <w:rStyle w:val="Emphasis"/>
          <w:i w:val="0"/>
          <w:iCs/>
        </w:rPr>
        <w:fldChar w:fldCharType="separate"/>
      </w:r>
      <w:r w:rsidR="00406A1F" w:rsidRPr="00101A2A">
        <w:rPr>
          <w:rStyle w:val="Emphasis"/>
          <w:i w:val="0"/>
          <w:iCs/>
          <w:noProof/>
        </w:rPr>
        <w:t>(Kennedy et al.</w:t>
      </w:r>
      <w:r w:rsidR="00A7664D" w:rsidRPr="00101A2A">
        <w:rPr>
          <w:rStyle w:val="Emphasis"/>
          <w:i w:val="0"/>
          <w:iCs/>
          <w:noProof/>
        </w:rPr>
        <w:t>,</w:t>
      </w:r>
      <w:r w:rsidR="00406A1F" w:rsidRPr="00101A2A">
        <w:rPr>
          <w:rStyle w:val="Emphasis"/>
          <w:i w:val="0"/>
          <w:iCs/>
          <w:noProof/>
        </w:rPr>
        <w:t xml:space="preserve"> 2010)</w:t>
      </w:r>
      <w:r w:rsidR="00406A1F" w:rsidRPr="00101A2A">
        <w:rPr>
          <w:rStyle w:val="Emphasis"/>
          <w:i w:val="0"/>
          <w:iCs/>
        </w:rPr>
        <w:fldChar w:fldCharType="end"/>
      </w:r>
      <w:r w:rsidR="00682ECE" w:rsidRPr="00101A2A">
        <w:rPr>
          <w:rStyle w:val="Emphasis"/>
          <w:i w:val="0"/>
          <w:iCs/>
        </w:rPr>
        <w:t>.</w:t>
      </w:r>
      <w:r w:rsidR="00AE504E" w:rsidRPr="00101A2A">
        <w:rPr>
          <w:rStyle w:val="Emphasis"/>
          <w:i w:val="0"/>
          <w:iCs/>
        </w:rPr>
        <w:t xml:space="preserve"> </w:t>
      </w:r>
      <w:r w:rsidR="00FE44F8" w:rsidRPr="00101A2A">
        <w:rPr>
          <w:rStyle w:val="Emphasis"/>
          <w:i w:val="0"/>
          <w:iCs/>
        </w:rPr>
        <w:t>W</w:t>
      </w:r>
      <w:r w:rsidR="006735CD" w:rsidRPr="00101A2A">
        <w:rPr>
          <w:rStyle w:val="Emphasis"/>
          <w:i w:val="0"/>
          <w:iCs/>
        </w:rPr>
        <w:t xml:space="preserve">e </w:t>
      </w:r>
      <w:r w:rsidR="00E25B34" w:rsidRPr="00101A2A">
        <w:rPr>
          <w:rStyle w:val="Emphasis"/>
          <w:i w:val="0"/>
          <w:iCs/>
        </w:rPr>
        <w:t>explore</w:t>
      </w:r>
      <w:r w:rsidR="001A774C" w:rsidRPr="00101A2A">
        <w:rPr>
          <w:rStyle w:val="Emphasis"/>
          <w:i w:val="0"/>
          <w:iCs/>
        </w:rPr>
        <w:t xml:space="preserve"> </w:t>
      </w:r>
      <w:r w:rsidR="00E25B34" w:rsidRPr="00101A2A">
        <w:rPr>
          <w:rStyle w:val="Emphasis"/>
          <w:i w:val="0"/>
          <w:iCs/>
        </w:rPr>
        <w:t xml:space="preserve">whether </w:t>
      </w:r>
      <w:r w:rsidR="00FE44F8" w:rsidRPr="00101A2A">
        <w:rPr>
          <w:rStyle w:val="Emphasis"/>
          <w:i w:val="0"/>
          <w:iCs/>
        </w:rPr>
        <w:t xml:space="preserve">this process </w:t>
      </w:r>
      <w:r w:rsidR="00202998">
        <w:rPr>
          <w:rStyle w:val="Emphasis"/>
          <w:i w:val="0"/>
          <w:iCs/>
        </w:rPr>
        <w:t>is affected by consumers’ attention to policymakers’ discussions about Airbnb,</w:t>
      </w:r>
      <w:r w:rsidR="00202998" w:rsidRPr="00101A2A">
        <w:rPr>
          <w:rStyle w:val="Emphasis"/>
          <w:i w:val="0"/>
          <w:iCs/>
        </w:rPr>
        <w:t xml:space="preserve"> </w:t>
      </w:r>
      <w:r w:rsidR="00682ECE" w:rsidRPr="00101A2A">
        <w:rPr>
          <w:rStyle w:val="Emphasis"/>
          <w:i w:val="0"/>
          <w:iCs/>
        </w:rPr>
        <w:t>eventually increas</w:t>
      </w:r>
      <w:r w:rsidR="0048546B">
        <w:rPr>
          <w:rStyle w:val="Emphasis"/>
          <w:i w:val="0"/>
          <w:iCs/>
        </w:rPr>
        <w:t>ing</w:t>
      </w:r>
      <w:r w:rsidR="00682ECE" w:rsidRPr="00101A2A">
        <w:rPr>
          <w:rStyle w:val="Emphasis"/>
          <w:i w:val="0"/>
          <w:iCs/>
        </w:rPr>
        <w:t xml:space="preserve"> the</w:t>
      </w:r>
      <w:r w:rsidR="004D1852" w:rsidRPr="00101A2A">
        <w:rPr>
          <w:rStyle w:val="Emphasis"/>
          <w:i w:val="0"/>
          <w:iCs/>
        </w:rPr>
        <w:t xml:space="preserve"> </w:t>
      </w:r>
      <w:r w:rsidR="004D1852" w:rsidRPr="00101A2A">
        <w:rPr>
          <w:rStyle w:val="Emphasis"/>
          <w:i w:val="0"/>
          <w:iCs/>
        </w:rPr>
        <w:lastRenderedPageBreak/>
        <w:t>opportunity costs</w:t>
      </w:r>
      <w:r w:rsidR="00682ECE" w:rsidRPr="00101A2A">
        <w:rPr>
          <w:rStyle w:val="Emphasis"/>
          <w:i w:val="0"/>
          <w:iCs/>
        </w:rPr>
        <w:t xml:space="preserve"> of switching properties </w:t>
      </w:r>
      <w:r w:rsidR="00B4247F">
        <w:rPr>
          <w:rStyle w:val="Emphasis"/>
          <w:i w:val="0"/>
          <w:iCs/>
        </w:rPr>
        <w:t xml:space="preserve">from other industries into Airbnb </w:t>
      </w:r>
      <w:r w:rsidR="006735CD" w:rsidRPr="00101A2A">
        <w:rPr>
          <w:rStyle w:val="Emphasis"/>
          <w:i w:val="0"/>
          <w:iCs/>
        </w:rPr>
        <w:t xml:space="preserve">and </w:t>
      </w:r>
      <w:r w:rsidR="00E234AC" w:rsidRPr="00101A2A">
        <w:rPr>
          <w:rStyle w:val="Emphasis"/>
          <w:i w:val="0"/>
          <w:iCs/>
        </w:rPr>
        <w:t>thus</w:t>
      </w:r>
      <w:r w:rsidR="006735CD" w:rsidRPr="00101A2A">
        <w:rPr>
          <w:rStyle w:val="Emphasis"/>
          <w:i w:val="0"/>
          <w:iCs/>
        </w:rPr>
        <w:t xml:space="preserve"> </w:t>
      </w:r>
      <w:r w:rsidR="008005FC" w:rsidRPr="00101A2A">
        <w:rPr>
          <w:rStyle w:val="Emphasis"/>
          <w:i w:val="0"/>
          <w:iCs/>
        </w:rPr>
        <w:t>affect</w:t>
      </w:r>
      <w:r w:rsidR="0048546B">
        <w:rPr>
          <w:rStyle w:val="Emphasis"/>
          <w:i w:val="0"/>
          <w:iCs/>
        </w:rPr>
        <w:t>ing</w:t>
      </w:r>
      <w:r w:rsidR="008005FC" w:rsidRPr="00101A2A">
        <w:rPr>
          <w:rStyle w:val="Emphasis"/>
          <w:i w:val="0"/>
          <w:iCs/>
        </w:rPr>
        <w:t xml:space="preserve"> </w:t>
      </w:r>
      <w:r w:rsidR="00C7691C" w:rsidRPr="00101A2A">
        <w:rPr>
          <w:rStyle w:val="Emphasis"/>
          <w:i w:val="0"/>
          <w:iCs/>
        </w:rPr>
        <w:t xml:space="preserve">the price of </w:t>
      </w:r>
      <w:r w:rsidR="00FE44F8" w:rsidRPr="00101A2A">
        <w:rPr>
          <w:rStyle w:val="Emphasis"/>
          <w:i w:val="0"/>
          <w:iCs/>
        </w:rPr>
        <w:t xml:space="preserve">those </w:t>
      </w:r>
      <w:r w:rsidR="00C7691C" w:rsidRPr="00101A2A">
        <w:t>properties</w:t>
      </w:r>
      <w:r w:rsidR="008005FC" w:rsidRPr="00101A2A">
        <w:rPr>
          <w:rStyle w:val="Emphasis"/>
          <w:i w:val="0"/>
          <w:iCs/>
        </w:rPr>
        <w:t xml:space="preserve">. </w:t>
      </w:r>
    </w:p>
    <w:p w14:paraId="0289BBB6" w14:textId="49903D6C" w:rsidR="0051134D" w:rsidRPr="00101A2A" w:rsidRDefault="00C23ED9" w:rsidP="00D74569">
      <w:pPr>
        <w:pStyle w:val="Heading2"/>
      </w:pPr>
      <w:r w:rsidRPr="00101A2A">
        <w:t>R</w:t>
      </w:r>
      <w:r w:rsidR="009C4694" w:rsidRPr="00101A2A">
        <w:t xml:space="preserve">egulation </w:t>
      </w:r>
    </w:p>
    <w:p w14:paraId="3C58DA15" w14:textId="65BF7C01" w:rsidR="005C44B2" w:rsidRPr="00101A2A" w:rsidRDefault="00FE44F8" w:rsidP="00D74569">
      <w:r w:rsidRPr="00101A2A">
        <w:t>R</w:t>
      </w:r>
      <w:r w:rsidR="00B529C0" w:rsidRPr="00101A2A">
        <w:t>egulat</w:t>
      </w:r>
      <w:r w:rsidR="00E25B34" w:rsidRPr="00101A2A">
        <w:t>ion</w:t>
      </w:r>
      <w:r w:rsidR="00B529C0" w:rsidRPr="00101A2A">
        <w:t xml:space="preserve"> can </w:t>
      </w:r>
      <w:r w:rsidRPr="00101A2A">
        <w:t xml:space="preserve">also </w:t>
      </w:r>
      <w:r w:rsidR="00B529C0" w:rsidRPr="00101A2A">
        <w:t xml:space="preserve">contribute to consumers’ convergence towards a preferred category schema. </w:t>
      </w:r>
      <w:r w:rsidR="00F92EF5" w:rsidRPr="00101A2A">
        <w:t>P</w:t>
      </w:r>
      <w:r w:rsidR="00733445" w:rsidRPr="00101A2A">
        <w:t xml:space="preserve">olicymakers are experimenting with regulations </w:t>
      </w:r>
      <w:r w:rsidR="00B4247F">
        <w:t>limiting the supply of houses on the platform, especially those</w:t>
      </w:r>
      <w:r w:rsidR="00733445" w:rsidRPr="00101A2A">
        <w:t xml:space="preserve"> transferred from the long-term rental </w:t>
      </w:r>
      <w:r w:rsidR="00E6723B" w:rsidRPr="00101A2A">
        <w:t>market</w:t>
      </w:r>
      <w:r w:rsidR="00733445" w:rsidRPr="00101A2A">
        <w:t xml:space="preserve"> </w:t>
      </w:r>
      <w:r w:rsidR="00733445" w:rsidRPr="00101A2A">
        <w:fldChar w:fldCharType="begin" w:fldLock="1"/>
      </w:r>
      <w:r w:rsidR="00920500">
        <w:instrText>ADDIN CSL_CITATION {"citationItems":[{"id":"ITEM-1","itemData":{"DOI":"10.2139/ssrn.3435105","abstract":"This paper examines the impact of Airbnb on the local rental housing market. Airbnb provides landlords an alternative opportunity to rent to short-term tourists, potentially causing some property owners to switch away from long-term rental to local residents, thereby affecting the rental housing supply and afforability. Despite recent government regulations to address this concern, it remains unclear whether and what type of properties are switching.","author":[{"dropping-particle":"","family":"Li","given":"Hui","non-dropping-particle":"","parse-names":false,"suffix":""},{"dropping-particle":"","family":"Kim","given":"Yijin","non-dropping-particle":"","parse-names":false,"suffix":""},{"dropping-particle":"","family":"Srinivasan","given":"Kannan","non-dropping-particle":"","parse-names":false,"suffix":""}],"container-title":"Management Science","id":"ITEM-1","issue":"11","issued":{"date-parts":[["2022"]]},"page":"8015-8044","title":"Market Shifts in the Sharing Economy: The Impact of Airbnb on Housing Rentals","type":"article-journal","volume":"68"},"uris":["http://www.mendeley.com/documents/?uuid=a9115a92-0fdb-435d-92ec-630176016aea"]}],"mendeley":{"formattedCitation":"(Li et al., 2022)","manualFormatting":"(Li et al., 2022)","plainTextFormattedCitation":"(Li et al., 2022)","previouslyFormattedCitation":"(Li et al., 2022)"},"properties":{"noteIndex":0},"schema":"https://github.com/citation-style-language/schema/raw/master/csl-citation.json"}</w:instrText>
      </w:r>
      <w:r w:rsidR="00733445" w:rsidRPr="00101A2A">
        <w:fldChar w:fldCharType="separate"/>
      </w:r>
      <w:r w:rsidR="00733445" w:rsidRPr="00101A2A">
        <w:rPr>
          <w:noProof/>
        </w:rPr>
        <w:t>(Li et al.</w:t>
      </w:r>
      <w:r w:rsidR="00A7664D" w:rsidRPr="00101A2A">
        <w:rPr>
          <w:noProof/>
        </w:rPr>
        <w:t>,</w:t>
      </w:r>
      <w:r w:rsidR="00733445" w:rsidRPr="00101A2A">
        <w:rPr>
          <w:noProof/>
        </w:rPr>
        <w:t xml:space="preserve"> 2022)</w:t>
      </w:r>
      <w:r w:rsidR="00733445" w:rsidRPr="00101A2A">
        <w:fldChar w:fldCharType="end"/>
      </w:r>
      <w:r w:rsidR="00733445" w:rsidRPr="00101A2A">
        <w:t xml:space="preserve">. </w:t>
      </w:r>
      <w:r w:rsidR="00F927C6" w:rsidRPr="00101A2A">
        <w:t>T</w:t>
      </w:r>
      <w:r w:rsidR="00733445" w:rsidRPr="00101A2A">
        <w:t xml:space="preserve">hese regulatory “experiments” </w:t>
      </w:r>
      <w:r w:rsidR="00F927C6" w:rsidRPr="00101A2A">
        <w:rPr>
          <w:rStyle w:val="Emphasis"/>
          <w:i w:val="0"/>
          <w:iCs/>
        </w:rPr>
        <w:t xml:space="preserve">aim to </w:t>
      </w:r>
      <w:r w:rsidR="00733445" w:rsidRPr="00101A2A">
        <w:rPr>
          <w:rStyle w:val="Emphasis"/>
          <w:i w:val="0"/>
          <w:iCs/>
        </w:rPr>
        <w:t xml:space="preserve">dissipate </w:t>
      </w:r>
      <w:r w:rsidR="00733445" w:rsidRPr="00101A2A">
        <w:t>ambiguity</w:t>
      </w:r>
      <w:r w:rsidR="00741667" w:rsidRPr="00101A2A">
        <w:t xml:space="preserve"> </w:t>
      </w:r>
      <w:r w:rsidR="00741667" w:rsidRPr="00101A2A">
        <w:fldChar w:fldCharType="begin" w:fldLock="1"/>
      </w:r>
      <w:r w:rsidR="003749C2">
        <w:instrText>ADDIN CSL_CITATION {"citationItems":[{"id":"ITEM-1","itemData":{"DOI":"10.1177/0001839214554830","ISSN":"19303815","abstract":"Regulators, much like market actors, rely on categorical distinctions. Innovations that are ambiguous to regulatory categories but not to market actors present a problem for regulators and an opportunity for innovative firms. Using a wide range of primary and secondary, qualitative and quantitative sources, we trace the history of one class of innovative financial derivatives—interest rate and foreign exchange swaps—to show how these instruments undermined the separation of commercial and investment banking established by the Glass–Steagall Act of 1933 even as overt political action failed to do so. Swaps did not fit neatly into existing product categories—futures, securities, loans—and thus evaded regulatory scrutiny for many years. The market success of swaps put commercial and investment banks into direct competition and, in so doing, undermined Glass–Steagall. Drawing on this case, we theorize that ambiguous innovations may disrupt the regulatory status quo and shift the political burden onto parties that want to maintain existing regulations. Our findings also suggest that category-spanning innovations may be more valuable to market participants if regulators find them difficult to interpret.","author":[{"dropping-particle":"","family":"Funk","given":"Russell J.","non-dropping-particle":"","parse-names":false,"suffix":""},{"dropping-particle":"","family":"Hirschman","given":"Daniel","non-dropping-particle":"","parse-names":false,"suffix":""}],"container-title":"Administrative Science Quarterly","id":"ITEM-1","issue":"4","issued":{"date-parts":[["2014"]]},"page":"669-704","title":"Derivatives and Deregulation: Financial Innovation and the Demise of Glass–Steagall","type":"article-journal","volume":"59"},"uris":["http://www.mendeley.com/documents/?uuid=2891e643-26fb-4ad3-8bea-fce735b5d95c"]}],"mendeley":{"formattedCitation":"(Funk &amp; Hirschman, 2014)","manualFormatting":"(Funk &amp; Hirschman, 2014)","plainTextFormattedCitation":"(Funk &amp; Hirschman, 2014)","previouslyFormattedCitation":"(Funk &amp; Hirschman, 2014)"},"properties":{"noteIndex":0},"schema":"https://github.com/citation-style-language/schema/raw/master/csl-citation.json"}</w:instrText>
      </w:r>
      <w:r w:rsidR="00741667" w:rsidRPr="00101A2A">
        <w:fldChar w:fldCharType="separate"/>
      </w:r>
      <w:r w:rsidR="00741667" w:rsidRPr="00101A2A">
        <w:rPr>
          <w:noProof/>
        </w:rPr>
        <w:t xml:space="preserve">(Funk </w:t>
      </w:r>
      <w:r w:rsidR="00A7664D" w:rsidRPr="00101A2A">
        <w:rPr>
          <w:noProof/>
        </w:rPr>
        <w:t>&amp;</w:t>
      </w:r>
      <w:r w:rsidR="00741667" w:rsidRPr="00101A2A">
        <w:rPr>
          <w:noProof/>
        </w:rPr>
        <w:t xml:space="preserve"> Hirschman</w:t>
      </w:r>
      <w:r w:rsidR="00A7664D" w:rsidRPr="00101A2A">
        <w:rPr>
          <w:noProof/>
        </w:rPr>
        <w:t>,</w:t>
      </w:r>
      <w:r w:rsidR="00741667" w:rsidRPr="00101A2A">
        <w:rPr>
          <w:noProof/>
        </w:rPr>
        <w:t xml:space="preserve"> 2014)</w:t>
      </w:r>
      <w:r w:rsidR="00741667" w:rsidRPr="00101A2A">
        <w:fldChar w:fldCharType="end"/>
      </w:r>
      <w:r w:rsidR="00733445" w:rsidRPr="00101A2A">
        <w:t xml:space="preserve"> about the specific organizational form and attributes of firms and actors operating in the SE </w:t>
      </w:r>
      <w:r w:rsidR="00F01D23" w:rsidRPr="00101A2A">
        <w:fldChar w:fldCharType="begin" w:fldLock="1"/>
      </w:r>
      <w:r w:rsidR="003749C2">
        <w:instrText>ADDIN CSL_CITATION {"citationItems":[{"id":"ITEM-1","itemData":{"DOI":"10.1287/orsc.2015.1011","ISSN":"1047-7039","abstract":"? 2015 INFORMS.Extant organizational literature argues that straddling institutionalized categories begets an illegitimacy discount, leading organizations to reproduce established categorical boundaries. If gaining legitimacy requires compliance with this \"categorical imperative,\" why do we frequently observe categorical straddling even in uncontested and fully institutionalized categorical structures? To address this question, we propose that de novo (i.e., newly founded) and de alio (i.e., diversifying) organizations respond differently to the categorical imperative. Specifically, de novo organizations are more likely to enter and fit in high-contrast categories than in low-contrast ones, whereas the opposite is true for de alio entrants. To test these hypotheses, we follow technological entry dynamics within the semiconductor industry between 1976 and 2002. Using patent information, we examine how category contrast affects which technological categories de novo and de alio organizations enter, and the performance associated with those entry events. A comprehensive set of empirical analyses lend support to our hypotheses. Besides clarifying the link between the categorical imperative and structural reproduction, this study bears implications for entrepreneurship and strategy research on entry dynamics.","author":[{"dropping-particle":"","family":"Carnabuci","given":"Gianluca","non-dropping-particle":"","parse-names":false,"suffix":""},{"dropping-particle":"","family":"Operti","given":"Elisa","non-dropping-particle":"","parse-names":false,"suffix":""},{"dropping-particle":"","family":"Kovács","given":"Balázs","non-dropping-particle":"","parse-names":false,"suffix":""}],"container-title":"Organization Science","id":"ITEM-1","issue":"6","issued":{"date-parts":[["2015"]]},"page":"1734-1751","title":"The Categorical Imperative and Structural Reproduction: Dynamics of Technological Entry in the Semiconductor Industry","type":"article-journal","volume":"26"},"uris":["http://www.mendeley.com/documents/?uuid=99db9771-a235-47e3-b686-b01302650fef"]},{"id":"ITEM-2","itemData":{"DOI":"10.1177/000312240907400108","ISBN":"0003122409","ISSN":"0003-1224","PMID":"36450215","abstract":"This article examines the effects of market specialization on economic and social outcomes. Integrating two perspectives, we explore why products that span multiple categories suffer social and economic disadvantages. According to the audience-side perspective, audience members refer to established categories to make sense of products. Products that incorporate features from multiple categories are perceived to be poor fits with category expectations and less appealing than category specialists. The producer-side view holds that spanning categories reduces one’s ability to effectively target each category’s audience, which decreases appeal to audience members. Rather than treating these as rival explanations, we propose that both processes matter and offer a systematic, integrated account of how penalties arise as a consequence of audience-side and producer-side processes. We analyze data from two dissimilar contexts, eBay auctions and U.S. feature-film projects, to test the central implications of our theory. Together, these tests provide support for our integrated approach and suggest that both processes contribute to the penalties associated with category spanning.","author":[{"dropping-particle":"","family":"Hsu","given":"G.","non-dropping-particle":"","parse-names":false,"suffix":""},{"dropping-particle":"","family":"Hannan","given":"M. T.","non-dropping-particle":"","parse-names":false,"suffix":""},{"dropping-particle":"","family":"Kocak","given":"O.","non-dropping-particle":"","parse-names":false,"suffix":""}],"container-title":"American Sociological Review","id":"ITEM-2","issue":"1","issued":{"date-parts":[["2009"]]},"page":"150-169","title":"Multiple category memberships in markets: An integrative theory and two empirical tests","type":"article-journal","volume":"74"},"uris":["http://www.mendeley.com/documents/?uuid=35e817e0-13de-45e7-a170-00efe3cfe8dd"]},{"id":"ITEM-3","itemData":{"DOI":"10.1111/joms.12044","ISBN":"0022-2380","ISSN":"00222380","abstract":"This paper offers a systematic review of the literature on organizational categories and categorization published in the last 14 years (1999–2012). After identifying a core of roughly 100 papers on categories that appeared in management, organization, and sociology journals, we classified them based on several key dimensions, and analysed a few trends within the categorization literature. Our most surprising finding may be the fact that until recently, there was no mutual recognition of the existence of a distinct ‘literature on categories’ despite the wealth of published material on the topic. After summarizing some core theoretical features of that emergent literature, we propose integrative definitions of its core constructs and suggest several areas of research that could further enrich it in the future.","author":[{"dropping-particle":"","family":"Vergne","given":"J. P.","non-dropping-particle":"","parse-names":false,"suffix":""},{"dropping-particle":"","family":"Wry","given":"Tyler","non-dropping-particle":"","parse-names":false,"suffix":""}],"container-title":"Journal of Management Studies","id":"ITEM-3","issue":"1","issued":{"date-parts":[["2014"]]},"page":"56-94","title":"Categorizing categorization research: Review, integration, and future directions","type":"article-journal","volume":"51"},"uris":["http://www.mendeley.com/documents/?uuid=4502695d-4b9b-4595-a616-9ef373fe6f23"]},{"id":"ITEM-4","itemData":{"DOI":"10.5465/amd.2016.0161","abstract":"Based on a qualitative interview study and on a quantitative survey among users of the room-sharing platform Airbnb, we show that situational closeness between sharing economy consumers and providers may prompt instances of interpersonal contamination which in turn negatively impact reviewer behavior and intention to engage in room sharing in the future. However, we also show that authenticity plays a significant alleviating role in shaping such closeness perceptions. Users whose sense of authenticity is evoked in their sharing experiences are significantly less bothered by negative instances of interpersonal closeness and are thus more liable to use sharing services. Our results point to the integral nature of both authenticity and the invocation of notions ofauthenticity for sharing business models who are reliant, by their very nature, on alleviating the imperfections of amateur production.","author":[{"dropping-particle":"","family":"Bucher","given":"Eliane","non-dropping-particle":"","parse-names":false,"suffix":""},{"dropping-particle":"","family":"Fieseler","given":"Christian","non-dropping-particle":"","parse-names":false,"suffix":""},{"dropping-particle":"","family":"Fleck","given":"Matthes","non-dropping-particle":"","parse-names":false,"suffix":""},{"dropping-particle":"","family":"Lutz","given":"Christoph","non-dropping-particle":"","parse-names":false,"suffix":""}],"container-title":"Academy of Management Discoveries","id":"ITEM-4","issue":"3","issued":{"date-parts":[["2018"]]},"page":"294-313","title":"Authenticity and the Sharing Economy","type":"article-journal","volume":"4"},"uris":["http://www.mendeley.com/documents/?uuid=62afe73d-8b02-4ca9-9a61-b37d3b29e1be"]}],"mendeley":{"formattedCitation":"(Bucher et al., 2018; Carnabuci et al., 2015; Hsu et al., 2009; Vergne &amp; Wry, 2014)","manualFormatting":"(Bucher et al., 2018; Carnabuci et al., 2015; Hsu et al., 2009; Vergne &amp; Wry, 2014)","plainTextFormattedCitation":"(Bucher et al., 2018; Carnabuci et al., 2015; Hsu et al., 2009; Vergne &amp; Wry, 2014)","previouslyFormattedCitation":"(Bucher et al., 2018; Carnabuci et al., 2015; Hsu et al., 2009; Vergne &amp; Wry, 2014)"},"properties":{"noteIndex":0},"schema":"https://github.com/citation-style-language/schema/raw/master/csl-citation.json"}</w:instrText>
      </w:r>
      <w:r w:rsidR="00F01D23" w:rsidRPr="00101A2A">
        <w:fldChar w:fldCharType="separate"/>
      </w:r>
      <w:r w:rsidR="005242E8" w:rsidRPr="00101A2A">
        <w:rPr>
          <w:noProof/>
        </w:rPr>
        <w:t>(Bucher et al.</w:t>
      </w:r>
      <w:r w:rsidR="00A7664D" w:rsidRPr="00101A2A">
        <w:rPr>
          <w:noProof/>
        </w:rPr>
        <w:t>,</w:t>
      </w:r>
      <w:r w:rsidR="005242E8" w:rsidRPr="00101A2A">
        <w:rPr>
          <w:noProof/>
        </w:rPr>
        <w:t xml:space="preserve"> 2018</w:t>
      </w:r>
      <w:r w:rsidR="00A7664D" w:rsidRPr="00101A2A">
        <w:rPr>
          <w:noProof/>
        </w:rPr>
        <w:t>;</w:t>
      </w:r>
      <w:r w:rsidR="005242E8" w:rsidRPr="00101A2A">
        <w:rPr>
          <w:noProof/>
        </w:rPr>
        <w:t xml:space="preserve"> Carnabuci et al.</w:t>
      </w:r>
      <w:r w:rsidR="00A7664D" w:rsidRPr="00101A2A">
        <w:rPr>
          <w:noProof/>
        </w:rPr>
        <w:t>,</w:t>
      </w:r>
      <w:r w:rsidR="005242E8" w:rsidRPr="00101A2A">
        <w:rPr>
          <w:noProof/>
        </w:rPr>
        <w:t xml:space="preserve"> 2015</w:t>
      </w:r>
      <w:r w:rsidR="00A7664D" w:rsidRPr="00101A2A">
        <w:rPr>
          <w:noProof/>
        </w:rPr>
        <w:t>;</w:t>
      </w:r>
      <w:r w:rsidR="005242E8" w:rsidRPr="00101A2A">
        <w:rPr>
          <w:noProof/>
        </w:rPr>
        <w:t xml:space="preserve"> Hsu et al.</w:t>
      </w:r>
      <w:r w:rsidR="00A7664D" w:rsidRPr="00101A2A">
        <w:rPr>
          <w:noProof/>
        </w:rPr>
        <w:t>,</w:t>
      </w:r>
      <w:r w:rsidR="005242E8" w:rsidRPr="00101A2A">
        <w:rPr>
          <w:noProof/>
        </w:rPr>
        <w:t xml:space="preserve"> 2009</w:t>
      </w:r>
      <w:r w:rsidR="00A7664D" w:rsidRPr="00101A2A">
        <w:rPr>
          <w:noProof/>
        </w:rPr>
        <w:t>;</w:t>
      </w:r>
      <w:r w:rsidR="005242E8" w:rsidRPr="00101A2A">
        <w:rPr>
          <w:noProof/>
        </w:rPr>
        <w:t xml:space="preserve"> Vergne </w:t>
      </w:r>
      <w:r w:rsidR="00A7664D" w:rsidRPr="00101A2A">
        <w:rPr>
          <w:noProof/>
        </w:rPr>
        <w:t>&amp;</w:t>
      </w:r>
      <w:r w:rsidR="005242E8" w:rsidRPr="00101A2A">
        <w:rPr>
          <w:noProof/>
        </w:rPr>
        <w:t xml:space="preserve"> Wry</w:t>
      </w:r>
      <w:r w:rsidR="00A7664D" w:rsidRPr="00101A2A">
        <w:rPr>
          <w:noProof/>
        </w:rPr>
        <w:t>,</w:t>
      </w:r>
      <w:r w:rsidR="005242E8" w:rsidRPr="00101A2A">
        <w:rPr>
          <w:noProof/>
        </w:rPr>
        <w:t xml:space="preserve"> 2014)</w:t>
      </w:r>
      <w:r w:rsidR="00F01D23" w:rsidRPr="00101A2A">
        <w:fldChar w:fldCharType="end"/>
      </w:r>
      <w:r w:rsidR="00F01D23" w:rsidRPr="00101A2A">
        <w:t xml:space="preserve"> </w:t>
      </w:r>
      <w:r w:rsidR="00733445" w:rsidRPr="00101A2A">
        <w:rPr>
          <w:rStyle w:val="Emphasis"/>
          <w:i w:val="0"/>
          <w:iCs/>
        </w:rPr>
        <w:t xml:space="preserve">and thus allow a crisper differentiation between </w:t>
      </w:r>
      <w:r w:rsidR="00732359" w:rsidRPr="00101A2A">
        <w:t>spanners</w:t>
      </w:r>
      <w:r w:rsidR="00733445" w:rsidRPr="00101A2A">
        <w:rPr>
          <w:rStyle w:val="Emphasis"/>
          <w:i w:val="0"/>
          <w:iCs/>
        </w:rPr>
        <w:t xml:space="preserve"> and prototypical hosts in Airbnb.</w:t>
      </w:r>
      <w:r w:rsidR="0011241B" w:rsidRPr="00101A2A">
        <w:rPr>
          <w:rStyle w:val="Emphasis"/>
          <w:i w:val="0"/>
          <w:iCs/>
        </w:rPr>
        <w:t xml:space="preserve"> </w:t>
      </w:r>
      <w:r w:rsidR="00F927C6" w:rsidRPr="00101A2A">
        <w:t>S</w:t>
      </w:r>
      <w:r w:rsidR="005C44B2" w:rsidRPr="00101A2A">
        <w:t xml:space="preserve">chemata </w:t>
      </w:r>
      <w:r w:rsidR="00F25536" w:rsidRPr="00101A2A">
        <w:t xml:space="preserve">of </w:t>
      </w:r>
      <w:r w:rsidR="005C44B2" w:rsidRPr="00101A2A">
        <w:t>necessary attributes can be built over</w:t>
      </w:r>
      <w:r w:rsidR="00F927C6" w:rsidRPr="00101A2A">
        <w:t xml:space="preserve"> </w:t>
      </w:r>
      <w:r w:rsidR="005C44B2" w:rsidRPr="00101A2A">
        <w:t xml:space="preserve">time by the </w:t>
      </w:r>
      <w:r w:rsidR="00E6723B" w:rsidRPr="00101A2A">
        <w:t>actors</w:t>
      </w:r>
      <w:r w:rsidR="005C44B2" w:rsidRPr="00101A2A">
        <w:t xml:space="preserve"> in </w:t>
      </w:r>
      <w:r w:rsidR="00E6723B" w:rsidRPr="00101A2A">
        <w:t>a</w:t>
      </w:r>
      <w:r w:rsidR="005C44B2" w:rsidRPr="00101A2A">
        <w:t xml:space="preserve"> product category </w:t>
      </w:r>
      <w:r w:rsidR="005C44B2" w:rsidRPr="00101A2A">
        <w:fldChar w:fldCharType="begin" w:fldLock="1"/>
      </w:r>
      <w:r w:rsidR="003749C2">
        <w:instrText>ADDIN CSL_CITATION {"citationItems":[{"id":"ITEM-1","itemData":{"DOI":"10.1002/smj","ISBN":"1097-0266","ISSN":"00014273","PMID":"31767271","abstract":"The optimal time to enter emerging industries is a key concern in strategy, yet scholars struggle to create a theoretical foundation that can integrate conflicting empirical findings. We incorporate categorical dynamics to industry life cycle theory to enhance existing entry timing theories. We introduce the concept of a dominant category—the conceptual schema that most stakeholders adhere to when referring to products that address similar needs and compete for the same market space—linking it to the dominant technological design and entry-timing advantages. In particular, we propose the existence of a window of opportunity for firm entry that starts with the emergence of the dominant category and ends with the emergence of the dominant design.","author":[{"dropping-particle":"","family":"Suarez","given":"Fernando F.","non-dropping-particle":"","parse-names":false,"suffix":""},{"dropping-particle":"","family":"Grodal","given":"Stine","non-dropping-particle":"","parse-names":false,"suffix":""},{"dropping-particle":"","family":"Gotsopoulos","given":"Aleksios","non-dropping-particle":"","parse-names":false,"suffix":""}],"container-title":"Strategic Management Journal","id":"ITEM-1","issue":"3","issued":{"date-parts":[["2015"]]},"page":"437-448","title":"Perfect timing? Dominant category, dominant design, and the window of opportunity for firm entry","type":"article-journal","volume":"36"},"uris":["http://www.mendeley.com/documents/?uuid=a979da37-d748-4253-aa90-44f4dfcfbd38"]}],"mendeley":{"formattedCitation":"(Suarez et al., 2015)","manualFormatting":"(Suarez et al., 2015)","plainTextFormattedCitation":"(Suarez et al., 2015)","previouslyFormattedCitation":"(Suarez et al., 2015)"},"properties":{"noteIndex":0},"schema":"https://github.com/citation-style-language/schema/raw/master/csl-citation.json"}</w:instrText>
      </w:r>
      <w:r w:rsidR="005C44B2" w:rsidRPr="00101A2A">
        <w:fldChar w:fldCharType="separate"/>
      </w:r>
      <w:r w:rsidR="005C44B2" w:rsidRPr="00101A2A">
        <w:rPr>
          <w:noProof/>
        </w:rPr>
        <w:t>(Suarez et al.</w:t>
      </w:r>
      <w:r w:rsidR="00A7664D" w:rsidRPr="00101A2A">
        <w:rPr>
          <w:noProof/>
        </w:rPr>
        <w:t>,</w:t>
      </w:r>
      <w:r w:rsidR="005C44B2" w:rsidRPr="00101A2A">
        <w:rPr>
          <w:noProof/>
        </w:rPr>
        <w:t xml:space="preserve"> 2015)</w:t>
      </w:r>
      <w:r w:rsidR="005C44B2" w:rsidRPr="00101A2A">
        <w:fldChar w:fldCharType="end"/>
      </w:r>
      <w:r w:rsidR="005C44B2" w:rsidRPr="00101A2A">
        <w:t xml:space="preserve"> </w:t>
      </w:r>
      <w:r w:rsidR="00E25B34" w:rsidRPr="00101A2A">
        <w:t>and</w:t>
      </w:r>
      <w:r w:rsidR="004C5C6F" w:rsidRPr="00101A2A">
        <w:t xml:space="preserve"> then </w:t>
      </w:r>
      <w:r w:rsidR="00F927C6" w:rsidRPr="00101A2A">
        <w:t>formalized</w:t>
      </w:r>
      <w:r w:rsidR="004C5C6F" w:rsidRPr="00101A2A">
        <w:t xml:space="preserve"> by regulators</w:t>
      </w:r>
      <w:r w:rsidR="005C44B2" w:rsidRPr="00101A2A">
        <w:t xml:space="preserve"> </w:t>
      </w:r>
      <w:r w:rsidR="005C44B2" w:rsidRPr="00101A2A">
        <w:fldChar w:fldCharType="begin" w:fldLock="1"/>
      </w:r>
      <w:r w:rsidR="003749C2">
        <w:instrText>ADDIN CSL_CITATION {"citationItems":[{"id":"ITEM-1","itemData":{"author":[{"dropping-particle":"","family":"Ozcan","given":"Pinar","non-dropping-particle":"","parse-names":false,"suffix":""},{"dropping-particle":"","family":"Gurses","given":"Kerem","non-dropping-particle":"","parse-names":false,"suffix":""}],"container-title":"Academy of Management Journal","id":"ITEM-1","issue":"5","issued":{"date-parts":[["2018"]]},"note":"THIS IS A PRELIMINARY VERSION OF THE PAPER. \nNOT THE FINAL PUBLISHED","page":"1789-1820","title":"Playing cat and mouse: Contests over regulatory categorization of dietary supplements in the US","type":"article-journal","volume":"61"},"uris":["http://www.mendeley.com/documents/?uuid=509029e6-a90f-4f12-a1ac-7db371246093"]}],"mendeley":{"formattedCitation":"(Ozcan &amp; Gurses, 2018)","manualFormatting":"(Ozcan &amp; Gurses, 2018)","plainTextFormattedCitation":"(Ozcan &amp; Gurses, 2018)","previouslyFormattedCitation":"(Ozcan &amp; Gurses, 2018)"},"properties":{"noteIndex":0},"schema":"https://github.com/citation-style-language/schema/raw/master/csl-citation.json"}</w:instrText>
      </w:r>
      <w:r w:rsidR="005C44B2" w:rsidRPr="00101A2A">
        <w:fldChar w:fldCharType="separate"/>
      </w:r>
      <w:r w:rsidR="005C44B2" w:rsidRPr="00101A2A">
        <w:rPr>
          <w:noProof/>
        </w:rPr>
        <w:t xml:space="preserve">(Ozcan </w:t>
      </w:r>
      <w:r w:rsidR="00A7664D" w:rsidRPr="00101A2A">
        <w:rPr>
          <w:noProof/>
        </w:rPr>
        <w:t>&amp;</w:t>
      </w:r>
      <w:r w:rsidR="005C44B2" w:rsidRPr="00101A2A">
        <w:rPr>
          <w:noProof/>
        </w:rPr>
        <w:t xml:space="preserve"> Gurses</w:t>
      </w:r>
      <w:r w:rsidR="00A7664D" w:rsidRPr="00101A2A">
        <w:rPr>
          <w:noProof/>
        </w:rPr>
        <w:t>,</w:t>
      </w:r>
      <w:r w:rsidR="005C44B2" w:rsidRPr="00101A2A">
        <w:rPr>
          <w:noProof/>
        </w:rPr>
        <w:t xml:space="preserve"> 2018)</w:t>
      </w:r>
      <w:r w:rsidR="005C44B2" w:rsidRPr="00101A2A">
        <w:fldChar w:fldCharType="end"/>
      </w:r>
      <w:r w:rsidR="005C44B2" w:rsidRPr="00101A2A">
        <w:t xml:space="preserve">. </w:t>
      </w:r>
    </w:p>
    <w:p w14:paraId="03824860" w14:textId="4DBD9C25" w:rsidR="001A1D3D" w:rsidRPr="00101A2A" w:rsidRDefault="00EC456E" w:rsidP="00D74569">
      <w:r w:rsidRPr="00101A2A">
        <w:t xml:space="preserve">There are two ways in which these regulations may </w:t>
      </w:r>
      <w:r w:rsidR="00DE2CDC" w:rsidRPr="00101A2A">
        <w:t xml:space="preserve">discourage </w:t>
      </w:r>
      <w:r w:rsidR="00732359" w:rsidRPr="00101A2A">
        <w:t>spanners</w:t>
      </w:r>
      <w:r w:rsidR="007F383D" w:rsidRPr="00101A2A" w:rsidDel="007F383D">
        <w:t xml:space="preserve"> </w:t>
      </w:r>
      <w:r w:rsidR="00DE2CDC" w:rsidRPr="00101A2A">
        <w:t>from operating in the SE</w:t>
      </w:r>
      <w:r w:rsidRPr="00101A2A">
        <w:t xml:space="preserve">. </w:t>
      </w:r>
      <w:r w:rsidR="00F927C6" w:rsidRPr="00101A2A">
        <w:t>F</w:t>
      </w:r>
      <w:r w:rsidR="001239FA" w:rsidRPr="00101A2A">
        <w:t>irst</w:t>
      </w:r>
      <w:r w:rsidR="00F927C6" w:rsidRPr="00101A2A">
        <w:t>,</w:t>
      </w:r>
      <w:r w:rsidR="00733445" w:rsidRPr="00101A2A">
        <w:t xml:space="preserve"> </w:t>
      </w:r>
      <w:r w:rsidR="00324B0C" w:rsidRPr="00101A2A">
        <w:t xml:space="preserve">regulations </w:t>
      </w:r>
      <w:r w:rsidRPr="00101A2A">
        <w:t xml:space="preserve">may push </w:t>
      </w:r>
      <w:r w:rsidR="00F927C6" w:rsidRPr="00101A2A">
        <w:t xml:space="preserve">spanners </w:t>
      </w:r>
      <w:r w:rsidRPr="00101A2A">
        <w:t xml:space="preserve">out of the market </w:t>
      </w:r>
      <w:r w:rsidR="00F927C6" w:rsidRPr="00101A2A">
        <w:t>by imposing</w:t>
      </w:r>
      <w:r w:rsidR="00DE2CDC" w:rsidRPr="00101A2A">
        <w:t xml:space="preserve"> requirements </w:t>
      </w:r>
      <w:r w:rsidR="00F927C6" w:rsidRPr="00101A2A">
        <w:t>they cannot meet</w:t>
      </w:r>
      <w:r w:rsidR="00DE2CDC" w:rsidRPr="00101A2A">
        <w:t>.</w:t>
      </w:r>
      <w:r w:rsidR="001A1D3D" w:rsidRPr="00101A2A">
        <w:t xml:space="preserve"> </w:t>
      </w:r>
      <w:r w:rsidR="007F383D" w:rsidRPr="00101A2A">
        <w:t xml:space="preserve">For example, </w:t>
      </w:r>
      <w:r w:rsidR="00F1090D" w:rsidRPr="00101A2A">
        <w:t>regulations</w:t>
      </w:r>
      <w:r w:rsidR="007F383D" w:rsidRPr="00101A2A">
        <w:t xml:space="preserve"> may limit the number of rooms or apartments that a host can manage on the platform, require the host to be present in the apartment for the entire stay of the guest, or allow hosts to rent only their primary residence on the platform</w:t>
      </w:r>
      <w:r w:rsidR="007F383D" w:rsidRPr="00101A2A">
        <w:rPr>
          <w:rStyle w:val="FootnoteReference"/>
        </w:rPr>
        <w:footnoteReference w:id="3"/>
      </w:r>
      <w:r w:rsidR="007F383D" w:rsidRPr="00101A2A">
        <w:t xml:space="preserve"> </w:t>
      </w:r>
      <w:r w:rsidR="007F383D" w:rsidRPr="00101A2A">
        <w:fldChar w:fldCharType="begin" w:fldLock="1"/>
      </w:r>
      <w:r w:rsidR="003749C2">
        <w:instrText>ADDIN CSL_CITATION {"citationItems":[{"id":"ITEM-1","itemData":{"DOI":"10.1080/15480755.2013.766496","ISSN":"15480755","abstract":"The country has been in the midst of an economic recession, leaving many people with the need to supplement their traditional incomes by alternative means. Motivated home owners are leveraging their largest asset by renting out their homes for short periods of time. These homes include single-family residences commonly located in a residential neighborhood or zoning district. This phenomenon is growing rapidly across the country and presenting policy concerns for state and local governments. The explosion of websites allowing home owners to advertise their residential properties for rent has amplified the short-term rental industry. © 2013 Copyright Taylor and Francis Group, LLC.","author":[{"dropping-particle":"","family":"Gottlieb","given":"Charles","non-dropping-particle":"","parse-names":false,"suffix":""}],"container-title":"Planning and Environmental Law","id":"ITEM-1","issue":"2","issued":{"date-parts":[["2013"]]},"page":"4-9","title":"Residential Short-Term Rentals: Should Local Governments Regulate the 'Industry'?","type":"article-journal","volume":"65"},"uris":["http://www.mendeley.com/documents/?uuid=3b805b9e-d038-42fa-9677-578a40bb1e6b"]}],"mendeley":{"formattedCitation":"(Gottlieb, 2013)","manualFormatting":"(for a review of short-term rental regulations, see Gottlieb, 2013)","plainTextFormattedCitation":"(Gottlieb, 2013)","previouslyFormattedCitation":"(Gottlieb, 2013)"},"properties":{"noteIndex":0},"schema":"https://github.com/citation-style-language/schema/raw/master/csl-citation.json"}</w:instrText>
      </w:r>
      <w:r w:rsidR="007F383D" w:rsidRPr="00101A2A">
        <w:fldChar w:fldCharType="separate"/>
      </w:r>
      <w:r w:rsidR="007F383D" w:rsidRPr="00101A2A">
        <w:rPr>
          <w:noProof/>
        </w:rPr>
        <w:t>(</w:t>
      </w:r>
      <w:r w:rsidR="00D60E51" w:rsidRPr="00101A2A">
        <w:rPr>
          <w:noProof/>
        </w:rPr>
        <w:t>f</w:t>
      </w:r>
      <w:r w:rsidR="00BC6728" w:rsidRPr="00101A2A">
        <w:rPr>
          <w:noProof/>
        </w:rPr>
        <w:t>or a review of short-term rental regulations, s</w:t>
      </w:r>
      <w:r w:rsidR="007F383D" w:rsidRPr="00101A2A">
        <w:rPr>
          <w:noProof/>
        </w:rPr>
        <w:t>ee Gottlieb</w:t>
      </w:r>
      <w:r w:rsidR="00BC6728" w:rsidRPr="00101A2A">
        <w:rPr>
          <w:noProof/>
        </w:rPr>
        <w:t>,</w:t>
      </w:r>
      <w:r w:rsidR="007F383D" w:rsidRPr="00101A2A">
        <w:rPr>
          <w:noProof/>
        </w:rPr>
        <w:t xml:space="preserve"> 2013)</w:t>
      </w:r>
      <w:r w:rsidR="007F383D" w:rsidRPr="00101A2A">
        <w:fldChar w:fldCharType="end"/>
      </w:r>
      <w:r w:rsidR="0048546B">
        <w:t>.</w:t>
      </w:r>
      <w:r w:rsidR="00F1090D" w:rsidRPr="00101A2A">
        <w:t xml:space="preserve"> </w:t>
      </w:r>
      <w:r w:rsidR="00734D04" w:rsidRPr="00101A2A">
        <w:t xml:space="preserve">To </w:t>
      </w:r>
      <w:r w:rsidR="00D60E51" w:rsidRPr="00101A2A">
        <w:t>explore</w:t>
      </w:r>
      <w:r w:rsidR="00734D04" w:rsidRPr="00101A2A">
        <w:t xml:space="preserve"> this </w:t>
      </w:r>
      <w:r w:rsidR="00F1090D" w:rsidRPr="00101A2A">
        <w:t>first mechanism</w:t>
      </w:r>
      <w:r w:rsidR="00F85F8F" w:rsidRPr="00101A2A">
        <w:t>,</w:t>
      </w:r>
      <w:r w:rsidR="00F1090D" w:rsidRPr="00101A2A">
        <w:t xml:space="preserve"> </w:t>
      </w:r>
      <w:r w:rsidR="00734D04" w:rsidRPr="00101A2A">
        <w:t xml:space="preserve">we examine </w:t>
      </w:r>
      <w:r w:rsidR="00F1090D" w:rsidRPr="00101A2A">
        <w:t xml:space="preserve">whether </w:t>
      </w:r>
      <w:r w:rsidR="00974CD1" w:rsidRPr="00101A2A">
        <w:t>the</w:t>
      </w:r>
      <w:r w:rsidR="00F1090D" w:rsidRPr="00101A2A">
        <w:t xml:space="preserve"> spanners </w:t>
      </w:r>
      <w:r w:rsidR="00B4247F">
        <w:t>operating on Airbnb after a regulatory change differ from those</w:t>
      </w:r>
      <w:r w:rsidR="00974CD1" w:rsidRPr="00101A2A">
        <w:t xml:space="preserve"> on Airbnb before</w:t>
      </w:r>
      <w:r w:rsidR="00F1090D" w:rsidRPr="00101A2A">
        <w:t>.</w:t>
      </w:r>
    </w:p>
    <w:p w14:paraId="2AFA7FAE" w14:textId="287F2F81" w:rsidR="00A5209B" w:rsidRPr="00101A2A" w:rsidRDefault="00DE2CDC" w:rsidP="00E25B34">
      <w:pPr>
        <w:rPr>
          <w:iCs/>
        </w:rPr>
      </w:pPr>
      <w:r w:rsidRPr="00101A2A">
        <w:lastRenderedPageBreak/>
        <w:t xml:space="preserve">Second, </w:t>
      </w:r>
      <w:r w:rsidR="00885CAD" w:rsidRPr="00101A2A">
        <w:t>regulat</w:t>
      </w:r>
      <w:r w:rsidR="00E736E5" w:rsidRPr="00101A2A">
        <w:t>ions</w:t>
      </w:r>
      <w:r w:rsidR="00885CAD" w:rsidRPr="00101A2A">
        <w:t xml:space="preserve"> </w:t>
      </w:r>
      <w:r w:rsidR="00E736E5" w:rsidRPr="00101A2A">
        <w:t xml:space="preserve">may </w:t>
      </w:r>
      <w:r w:rsidR="00733445" w:rsidRPr="00101A2A">
        <w:t>have an indirect effect</w:t>
      </w:r>
      <w:r w:rsidR="00734D04" w:rsidRPr="00101A2A">
        <w:t xml:space="preserve"> by</w:t>
      </w:r>
      <w:r w:rsidR="00094628" w:rsidRPr="00101A2A">
        <w:t xml:space="preserve"> </w:t>
      </w:r>
      <w:r w:rsidR="00094628" w:rsidRPr="00101A2A">
        <w:rPr>
          <w:rStyle w:val="Emphasis"/>
          <w:i w:val="0"/>
          <w:iCs/>
        </w:rPr>
        <w:t>shap</w:t>
      </w:r>
      <w:r w:rsidR="00734D04" w:rsidRPr="00101A2A">
        <w:rPr>
          <w:rStyle w:val="Emphasis"/>
          <w:i w:val="0"/>
          <w:iCs/>
        </w:rPr>
        <w:t>ing</w:t>
      </w:r>
      <w:r w:rsidR="00094628" w:rsidRPr="00101A2A">
        <w:rPr>
          <w:rStyle w:val="Emphasis"/>
          <w:i w:val="0"/>
          <w:iCs/>
        </w:rPr>
        <w:t xml:space="preserve"> consumers’ perceptions about atypical hosts</w:t>
      </w:r>
      <w:r w:rsidR="000512FC" w:rsidRPr="00101A2A">
        <w:t>.</w:t>
      </w:r>
      <w:r w:rsidR="00960605" w:rsidRPr="00101A2A">
        <w:t xml:space="preserve"> Policymakers</w:t>
      </w:r>
      <w:r w:rsidR="00922B80" w:rsidRPr="00101A2A">
        <w:t xml:space="preserve">, </w:t>
      </w:r>
      <w:r w:rsidR="008844AB" w:rsidRPr="00101A2A">
        <w:t>as</w:t>
      </w:r>
      <w:r w:rsidR="00960605" w:rsidRPr="00101A2A">
        <w:t xml:space="preserve"> authoritative third parties in the </w:t>
      </w:r>
      <w:r w:rsidR="00C7691C" w:rsidRPr="00101A2A">
        <w:t>industry</w:t>
      </w:r>
      <w:r w:rsidR="00847608" w:rsidRPr="00101A2A">
        <w:t>,</w:t>
      </w:r>
      <w:r w:rsidR="00C7691C" w:rsidRPr="00101A2A">
        <w:t xml:space="preserve"> </w:t>
      </w:r>
      <w:r w:rsidR="00094628" w:rsidRPr="00101A2A">
        <w:t xml:space="preserve">can </w:t>
      </w:r>
      <w:r w:rsidR="00734D04" w:rsidRPr="00101A2A">
        <w:t xml:space="preserve">impose </w:t>
      </w:r>
      <w:r w:rsidR="00960605" w:rsidRPr="00101A2A">
        <w:t xml:space="preserve">legal requirements </w:t>
      </w:r>
      <w:r w:rsidR="00734D04" w:rsidRPr="00101A2A">
        <w:t xml:space="preserve">on </w:t>
      </w:r>
      <w:r w:rsidR="00D60E51" w:rsidRPr="00101A2A">
        <w:t>actors</w:t>
      </w:r>
      <w:r w:rsidR="00960605" w:rsidRPr="00101A2A">
        <w:t xml:space="preserve"> in the emerging product category </w:t>
      </w:r>
      <w:r w:rsidR="00960605" w:rsidRPr="00101A2A">
        <w:fldChar w:fldCharType="begin" w:fldLock="1"/>
      </w:r>
      <w:r w:rsidR="003749C2">
        <w:instrText>ADDIN CSL_CITATION {"citationItems":[{"id":"ITEM-1","itemData":{"DOI":"10.1287/orsc.2017.1126","ISBN":"1047-7039","ISSN":"1047-7039","abstract":"Although existing research has demonstrated the importance of attaining legit- imacy for new market categories, few scholars have considered the trade-offs associated with such actions. Using the U.S. organic food product category as a context, we explore how one standards-based certification organization—the California Certified Organic Farmers (CCOF)—sought to balance efforts to legitimate a nascent market category with retaining a shared, distinctive identity among its members. Our findings suggest that legitimacy-seeking behaviors undertaken by the standards organization diluted the ini- tial collective identity and founding ethos of its membership. However, by shifting the meaning of “organic” from the producer to the product, CCOFwas able to strengthen the categorical boundary, thereby enhancing its legitimacy. By showing howthe organization managed the associated trade-offs, this study highlights the double-edged nature of legit- imacy and offers important implications for the literatures on legitimacy and new market category formation","author":[{"dropping-particle":"","family":"Lee","given":"Brandon H","non-dropping-particle":"","parse-names":false,"suffix":""},{"dropping-particle":"","family":"Hiatt","given":"Shon R","non-dropping-particle":"","parse-names":false,"suffix":""},{"dropping-particle":"","family":"Lounsbury","given":"Michael","non-dropping-particle":"","parse-names":false,"suffix":""}],"container-title":"Organization Science","id":"ITEM-1","issue":"28","issued":{"date-parts":[["2017"]]},"page":"447-470","title":"Market Mediators and the Trade-offs of Legitimacy- Seeking Behaviors in a Nascent Category Market Mediators and the Trade-offs of Legitimacy-Seeking Behaviors in a Nascent Category","type":"article-journal","volume":"3"},"uris":["http://www.mendeley.com/documents/?uuid=a7021775-2b94-4c18-b8e2-bbfd05983f39"]},{"id":"ITEM-2","itemData":{"author":[{"dropping-particle":"","family":"Ozcan","given":"Pinar","non-dropping-particle":"","parse-names":false,"suffix":""},{"dropping-particle":"","family":"Gurses","given":"Kerem","non-dropping-particle":"","parse-names":false,"suffix":""}],"container-title":"Academy of Management Journal","id":"ITEM-2","issue":"5","issued":{"date-parts":[["2018"]]},"note":"THIS IS A PRELIMINARY VERSION OF THE PAPER. \nNOT THE FINAL PUBLISHED","page":"1789-1820","title":"Playing cat and mouse: Contests over regulatory categorization of dietary supplements in the US","type":"article-journal","volume":"61"},"uris":["http://www.mendeley.com/documents/?uuid=509029e6-a90f-4f12-a1ac-7db371246093"]}],"mendeley":{"formattedCitation":"(Lee, Hiatt, &amp; Lounsbury, 2017; Ozcan &amp; Gurses, 2018)","manualFormatting":"(Lee, Hiatt, &amp; Lounsbury, 2017; Ozcan &amp; Gurses, 2018)","plainTextFormattedCitation":"(Lee, Hiatt, &amp; Lounsbury, 2017; Ozcan &amp; Gurses, 2018)","previouslyFormattedCitation":"(Lee, Hiatt, &amp; Lounsbury, 2017; Ozcan &amp; Gurses, 2018)"},"properties":{"noteIndex":0},"schema":"https://github.com/citation-style-language/schema/raw/master/csl-citation.json"}</w:instrText>
      </w:r>
      <w:r w:rsidR="00960605" w:rsidRPr="00101A2A">
        <w:fldChar w:fldCharType="separate"/>
      </w:r>
      <w:r w:rsidR="0051276F" w:rsidRPr="00101A2A">
        <w:rPr>
          <w:noProof/>
        </w:rPr>
        <w:t>(Lee</w:t>
      </w:r>
      <w:r w:rsidR="00A7664D" w:rsidRPr="00101A2A">
        <w:rPr>
          <w:noProof/>
        </w:rPr>
        <w:t>, Hiatt, &amp; Lounsbury,</w:t>
      </w:r>
      <w:r w:rsidR="0051276F" w:rsidRPr="00101A2A">
        <w:rPr>
          <w:noProof/>
        </w:rPr>
        <w:t xml:space="preserve"> 2017</w:t>
      </w:r>
      <w:r w:rsidR="00A7664D" w:rsidRPr="00101A2A">
        <w:rPr>
          <w:noProof/>
        </w:rPr>
        <w:t>;</w:t>
      </w:r>
      <w:r w:rsidR="0051276F" w:rsidRPr="00101A2A">
        <w:rPr>
          <w:noProof/>
        </w:rPr>
        <w:t xml:space="preserve"> Ozcan </w:t>
      </w:r>
      <w:r w:rsidR="00A7664D" w:rsidRPr="00101A2A">
        <w:rPr>
          <w:noProof/>
        </w:rPr>
        <w:t>&amp;</w:t>
      </w:r>
      <w:r w:rsidR="0051276F" w:rsidRPr="00101A2A">
        <w:rPr>
          <w:noProof/>
        </w:rPr>
        <w:t xml:space="preserve"> Gurses</w:t>
      </w:r>
      <w:r w:rsidR="00A7664D" w:rsidRPr="00101A2A">
        <w:rPr>
          <w:noProof/>
        </w:rPr>
        <w:t>,</w:t>
      </w:r>
      <w:r w:rsidR="0051276F" w:rsidRPr="00101A2A">
        <w:rPr>
          <w:noProof/>
        </w:rPr>
        <w:t xml:space="preserve"> 2018)</w:t>
      </w:r>
      <w:r w:rsidR="00960605" w:rsidRPr="00101A2A">
        <w:fldChar w:fldCharType="end"/>
      </w:r>
      <w:r w:rsidR="00734D04" w:rsidRPr="00101A2A">
        <w:t xml:space="preserve"> and</w:t>
      </w:r>
      <w:r w:rsidR="00922B80" w:rsidRPr="00101A2A">
        <w:t xml:space="preserve"> </w:t>
      </w:r>
      <w:r w:rsidR="00734D04" w:rsidRPr="00101A2A">
        <w:t>t</w:t>
      </w:r>
      <w:r w:rsidR="00094628" w:rsidRPr="00101A2A">
        <w:t>hus</w:t>
      </w:r>
      <w:r w:rsidR="00C970F8" w:rsidRPr="00101A2A">
        <w:t xml:space="preserve"> </w:t>
      </w:r>
      <w:r w:rsidR="00F01D23" w:rsidRPr="00101A2A">
        <w:t>facilitate differentiation between prototypical hosts and atypical hosts</w:t>
      </w:r>
      <w:r w:rsidR="00094628" w:rsidRPr="00101A2A">
        <w:t>. Th</w:t>
      </w:r>
      <w:r w:rsidR="00737AEC">
        <w:t>e</w:t>
      </w:r>
      <w:r w:rsidR="00094628" w:rsidRPr="00101A2A">
        <w:t xml:space="preserve"> crisper definition of the product category can </w:t>
      </w:r>
      <w:r w:rsidR="00F96E8F" w:rsidRPr="00101A2A">
        <w:t xml:space="preserve">cause </w:t>
      </w:r>
      <w:r w:rsidR="00787A67" w:rsidRPr="00101A2A">
        <w:t>consumer</w:t>
      </w:r>
      <w:r w:rsidR="00094628" w:rsidRPr="00101A2A">
        <w:t xml:space="preserve">s </w:t>
      </w:r>
      <w:r w:rsidR="00F96E8F" w:rsidRPr="00101A2A">
        <w:t xml:space="preserve">to </w:t>
      </w:r>
      <w:r w:rsidR="00094628" w:rsidRPr="00101A2A">
        <w:t>identif</w:t>
      </w:r>
      <w:r w:rsidR="00F96E8F" w:rsidRPr="00101A2A">
        <w:t>y</w:t>
      </w:r>
      <w:r w:rsidR="00094628" w:rsidRPr="00101A2A">
        <w:t xml:space="preserve"> spanners as atypical</w:t>
      </w:r>
      <w:r w:rsidR="00F96E8F" w:rsidRPr="00101A2A">
        <w:t xml:space="preserve"> and less</w:t>
      </w:r>
      <w:r w:rsidR="00094628" w:rsidRPr="00101A2A">
        <w:t xml:space="preserve"> appeal</w:t>
      </w:r>
      <w:r w:rsidR="00F96E8F" w:rsidRPr="00101A2A">
        <w:t>ing</w:t>
      </w:r>
      <w:r w:rsidR="00094628" w:rsidRPr="00101A2A">
        <w:t xml:space="preserve"> </w:t>
      </w:r>
      <w:r w:rsidR="00094628" w:rsidRPr="00101A2A">
        <w:fldChar w:fldCharType="begin" w:fldLock="1"/>
      </w:r>
      <w:r w:rsidR="003749C2">
        <w:instrText>ADDIN CSL_CITATION {"citationItems":[{"id":"ITEM-1","itemData":{"DOI":"10.5465/amd.2016.0161","abstract":"Based on a qualitative interview study and on a quantitative survey among users of the room-sharing platform Airbnb, we show that situational closeness between sharing economy consumers and providers may prompt instances of interpersonal contamination which in turn negatively impact reviewer behavior and intention to engage in room sharing in the future. However, we also show that authenticity plays a significant alleviating role in shaping such closeness perceptions. Users whose sense of authenticity is evoked in their sharing experiences are significantly less bothered by negative instances of interpersonal closeness and are thus more liable to use sharing services. Our results point to the integral nature of both authenticity and the invocation of notions ofauthenticity for sharing business models who are reliant, by their very nature, on alleviating the imperfections of amateur production.","author":[{"dropping-particle":"","family":"Bucher","given":"Eliane","non-dropping-particle":"","parse-names":false,"suffix":""},{"dropping-particle":"","family":"Fieseler","given":"Christian","non-dropping-particle":"","parse-names":false,"suffix":""},{"dropping-particle":"","family":"Fleck","given":"Matthes","non-dropping-particle":"","parse-names":false,"suffix":""},{"dropping-particle":"","family":"Lutz","given":"Christoph","non-dropping-particle":"","parse-names":false,"suffix":""}],"container-title":"Academy of Management Discoveries","id":"ITEM-1","issue":"3","issued":{"date-parts":[["2018"]]},"page":"294-313","title":"Authenticity and the Sharing Economy","type":"article-journal","volume":"4"},"uris":["http://www.mendeley.com/documents/?uuid=62afe73d-8b02-4ca9-9a61-b37d3b29e1be"]}],"mendeley":{"formattedCitation":"(Bucher et al., 2018)","manualFormatting":"(Bucher et al., 2018)","plainTextFormattedCitation":"(Bucher et al., 2018)","previouslyFormattedCitation":"(Bucher et al., 2018)"},"properties":{"noteIndex":0},"schema":"https://github.com/citation-style-language/schema/raw/master/csl-citation.json"}</w:instrText>
      </w:r>
      <w:r w:rsidR="00094628" w:rsidRPr="00101A2A">
        <w:fldChar w:fldCharType="separate"/>
      </w:r>
      <w:r w:rsidR="00056834" w:rsidRPr="00101A2A">
        <w:rPr>
          <w:noProof/>
        </w:rPr>
        <w:t>(Bucher et al.</w:t>
      </w:r>
      <w:r w:rsidR="00A7664D" w:rsidRPr="00101A2A">
        <w:rPr>
          <w:noProof/>
        </w:rPr>
        <w:t>,</w:t>
      </w:r>
      <w:r w:rsidR="00056834" w:rsidRPr="00101A2A">
        <w:rPr>
          <w:noProof/>
        </w:rPr>
        <w:t xml:space="preserve"> 2018)</w:t>
      </w:r>
      <w:r w:rsidR="00094628" w:rsidRPr="00101A2A">
        <w:fldChar w:fldCharType="end"/>
      </w:r>
      <w:r w:rsidR="00094628" w:rsidRPr="00101A2A">
        <w:t>.</w:t>
      </w:r>
      <w:r w:rsidR="00F1090D" w:rsidRPr="00101A2A">
        <w:t xml:space="preserve"> </w:t>
      </w:r>
      <w:r w:rsidR="00551D71">
        <w:t>T</w:t>
      </w:r>
      <w:r w:rsidR="00F96E8F" w:rsidRPr="00101A2A">
        <w:t xml:space="preserve">o </w:t>
      </w:r>
      <w:r w:rsidR="00D60E51" w:rsidRPr="00101A2A">
        <w:t>explore</w:t>
      </w:r>
      <w:r w:rsidR="00F96E8F" w:rsidRPr="00101A2A">
        <w:t xml:space="preserve"> this second mechanism, </w:t>
      </w:r>
      <w:r w:rsidR="00E25B34" w:rsidRPr="00101A2A">
        <w:t xml:space="preserve">we </w:t>
      </w:r>
      <w:r w:rsidR="00D60E51" w:rsidRPr="00101A2A">
        <w:t>examine</w:t>
      </w:r>
      <w:r w:rsidR="00E25B34" w:rsidRPr="00101A2A">
        <w:t xml:space="preserve"> </w:t>
      </w:r>
      <w:r w:rsidR="007D7F6C" w:rsidRPr="00101A2A">
        <w:t>the effect of</w:t>
      </w:r>
      <w:r w:rsidR="00E25B34" w:rsidRPr="00101A2A">
        <w:t xml:space="preserve"> regulations </w:t>
      </w:r>
      <w:r w:rsidR="007D7F6C" w:rsidRPr="00101A2A">
        <w:t xml:space="preserve">on </w:t>
      </w:r>
      <w:r w:rsidR="00A623C1">
        <w:t>consumer</w:t>
      </w:r>
      <w:r w:rsidR="007D7F6C" w:rsidRPr="00101A2A">
        <w:t xml:space="preserve">s’ appreciation of </w:t>
      </w:r>
      <w:r w:rsidR="00B4247F">
        <w:t>SE's spanners and</w:t>
      </w:r>
      <w:r w:rsidR="00E25B34" w:rsidRPr="00101A2A">
        <w:t xml:space="preserve"> </w:t>
      </w:r>
      <w:r w:rsidR="00E25B34" w:rsidRPr="00101A2A">
        <w:rPr>
          <w:rStyle w:val="Emphasis"/>
          <w:i w:val="0"/>
          <w:iCs/>
        </w:rPr>
        <w:t xml:space="preserve">the price of real estate </w:t>
      </w:r>
      <w:r w:rsidR="00E25B34" w:rsidRPr="00101A2A">
        <w:t>properties</w:t>
      </w:r>
      <w:r w:rsidR="00E25B34" w:rsidRPr="00101A2A">
        <w:rPr>
          <w:rStyle w:val="Emphasis"/>
          <w:i w:val="0"/>
          <w:iCs/>
        </w:rPr>
        <w:t xml:space="preserve">. </w:t>
      </w:r>
    </w:p>
    <w:p w14:paraId="72D70835" w14:textId="4BAB0D8A" w:rsidR="00F74DE0" w:rsidRPr="00101A2A" w:rsidRDefault="00F74DE0" w:rsidP="00F26AE7">
      <w:pPr>
        <w:pStyle w:val="Heading1"/>
        <w:rPr>
          <w:lang w:val="en-US"/>
        </w:rPr>
      </w:pPr>
      <w:r w:rsidRPr="00101A2A">
        <w:rPr>
          <w:lang w:val="en-US"/>
        </w:rPr>
        <w:t xml:space="preserve">Data and </w:t>
      </w:r>
      <w:r w:rsidR="00CB0598" w:rsidRPr="00101A2A">
        <w:rPr>
          <w:lang w:val="en-US"/>
        </w:rPr>
        <w:t>METHOD</w:t>
      </w:r>
    </w:p>
    <w:p w14:paraId="1D30140F" w14:textId="219346D1" w:rsidR="00AE2001" w:rsidRPr="00101A2A" w:rsidRDefault="002E3C61" w:rsidP="00DE1E3E">
      <w:r w:rsidRPr="00101A2A">
        <w:t>To explore how consumers and regulators</w:t>
      </w:r>
      <w:r w:rsidR="00F96E8F" w:rsidRPr="00101A2A">
        <w:t xml:space="preserve"> </w:t>
      </w:r>
      <w:r w:rsidRPr="00101A2A">
        <w:t>can shape the effect of Airbnb spanner hosts on real estate prices, w</w:t>
      </w:r>
      <w:r w:rsidR="00DE0E8E" w:rsidRPr="00101A2A">
        <w:t>e analyze</w:t>
      </w:r>
      <w:r w:rsidR="002913BE">
        <w:t>d</w:t>
      </w:r>
      <w:r w:rsidR="00DE0E8E" w:rsidRPr="00101A2A">
        <w:t xml:space="preserve"> the population of Airbnb </w:t>
      </w:r>
      <w:r w:rsidR="008F5FE8" w:rsidRPr="00101A2A">
        <w:t>hosts</w:t>
      </w:r>
      <w:r w:rsidR="00DE0E8E" w:rsidRPr="00101A2A">
        <w:t xml:space="preserve"> </w:t>
      </w:r>
      <w:r w:rsidR="007335C0" w:rsidRPr="00101A2A">
        <w:t>since Airbnb</w:t>
      </w:r>
      <w:r w:rsidR="00F96E8F" w:rsidRPr="00101A2A">
        <w:t>’s</w:t>
      </w:r>
      <w:r w:rsidR="007335C0" w:rsidRPr="00101A2A">
        <w:t xml:space="preserve"> establishment in August 2008</w:t>
      </w:r>
      <w:r w:rsidR="00554730" w:rsidRPr="00101A2A">
        <w:t xml:space="preserve"> </w:t>
      </w:r>
      <w:r w:rsidR="00DE0E8E" w:rsidRPr="00101A2A">
        <w:t>in 1</w:t>
      </w:r>
      <w:r w:rsidR="00C64E5A" w:rsidRPr="00101A2A">
        <w:t>0</w:t>
      </w:r>
      <w:r w:rsidR="007D682E" w:rsidRPr="00101A2A">
        <w:t xml:space="preserve"> major</w:t>
      </w:r>
      <w:r w:rsidR="00DE0E8E" w:rsidRPr="00101A2A">
        <w:t xml:space="preserve"> </w:t>
      </w:r>
      <w:r w:rsidR="00F96E8F" w:rsidRPr="00101A2A">
        <w:t xml:space="preserve">U.S. </w:t>
      </w:r>
      <w:r w:rsidR="00DE0E8E" w:rsidRPr="00101A2A">
        <w:t>cities</w:t>
      </w:r>
      <w:r w:rsidR="00FD2C86" w:rsidRPr="00101A2A">
        <w:t xml:space="preserve">: Austin, Boston, Chicago, Los Angeles, Nashville, New York, Portland, San Francisco, Santa Cruz, and Washington D.C. This collection of data from multiple geographical areas increases the institutional variability of our sample. To </w:t>
      </w:r>
      <w:r w:rsidR="007D682E" w:rsidRPr="00101A2A">
        <w:t>limit noise in the data</w:t>
      </w:r>
      <w:r w:rsidR="00FD2C86" w:rsidRPr="00101A2A">
        <w:t xml:space="preserve">, we </w:t>
      </w:r>
      <w:r w:rsidR="001F0C54" w:rsidRPr="00101A2A">
        <w:t>stop</w:t>
      </w:r>
      <w:r w:rsidR="00565493">
        <w:t>ped</w:t>
      </w:r>
      <w:r w:rsidR="001F0C54" w:rsidRPr="00101A2A">
        <w:t xml:space="preserve"> data collection in 2015, before micro-entrepreneurs began to use SE platforms (Tae</w:t>
      </w:r>
      <w:r w:rsidR="00A7664D" w:rsidRPr="00101A2A">
        <w:t>, Luo, &amp; Lin,</w:t>
      </w:r>
      <w:r w:rsidR="001F0C54" w:rsidRPr="00101A2A">
        <w:t xml:space="preserve"> 2020). </w:t>
      </w:r>
      <w:r w:rsidR="005D62FF" w:rsidRPr="00101A2A">
        <w:t>In October 2015, w</w:t>
      </w:r>
      <w:r w:rsidR="00DE0E8E" w:rsidRPr="00101A2A">
        <w:t>e collect</w:t>
      </w:r>
      <w:r w:rsidR="005D62FF" w:rsidRPr="00101A2A">
        <w:t>ed</w:t>
      </w:r>
      <w:r w:rsidR="00DE0E8E" w:rsidRPr="00101A2A">
        <w:t xml:space="preserve"> data on Airbnb hosts</w:t>
      </w:r>
      <w:r w:rsidR="005D62FF" w:rsidRPr="00101A2A">
        <w:t xml:space="preserve"> and their listings’ features</w:t>
      </w:r>
      <w:r w:rsidR="00DE0E8E" w:rsidRPr="00101A2A">
        <w:t xml:space="preserve"> </w:t>
      </w:r>
      <w:r w:rsidR="0042222E" w:rsidRPr="00101A2A">
        <w:t xml:space="preserve">from 2008 </w:t>
      </w:r>
      <w:r w:rsidR="00DE0E8E" w:rsidRPr="00101A2A">
        <w:t>from insideairbnb.com</w:t>
      </w:r>
      <w:r w:rsidR="005E004E" w:rsidRPr="00101A2A">
        <w:t xml:space="preserve"> </w:t>
      </w:r>
      <w:r w:rsidR="005E004E" w:rsidRPr="00101A2A">
        <w:fldChar w:fldCharType="begin" w:fldLock="1"/>
      </w:r>
      <w:r w:rsidR="003749C2">
        <w:instrText>ADDIN CSL_CITATION {"citationItems":[{"id":"ITEM-1","itemData":{"abstract":"We assess the impact of home-sharing on residential house prices and rental rates. Using a comprehensive dataset on Airbnb listings from the whole United States, we regress zipcode level house prices and rental rates on the number of Airbnb listings, controlling for endogeneity using a shift-share instrumental variable strategy. We find that a 10% increase in Airbnb listings leads to a 0.39% increase in rents and a 0.64% increase in house prices. Moreover, we find that the effect of Airbnb is smaller in zipcodes with a larger share of owner-occupiers, suggesting that it is the absentee landlords who are on the margin of substituting their homes away from the rental market and into Airbnb. We present a simple model that rationalizes these findings.","author":[{"dropping-particle":"","family":"Barron","given":"Kyle","non-dropping-particle":"","parse-names":false,"suffix":""},{"dropping-particle":"","family":"Kung","given":"Edward","non-dropping-particle":"","parse-names":false,"suffix":""},{"dropping-particle":"","family":"Proserpio","given":"Davide","non-dropping-particle":"","parse-names":false,"suffix":""}],"container-title":"Marketing Science","id":"ITEM-1","issue":"1","issued":{"date-parts":[["2021"]]},"page":"23-47","title":"The effect of home-sharing on house prices and rents: Evidence from Airbnb","type":"article-journal","volume":"40"},"uris":["http://www.mendeley.com/documents/?uuid=c3795c9e-bff0-472b-89fd-6e5c064ded01"]}],"mendeley":{"formattedCitation":"(Barron et al., 2021)","manualFormatting":"(Barron et al., 2021)","plainTextFormattedCitation":"(Barron et al., 2021)","previouslyFormattedCitation":"(Barron et al., 2021)"},"properties":{"noteIndex":0},"schema":"https://github.com/citation-style-language/schema/raw/master/csl-citation.json"}</w:instrText>
      </w:r>
      <w:r w:rsidR="005E004E" w:rsidRPr="00101A2A">
        <w:fldChar w:fldCharType="separate"/>
      </w:r>
      <w:r w:rsidR="00150DD0" w:rsidRPr="00101A2A">
        <w:rPr>
          <w:noProof/>
        </w:rPr>
        <w:t>(Barron et al.</w:t>
      </w:r>
      <w:r w:rsidR="00A7664D" w:rsidRPr="00101A2A">
        <w:rPr>
          <w:noProof/>
        </w:rPr>
        <w:t>,</w:t>
      </w:r>
      <w:r w:rsidR="00150DD0" w:rsidRPr="00101A2A">
        <w:rPr>
          <w:noProof/>
        </w:rPr>
        <w:t xml:space="preserve"> 2021)</w:t>
      </w:r>
      <w:r w:rsidR="005E004E" w:rsidRPr="00101A2A">
        <w:fldChar w:fldCharType="end"/>
      </w:r>
      <w:r w:rsidR="00EF05BC" w:rsidRPr="00101A2A">
        <w:t>, which</w:t>
      </w:r>
      <w:r w:rsidR="00E73B8A" w:rsidRPr="00101A2A">
        <w:t xml:space="preserve"> contain</w:t>
      </w:r>
      <w:r w:rsidR="00EF05BC" w:rsidRPr="00101A2A">
        <w:t>s</w:t>
      </w:r>
      <w:r w:rsidR="00E73B8A" w:rsidRPr="00101A2A">
        <w:t xml:space="preserve"> detailed data about 60,747 hosts managing 80,878 properties. We</w:t>
      </w:r>
      <w:r w:rsidR="00DE0E8E" w:rsidRPr="00101A2A">
        <w:t xml:space="preserve"> combine</w:t>
      </w:r>
      <w:r w:rsidR="002913BE">
        <w:t>d</w:t>
      </w:r>
      <w:r w:rsidR="00DE0E8E" w:rsidRPr="00101A2A">
        <w:t xml:space="preserve"> the</w:t>
      </w:r>
      <w:r w:rsidR="007335C0" w:rsidRPr="00101A2A">
        <w:t>se data</w:t>
      </w:r>
      <w:r w:rsidR="00DE0E8E" w:rsidRPr="00101A2A">
        <w:t xml:space="preserve"> with data from Zillow Research to obtain time series trends in the real estate market</w:t>
      </w:r>
      <w:r w:rsidR="00555949" w:rsidRPr="00101A2A">
        <w:t xml:space="preserve"> </w:t>
      </w:r>
      <w:r w:rsidR="00555949" w:rsidRPr="00101A2A">
        <w:fldChar w:fldCharType="begin" w:fldLock="1"/>
      </w:r>
      <w:r w:rsidR="00920500">
        <w:instrText>ADDIN CSL_CITATION {"citationItems":[{"id":"ITEM-1","itemData":{"abstract":"We assess the impact of home-sharing on residential house prices and rental rates. Using a comprehensive dataset on Airbnb listings from the whole United States, we regress zipcode level house prices and rental rates on the number of Airbnb listings, controlling for endogeneity using a shift-share instrumental variable strategy. We find that a 10% increase in Airbnb listings leads to a 0.39% increase in rents and a 0.64% increase in house prices. Moreover, we find that the effect of Airbnb is smaller in zipcodes with a larger share of owner-occupiers, suggesting that it is the absentee landlords who are on the margin of substituting their homes away from the rental market and into Airbnb. We present a simple model that rationalizes these findings.","author":[{"dropping-particle":"","family":"Barron","given":"Kyle","non-dropping-particle":"","parse-names":false,"suffix":""},{"dropping-particle":"","family":"Kung","given":"Edward","non-dropping-particle":"","parse-names":false,"suffix":""},{"dropping-particle":"","family":"Proserpio","given":"Davide","non-dropping-particle":"","parse-names":false,"suffix":""}],"container-title":"Marketing Science","id":"ITEM-1","issue":"1","issued":{"date-parts":[["2021"]]},"page":"23-47","title":"The effect of home-sharing on house prices and rents: Evidence from Airbnb","type":"article-journal","volume":"40"},"uris":["http://www.mendeley.com/documents/?uuid=c3795c9e-bff0-472b-89fd-6e5c064ded01"]},{"id":"ITEM-2","itemData":{"DOI":"10.2139/ssrn.3435105","abstract":"This paper examines the impact of Airbnb on the local rental housing market. Airbnb provides landlords an alternative opportunity to rent to short-term tourists, potentially causing some property owners to switch away from long-term rental to local residents, thereby affecting the rental housing supply and afforability. Despite recent government regulations to address this concern, it remains unclear whether and what type of properties are switching.","author":[{"dropping-particle":"","family":"Li","given":"Hui","non-dropping-particle":"","parse-names":false,"suffix":""},{"dropping-particle":"","family":"Kim","given":"Yijin","non-dropping-particle":"","parse-names":false,"suffix":""},{"dropping-particle":"","family":"Srinivasan","given":"Kannan","non-dropping-particle":"","parse-names":false,"suffix":""}],"container-title":"Management Science","id":"ITEM-2","issue":"11","issued":{"date-parts":[["2022"]]},"page":"8015-8044","title":"Market Shifts in the Sharing Economy: The Impact of Airbnb on Housing Rentals","type":"article-journal","volume":"68"},"uris":["http://www.mendeley.com/documents/?uuid=a9115a92-0fdb-435d-92ec-630176016aea"]},{"id":"ITEM-3","itemData":{"DOI":"10.2139/ssrn.3257521","ISBN":"0000000302","abstract":"As cities debate how to regulate Airbnb and other home-sharing services, we study the impacts of home sharing on local residential real estate markets. By accommodating transient travelers with short-term rental properties, home-sharing platforms have evolved as a major alternative channel that attracts the growing supply of residential properties. However, on the demand side of local residential markets, home-sharing platforms are not a viable option for residents. To demonstrate this dynamic between home sharing and local residential markets, we leverage a unique quasi-experiment on Airbnb—a platform policy that caps the number of properties a host can manage in a city—and find that the policy reduced rents (in the long-term rental markets) and home values (in the for-sale housing markets) by about 3% and did not affect the price-to-rent ratio. Consistent with the conjecture, we find that the policy impacts can be attributed to increased supply in local residential markets because of the policy. Quantitatively, our estimates suggest that, if the density of affected Airbnb properties is 1% higher in a market, the policy may further decrease rents and home values by about 0.03%–0.06%, which is similar across each policy-affected city. Our empirical findings add to the debate about the impacts of home sharing on local residential markets with a novel data set and a unique identification strategy. Practically speaking, our research is a timely response to the debate on regulating home sharing and has implications for various stakeholders of the residential real estate markets.","author":[{"dropping-particle":"","family":"Chen","given":"Wei","non-dropping-particle":"","parse-names":false,"suffix":""},{"dropping-particle":"","family":"Wei","given":"Zaiyan","non-dropping-particle":"","parse-names":false,"suffix":""},{"dropping-particle":"","family":"Xie","given":"Karen","non-dropping-particle":"","parse-names":false,"suffix":""}],"container-title":"Management Science","id":"ITEM-3","issue":"12","issued":{"date-parts":[["2022"]]},"page":"8589-8612","title":"The Battle for Homes: How Does Home Sharing Disrupt Local Residential Markets?","type":"article-journal","volume":"68"},"uris":["http://www.mendeley.com/documents/?uuid=5112e5d4-27be-416a-819a-a389df846e47"]}],"mendeley":{"formattedCitation":"(Barron et al., 2021; Chen et al., 2022; Li et al., 2022)","manualFormatting":"(Barron et al., 2021; Chen et al., 2022; Li et al., 2022)","plainTextFormattedCitation":"(Barron et al., 2021; Chen et al., 2022; Li et al., 2022)","previouslyFormattedCitation":"(Barron et al., 2021; Chen et al., 2022; Li et al., 2022)"},"properties":{"noteIndex":0},"schema":"https://github.com/citation-style-language/schema/raw/master/csl-citation.json"}</w:instrText>
      </w:r>
      <w:r w:rsidR="00555949" w:rsidRPr="00101A2A">
        <w:fldChar w:fldCharType="separate"/>
      </w:r>
      <w:r w:rsidR="0045601B" w:rsidRPr="00101A2A">
        <w:rPr>
          <w:noProof/>
        </w:rPr>
        <w:t>(Barron et al.</w:t>
      </w:r>
      <w:r w:rsidR="00A7664D" w:rsidRPr="00101A2A">
        <w:rPr>
          <w:noProof/>
        </w:rPr>
        <w:t>,</w:t>
      </w:r>
      <w:r w:rsidR="0045601B" w:rsidRPr="00101A2A">
        <w:rPr>
          <w:noProof/>
        </w:rPr>
        <w:t xml:space="preserve"> 2021</w:t>
      </w:r>
      <w:r w:rsidR="00A7664D" w:rsidRPr="00101A2A">
        <w:rPr>
          <w:noProof/>
        </w:rPr>
        <w:t>;</w:t>
      </w:r>
      <w:r w:rsidR="0045601B" w:rsidRPr="00101A2A">
        <w:rPr>
          <w:noProof/>
        </w:rPr>
        <w:t xml:space="preserve"> Chen et al.</w:t>
      </w:r>
      <w:r w:rsidR="00A7664D" w:rsidRPr="00101A2A">
        <w:rPr>
          <w:noProof/>
        </w:rPr>
        <w:t>,</w:t>
      </w:r>
      <w:r w:rsidR="0045601B" w:rsidRPr="00101A2A">
        <w:rPr>
          <w:noProof/>
        </w:rPr>
        <w:t xml:space="preserve"> 2022</w:t>
      </w:r>
      <w:r w:rsidR="00A7664D" w:rsidRPr="00101A2A">
        <w:rPr>
          <w:noProof/>
        </w:rPr>
        <w:t>;</w:t>
      </w:r>
      <w:r w:rsidR="0045601B" w:rsidRPr="00101A2A">
        <w:rPr>
          <w:noProof/>
        </w:rPr>
        <w:t xml:space="preserve"> Li et al.</w:t>
      </w:r>
      <w:r w:rsidR="00A7664D" w:rsidRPr="00101A2A">
        <w:rPr>
          <w:noProof/>
        </w:rPr>
        <w:t>,</w:t>
      </w:r>
      <w:r w:rsidR="0045601B" w:rsidRPr="00101A2A">
        <w:rPr>
          <w:noProof/>
        </w:rPr>
        <w:t xml:space="preserve"> 2022)</w:t>
      </w:r>
      <w:r w:rsidR="00555949" w:rsidRPr="00101A2A">
        <w:fldChar w:fldCharType="end"/>
      </w:r>
      <w:r w:rsidR="00DE0E8E" w:rsidRPr="00101A2A">
        <w:t xml:space="preserve">. </w:t>
      </w:r>
    </w:p>
    <w:p w14:paraId="715017D1" w14:textId="7FA0354F" w:rsidR="004A3F9A" w:rsidRPr="00101A2A" w:rsidRDefault="009F7986" w:rsidP="00DE1E3E">
      <w:r w:rsidRPr="00101A2A">
        <w:t>We code</w:t>
      </w:r>
      <w:r w:rsidR="002913BE">
        <w:t>d</w:t>
      </w:r>
      <w:r w:rsidRPr="00101A2A">
        <w:t xml:space="preserve"> a</w:t>
      </w:r>
      <w:r w:rsidR="004A3F9A" w:rsidRPr="00101A2A">
        <w:t>ll variables at the zip code level</w:t>
      </w:r>
      <w:r w:rsidR="003473FC" w:rsidRPr="00101A2A">
        <w:t xml:space="preserve"> to account for differences within cities that may affect </w:t>
      </w:r>
      <w:r w:rsidR="00F96E8F" w:rsidRPr="00101A2A">
        <w:t>real estate</w:t>
      </w:r>
      <w:r w:rsidR="003473FC" w:rsidRPr="00101A2A">
        <w:t xml:space="preserve"> prices</w:t>
      </w:r>
      <w:r w:rsidR="00E36B65" w:rsidRPr="00101A2A">
        <w:t xml:space="preserve"> </w:t>
      </w:r>
      <w:r w:rsidR="003473FC" w:rsidRPr="00101A2A">
        <w:t>(e.g., distance from tourist attractions, proximity to public transportation, pr</w:t>
      </w:r>
      <w:r w:rsidR="001F0C54" w:rsidRPr="00101A2A">
        <w:t>ed</w:t>
      </w:r>
      <w:r w:rsidR="003473FC" w:rsidRPr="00101A2A">
        <w:t>omin</w:t>
      </w:r>
      <w:r w:rsidR="001F0C54" w:rsidRPr="00101A2A">
        <w:t>a</w:t>
      </w:r>
      <w:r w:rsidR="003473FC" w:rsidRPr="00101A2A">
        <w:t xml:space="preserve">ntly residential areas). </w:t>
      </w:r>
      <w:r w:rsidR="004A3F9A" w:rsidRPr="00101A2A">
        <w:t xml:space="preserve">This choice has </w:t>
      </w:r>
      <w:r w:rsidR="003473FC" w:rsidRPr="00101A2A">
        <w:t>two</w:t>
      </w:r>
      <w:r w:rsidR="004A3F9A" w:rsidRPr="00101A2A">
        <w:t xml:space="preserve"> </w:t>
      </w:r>
      <w:r w:rsidR="003473FC" w:rsidRPr="00101A2A">
        <w:t>additional</w:t>
      </w:r>
      <w:r w:rsidR="004A3F9A" w:rsidRPr="00101A2A">
        <w:t xml:space="preserve"> advantages. First,</w:t>
      </w:r>
      <w:r w:rsidR="003473FC" w:rsidRPr="00101A2A">
        <w:t xml:space="preserve"> </w:t>
      </w:r>
      <w:r w:rsidR="003473FC" w:rsidRPr="00101A2A">
        <w:lastRenderedPageBreak/>
        <w:t>it provides good variability across</w:t>
      </w:r>
      <w:r w:rsidR="006A0091" w:rsidRPr="00101A2A">
        <w:t xml:space="preserve"> </w:t>
      </w:r>
      <w:r w:rsidR="003473FC" w:rsidRPr="00101A2A">
        <w:t xml:space="preserve">time and space that can be exploited </w:t>
      </w:r>
      <w:r w:rsidR="00B4247F">
        <w:t>to estimate</w:t>
      </w:r>
      <w:r w:rsidR="003473FC" w:rsidRPr="00101A2A">
        <w:t xml:space="preserve"> the coefficients of interest. Second, </w:t>
      </w:r>
      <w:r w:rsidR="004A3F9A" w:rsidRPr="00101A2A">
        <w:t xml:space="preserve">it allows for the integration of data from different sources. </w:t>
      </w:r>
      <w:r w:rsidR="004B05F8" w:rsidRPr="00101A2A">
        <w:t>O</w:t>
      </w:r>
      <w:r w:rsidR="003473FC" w:rsidRPr="00101A2A">
        <w:t xml:space="preserve">ur final dataset has </w:t>
      </w:r>
      <w:r w:rsidR="00627283">
        <w:t>259</w:t>
      </w:r>
      <w:r w:rsidR="00565493" w:rsidRPr="00101A2A">
        <w:t xml:space="preserve"> </w:t>
      </w:r>
      <w:r w:rsidR="003473FC" w:rsidRPr="00101A2A">
        <w:t xml:space="preserve">zip codes, observed for </w:t>
      </w:r>
      <w:r w:rsidR="00B33C53" w:rsidRPr="00101A2A">
        <w:t>8</w:t>
      </w:r>
      <w:r w:rsidR="00E73B8A" w:rsidRPr="00101A2A">
        <w:t>5</w:t>
      </w:r>
      <w:r w:rsidR="00B33C53" w:rsidRPr="00101A2A">
        <w:t xml:space="preserve"> </w:t>
      </w:r>
      <w:r w:rsidR="003473FC" w:rsidRPr="00101A2A">
        <w:t xml:space="preserve">months from 2008 </w:t>
      </w:r>
      <w:r w:rsidR="00B4247F">
        <w:t>to</w:t>
      </w:r>
      <w:r w:rsidR="003473FC" w:rsidRPr="00101A2A">
        <w:t xml:space="preserve"> 2015.</w:t>
      </w:r>
      <w:r w:rsidR="005C22E1" w:rsidRPr="00101A2A">
        <w:t xml:space="preserve"> </w:t>
      </w:r>
    </w:p>
    <w:p w14:paraId="37A3BA33" w14:textId="22005297" w:rsidR="00E40AAA" w:rsidRPr="00101A2A" w:rsidRDefault="00E40AAA" w:rsidP="00974CD1">
      <w:pPr>
        <w:pStyle w:val="Heading2"/>
      </w:pPr>
      <w:r w:rsidRPr="00101A2A">
        <w:t xml:space="preserve">Dependent </w:t>
      </w:r>
      <w:r w:rsidR="008B6EF7" w:rsidRPr="00101A2A">
        <w:t>V</w:t>
      </w:r>
      <w:r w:rsidRPr="00101A2A">
        <w:t>ariable</w:t>
      </w:r>
    </w:p>
    <w:p w14:paraId="177A658B" w14:textId="12568B64" w:rsidR="00FB724F" w:rsidRPr="00101A2A" w:rsidRDefault="007335C0" w:rsidP="001F626A">
      <w:r w:rsidRPr="00101A2A">
        <w:t>T</w:t>
      </w:r>
      <w:r w:rsidR="008F5FE8" w:rsidRPr="00101A2A">
        <w:t>he</w:t>
      </w:r>
      <w:r w:rsidR="00114EC8" w:rsidRPr="00101A2A">
        <w:t xml:space="preserve"> dependent variable is</w:t>
      </w:r>
      <w:r w:rsidR="005F0B1C" w:rsidRPr="00101A2A">
        <w:t xml:space="preserve"> the </w:t>
      </w:r>
      <w:r w:rsidR="00C62750" w:rsidRPr="00101A2A">
        <w:rPr>
          <w:i/>
          <w:iCs/>
        </w:rPr>
        <w:t>R</w:t>
      </w:r>
      <w:r w:rsidR="00114EC8" w:rsidRPr="00101A2A">
        <w:rPr>
          <w:i/>
          <w:iCs/>
        </w:rPr>
        <w:t>eal estate price</w:t>
      </w:r>
      <w:r w:rsidR="005F0B1C" w:rsidRPr="00101A2A">
        <w:t xml:space="preserve"> for </w:t>
      </w:r>
      <w:r w:rsidR="00376983" w:rsidRPr="00101A2A">
        <w:t xml:space="preserve">each </w:t>
      </w:r>
      <w:r w:rsidR="005F0B1C" w:rsidRPr="00101A2A">
        <w:t>zip code in our sample</w:t>
      </w:r>
      <w:r w:rsidR="00114EC8" w:rsidRPr="00101A2A">
        <w:t>.</w:t>
      </w:r>
      <w:r w:rsidR="00E40AAA" w:rsidRPr="00101A2A">
        <w:t xml:space="preserve"> </w:t>
      </w:r>
      <w:r w:rsidR="00216839" w:rsidRPr="00101A2A">
        <w:t>In line with previous studies</w:t>
      </w:r>
      <w:r w:rsidR="00A32BAD" w:rsidRPr="00101A2A">
        <w:t xml:space="preserve"> </w:t>
      </w:r>
      <w:r w:rsidR="00A32BAD" w:rsidRPr="00101A2A">
        <w:fldChar w:fldCharType="begin" w:fldLock="1"/>
      </w:r>
      <w:r w:rsidR="00920500">
        <w:instrText>ADDIN CSL_CITATION {"citationItems":[{"id":"ITEM-1","itemData":{"abstract":"We assess the impact of home-sharing on residential house prices and rental rates. Using a comprehensive dataset on Airbnb listings from the whole United States, we regress zipcode level house prices and rental rates on the number of Airbnb listings, controlling for endogeneity using a shift-share instrumental variable strategy. We find that a 10% increase in Airbnb listings leads to a 0.39% increase in rents and a 0.64% increase in house prices. Moreover, we find that the effect of Airbnb is smaller in zipcodes with a larger share of owner-occupiers, suggesting that it is the absentee landlords who are on the margin of substituting their homes away from the rental market and into Airbnb. We present a simple model that rationalizes these findings.","author":[{"dropping-particle":"","family":"Barron","given":"Kyle","non-dropping-particle":"","parse-names":false,"suffix":""},{"dropping-particle":"","family":"Kung","given":"Edward","non-dropping-particle":"","parse-names":false,"suffix":""},{"dropping-particle":"","family":"Proserpio","given":"Davide","non-dropping-particle":"","parse-names":false,"suffix":""}],"container-title":"Marketing Science","id":"ITEM-1","issue":"1","issued":{"date-parts":[["2021"]]},"page":"23-47","title":"The effect of home-sharing on house prices and rents: Evidence from Airbnb","type":"article-journal","volume":"40"},"uris":["http://www.mendeley.com/documents/?uuid=c3795c9e-bff0-472b-89fd-6e5c064ded01"]},{"id":"ITEM-2","itemData":{"DOI":"10.2139/ssrn.3257521","ISBN":"0000000302","abstract":"As cities debate how to regulate Airbnb and other home-sharing services, we study the impacts of home sharing on local residential real estate markets. By accommodating transient travelers with short-term rental properties, home-sharing platforms have evolved as a major alternative channel that attracts the growing supply of residential properties. However, on the demand side of local residential markets, home-sharing platforms are not a viable option for residents. To demonstrate this dynamic between home sharing and local residential markets, we leverage a unique quasi-experiment on Airbnb—a platform policy that caps the number of properties a host can manage in a city—and find that the policy reduced rents (in the long-term rental markets) and home values (in the for-sale housing markets) by about 3% and did not affect the price-to-rent ratio. Consistent with the conjecture, we find that the policy impacts can be attributed to increased supply in local residential markets because of the policy. Quantitatively, our estimates suggest that, if the density of affected Airbnb properties is 1% higher in a market, the policy may further decrease rents and home values by about 0.03%–0.06%, which is similar across each policy-affected city. Our empirical findings add to the debate about the impacts of home sharing on local residential markets with a novel data set and a unique identification strategy. Practically speaking, our research is a timely response to the debate on regulating home sharing and has implications for various stakeholders of the residential real estate markets.","author":[{"dropping-particle":"","family":"Chen","given":"Wei","non-dropping-particle":"","parse-names":false,"suffix":""},{"dropping-particle":"","family":"Wei","given":"Zaiyan","non-dropping-particle":"","parse-names":false,"suffix":""},{"dropping-particle":"","family":"Xie","given":"Karen","non-dropping-particle":"","parse-names":false,"suffix":""}],"container-title":"Management Science","id":"ITEM-2","issue":"12","issued":{"date-parts":[["2022"]]},"page":"8589-8612","title":"The Battle for Homes: How Does Home Sharing Disrupt Local Residential Markets?","type":"article-journal","volume":"68"},"uris":["http://www.mendeley.com/documents/?uuid=5112e5d4-27be-416a-819a-a389df846e47"]},{"id":"ITEM-3","itemData":{"DOI":"10.1016/j.jue.2021.103356","ISSN":"00941190","abstract":"Online short-term rental (STR) platforms such as Airbnb have grown spectacularly. We study the effects of regulation of these platforms on the housing market using a quasi-experimental research design. 18 out of 88 cities in Los Angeles County have severely restricted short-term rentals by adopting Home Sharing Ordinances. We apply a panel regression-discontinuity design around the cities’ borders. Ordinances reduced listings by 50% and housing prices by 2%. Additional difference-in-differences estimates show that ordinances reduced rents also by 2%. These estimates imply large effects of Airbnb on property values in areas attractive to tourists (e.g. an increase in house prices of 15% within 2.5km of Hollywood's Walk of Fame).","author":[{"dropping-particle":"","family":"Koster","given":"Hans R A","non-dropping-particle":"","parse-names":false,"suffix":""},{"dropping-particle":"","family":"Ommeren","given":"Jos","non-dropping-particle":"van","parse-names":false,"suffix":""},{"dropping-particle":"","family":"Volkhausen","given":"Nicolas","non-dropping-particle":"","parse-names":false,"suffix":""}],"container-title":"Journal of Urban Economics","id":"ITEM-3","issue":"April","issued":{"date-parts":[["2021"]]},"page":"103356","publisher":"Elsevier Inc.","title":"Short-term rentals and the housing market: Quasi-experimental evidence from Airbnb in Los Angeles","type":"article-journal","volume":"124"},"uris":["http://www.mendeley.com/documents/?uuid=ccc263f0-2500-4cb9-a083-cbf2188831a7"]}],"mendeley":{"formattedCitation":"(Barron et al., 2021; Chen et al., 2022; H. R. A. Koster et al., 2021)","manualFormatting":"(Barron et al., 2021; Chen et al., 2022; Koster et al., 2021)","plainTextFormattedCitation":"(Barron et al., 2021; Chen et al., 2022; H. R. A. Koster et al., 2021)","previouslyFormattedCitation":"(Barron et al., 2021; Chen et al., 2022; H. R. A. Koster et al., 2021)"},"properties":{"noteIndex":0},"schema":"https://github.com/citation-style-language/schema/raw/master/csl-citation.json"}</w:instrText>
      </w:r>
      <w:r w:rsidR="00A32BAD" w:rsidRPr="00101A2A">
        <w:fldChar w:fldCharType="separate"/>
      </w:r>
      <w:r w:rsidR="00A32BAD" w:rsidRPr="00101A2A">
        <w:rPr>
          <w:noProof/>
        </w:rPr>
        <w:t>(Barron et al.</w:t>
      </w:r>
      <w:r w:rsidR="00A7664D" w:rsidRPr="00101A2A">
        <w:rPr>
          <w:noProof/>
        </w:rPr>
        <w:t>,</w:t>
      </w:r>
      <w:r w:rsidR="00A32BAD" w:rsidRPr="00101A2A">
        <w:rPr>
          <w:noProof/>
        </w:rPr>
        <w:t xml:space="preserve"> 2021</w:t>
      </w:r>
      <w:r w:rsidR="00A7664D" w:rsidRPr="00101A2A">
        <w:rPr>
          <w:noProof/>
        </w:rPr>
        <w:t>;</w:t>
      </w:r>
      <w:r w:rsidR="00A32BAD" w:rsidRPr="00101A2A">
        <w:rPr>
          <w:noProof/>
        </w:rPr>
        <w:t xml:space="preserve"> Chen et al.</w:t>
      </w:r>
      <w:r w:rsidR="00A7664D" w:rsidRPr="00101A2A">
        <w:rPr>
          <w:noProof/>
        </w:rPr>
        <w:t>,</w:t>
      </w:r>
      <w:r w:rsidR="00A32BAD" w:rsidRPr="00101A2A">
        <w:rPr>
          <w:noProof/>
        </w:rPr>
        <w:t xml:space="preserve"> 2022</w:t>
      </w:r>
      <w:r w:rsidR="00A7664D" w:rsidRPr="00101A2A">
        <w:rPr>
          <w:noProof/>
        </w:rPr>
        <w:t>;</w:t>
      </w:r>
      <w:r w:rsidR="00A32BAD" w:rsidRPr="00101A2A">
        <w:rPr>
          <w:noProof/>
        </w:rPr>
        <w:t xml:space="preserve"> Koster et al.</w:t>
      </w:r>
      <w:r w:rsidR="00A7664D" w:rsidRPr="00101A2A">
        <w:rPr>
          <w:noProof/>
        </w:rPr>
        <w:t>,</w:t>
      </w:r>
      <w:r w:rsidR="00A32BAD" w:rsidRPr="00101A2A">
        <w:rPr>
          <w:noProof/>
        </w:rPr>
        <w:t xml:space="preserve"> 2021)</w:t>
      </w:r>
      <w:r w:rsidR="00A32BAD" w:rsidRPr="00101A2A">
        <w:fldChar w:fldCharType="end"/>
      </w:r>
      <w:r w:rsidR="00A32BAD" w:rsidRPr="00101A2A">
        <w:t>,</w:t>
      </w:r>
      <w:r w:rsidR="00E40AAA" w:rsidRPr="00101A2A">
        <w:t xml:space="preserve"> we derive</w:t>
      </w:r>
      <w:r w:rsidR="002913BE">
        <w:t>d</w:t>
      </w:r>
      <w:r w:rsidR="00E40AAA" w:rsidRPr="00101A2A">
        <w:t xml:space="preserve"> </w:t>
      </w:r>
      <w:r w:rsidR="00992CC7" w:rsidRPr="00101A2A">
        <w:t>real estate prices</w:t>
      </w:r>
      <w:r w:rsidR="00992CC7" w:rsidRPr="00101A2A" w:rsidDel="00992CC7">
        <w:t xml:space="preserve"> </w:t>
      </w:r>
      <w:r w:rsidR="00E40AAA" w:rsidRPr="00101A2A">
        <w:t>from Zillow</w:t>
      </w:r>
      <w:r w:rsidR="00376983" w:rsidRPr="00101A2A">
        <w:t>, whose index</w:t>
      </w:r>
      <w:r w:rsidR="004372E5" w:rsidRPr="00101A2A">
        <w:t xml:space="preserve"> </w:t>
      </w:r>
      <w:r w:rsidR="00E40AAA" w:rsidRPr="00101A2A">
        <w:t>re</w:t>
      </w:r>
      <w:r w:rsidR="00573E28" w:rsidRPr="00101A2A">
        <w:t>flect</w:t>
      </w:r>
      <w:r w:rsidR="00F01023" w:rsidRPr="00101A2A">
        <w:t>s</w:t>
      </w:r>
      <w:r w:rsidR="00E40AAA" w:rsidRPr="00101A2A">
        <w:t xml:space="preserve"> the market values </w:t>
      </w:r>
      <w:r w:rsidR="00B2438F" w:rsidRPr="00101A2A">
        <w:t xml:space="preserve">of the actual stock of </w:t>
      </w:r>
      <w:r w:rsidR="00910EE2" w:rsidRPr="00101A2A">
        <w:t>houses</w:t>
      </w:r>
      <w:r w:rsidR="00B2438F" w:rsidRPr="00101A2A">
        <w:t xml:space="preserve"> available </w:t>
      </w:r>
      <w:r w:rsidR="00E40AAA" w:rsidRPr="00101A2A">
        <w:t>each month</w:t>
      </w:r>
      <w:r w:rsidR="00376983" w:rsidRPr="00101A2A">
        <w:t>,</w:t>
      </w:r>
      <w:r w:rsidR="003478C9" w:rsidRPr="00101A2A">
        <w:t xml:space="preserve"> seasonally adjusted and smoothe</w:t>
      </w:r>
      <w:r w:rsidR="00711148" w:rsidRPr="00101A2A">
        <w:t>d using a Henderson filter</w:t>
      </w:r>
      <w:r w:rsidR="007C5A2B" w:rsidRPr="00101A2A">
        <w:t>.</w:t>
      </w:r>
      <w:r w:rsidR="003478C9" w:rsidRPr="00101A2A">
        <w:t xml:space="preserve"> </w:t>
      </w:r>
      <w:r w:rsidR="00E36B65" w:rsidRPr="00101A2A">
        <w:t>W</w:t>
      </w:r>
      <w:r w:rsidR="008B7891" w:rsidRPr="00101A2A">
        <w:t>e use</w:t>
      </w:r>
      <w:r w:rsidR="002913BE">
        <w:t>d</w:t>
      </w:r>
      <w:r w:rsidR="008B7891" w:rsidRPr="00101A2A">
        <w:t xml:space="preserve"> the </w:t>
      </w:r>
      <w:r w:rsidR="00FB15C1">
        <w:t xml:space="preserve">natural </w:t>
      </w:r>
      <w:r w:rsidR="008B7891" w:rsidRPr="00101A2A">
        <w:t>logarithm of this</w:t>
      </w:r>
      <w:r w:rsidR="0097204D" w:rsidRPr="00101A2A">
        <w:t xml:space="preserve"> index.</w:t>
      </w:r>
    </w:p>
    <w:p w14:paraId="50C6C757" w14:textId="33D262DC" w:rsidR="00E40AAA" w:rsidRPr="00101A2A" w:rsidRDefault="00E40AAA" w:rsidP="00D81720">
      <w:pPr>
        <w:pStyle w:val="Heading2"/>
      </w:pPr>
      <w:r w:rsidRPr="00101A2A">
        <w:t xml:space="preserve">Independent </w:t>
      </w:r>
      <w:r w:rsidR="008B6EF7" w:rsidRPr="00101A2A">
        <w:t>V</w:t>
      </w:r>
      <w:r w:rsidRPr="00101A2A">
        <w:t>ariables</w:t>
      </w:r>
    </w:p>
    <w:p w14:paraId="5FF40CB3" w14:textId="7ECDA044" w:rsidR="00016D6D" w:rsidRPr="00101A2A" w:rsidRDefault="007335C0" w:rsidP="00A11DFD">
      <w:r w:rsidRPr="00101A2A">
        <w:t>W</w:t>
      </w:r>
      <w:r w:rsidR="00817471" w:rsidRPr="00101A2A">
        <w:t xml:space="preserve">e </w:t>
      </w:r>
      <w:r w:rsidR="004372E5" w:rsidRPr="00101A2A">
        <w:t>use</w:t>
      </w:r>
      <w:r w:rsidR="00817471" w:rsidRPr="00101A2A">
        <w:t xml:space="preserve"> three variables </w:t>
      </w:r>
      <w:r w:rsidR="004372E5" w:rsidRPr="00101A2A">
        <w:t>for</w:t>
      </w:r>
      <w:r w:rsidR="00817471" w:rsidRPr="00101A2A">
        <w:t xml:space="preserve"> </w:t>
      </w:r>
      <w:r w:rsidR="00B4247F">
        <w:t>how</w:t>
      </w:r>
      <w:r w:rsidR="00817471" w:rsidRPr="00101A2A">
        <w:t xml:space="preserve"> Airbnb </w:t>
      </w:r>
      <w:r w:rsidR="004372E5" w:rsidRPr="00101A2A">
        <w:t xml:space="preserve">may </w:t>
      </w:r>
      <w:r w:rsidR="005F0B1C" w:rsidRPr="00101A2A">
        <w:t>affect</w:t>
      </w:r>
      <w:r w:rsidR="00817471" w:rsidRPr="00101A2A">
        <w:t xml:space="preserve"> real estate prices</w:t>
      </w:r>
      <w:r w:rsidR="00E40AAA" w:rsidRPr="00101A2A">
        <w:t>:</w:t>
      </w:r>
      <w:r w:rsidR="00943C36" w:rsidRPr="00101A2A">
        <w:t xml:space="preserve"> </w:t>
      </w:r>
      <w:r w:rsidR="00263B0E" w:rsidRPr="00101A2A">
        <w:rPr>
          <w:i/>
        </w:rPr>
        <w:t>Spanner proportion</w:t>
      </w:r>
      <w:r w:rsidR="00817471" w:rsidRPr="00101A2A">
        <w:rPr>
          <w:iCs/>
        </w:rPr>
        <w:t>,</w:t>
      </w:r>
      <w:r w:rsidR="00E40AAA" w:rsidRPr="00101A2A">
        <w:rPr>
          <w:i/>
        </w:rPr>
        <w:t xml:space="preserve"> </w:t>
      </w:r>
      <w:r w:rsidR="00787A67" w:rsidRPr="00101A2A">
        <w:rPr>
          <w:i/>
          <w:iCs/>
        </w:rPr>
        <w:t>Consumer</w:t>
      </w:r>
      <w:r w:rsidR="00F54928" w:rsidRPr="00101A2A">
        <w:rPr>
          <w:i/>
          <w:iCs/>
        </w:rPr>
        <w:t xml:space="preserve"> attention</w:t>
      </w:r>
      <w:r w:rsidR="00376983" w:rsidRPr="00101A2A">
        <w:t>,</w:t>
      </w:r>
      <w:r w:rsidR="005F0B1C" w:rsidRPr="00101A2A">
        <w:t xml:space="preserve"> and </w:t>
      </w:r>
      <w:r w:rsidR="001412E7" w:rsidRPr="00101A2A">
        <w:rPr>
          <w:i/>
        </w:rPr>
        <w:t>Regulated market</w:t>
      </w:r>
      <w:r w:rsidR="00E40AAA" w:rsidRPr="00101A2A">
        <w:t xml:space="preserve">. </w:t>
      </w:r>
      <w:r w:rsidRPr="00101A2A">
        <w:t xml:space="preserve">To build the </w:t>
      </w:r>
      <w:r w:rsidR="00263B0E" w:rsidRPr="00101A2A">
        <w:rPr>
          <w:i/>
        </w:rPr>
        <w:t>Spanner proportion</w:t>
      </w:r>
      <w:r w:rsidR="00817471" w:rsidRPr="00101A2A">
        <w:t xml:space="preserve"> </w:t>
      </w:r>
      <w:r w:rsidRPr="00101A2A">
        <w:t xml:space="preserve">variable, </w:t>
      </w:r>
      <w:r w:rsidR="00EF4695" w:rsidRPr="00101A2A">
        <w:t>we code</w:t>
      </w:r>
      <w:r w:rsidR="002913BE">
        <w:t>d</w:t>
      </w:r>
      <w:r w:rsidR="00EF4695" w:rsidRPr="00101A2A">
        <w:t xml:space="preserve"> </w:t>
      </w:r>
      <w:r w:rsidR="00E42FF2">
        <w:t>any host managing six or more properties (i.e., an above-average number) as a spanner</w:t>
      </w:r>
      <w:r w:rsidR="00EF4695" w:rsidRPr="00101A2A">
        <w:t xml:space="preserve">. </w:t>
      </w:r>
      <w:r w:rsidR="00A11DFD" w:rsidRPr="00101A2A">
        <w:t>We exclude</w:t>
      </w:r>
      <w:r w:rsidR="002913BE">
        <w:t>d</w:t>
      </w:r>
      <w:r w:rsidR="00A11DFD" w:rsidRPr="00101A2A">
        <w:t xml:space="preserve"> from our measure actors that </w:t>
      </w:r>
      <w:r w:rsidR="00E42FF2">
        <w:t>work</w:t>
      </w:r>
      <w:r w:rsidR="00A11DFD" w:rsidRPr="00101A2A">
        <w:t xml:space="preserve"> between two and five properties –a choice that reflects a conservative measure of economic motivations (see </w:t>
      </w:r>
      <w:proofErr w:type="spellStart"/>
      <w:r w:rsidR="00A11DFD" w:rsidRPr="00101A2A">
        <w:t>Gerwe</w:t>
      </w:r>
      <w:proofErr w:type="spellEnd"/>
      <w:r w:rsidR="00A11DFD" w:rsidRPr="00101A2A">
        <w:t xml:space="preserve"> et al., 2020; </w:t>
      </w:r>
      <w:proofErr w:type="spellStart"/>
      <w:r w:rsidR="00A11DFD" w:rsidRPr="00101A2A">
        <w:t>Lampinen</w:t>
      </w:r>
      <w:proofErr w:type="spellEnd"/>
      <w:r w:rsidR="00A11DFD" w:rsidRPr="00101A2A">
        <w:t xml:space="preserve"> &amp; Cheshire, 2016) and may reduce the size effect of our findings, but </w:t>
      </w:r>
      <w:r w:rsidR="002F405B" w:rsidRPr="00101A2A">
        <w:t xml:space="preserve">it </w:t>
      </w:r>
      <w:r w:rsidR="00A11DFD" w:rsidRPr="00101A2A">
        <w:t>allows us to avoid overlaps in the operationalization of our constructs. (We r</w:t>
      </w:r>
      <w:r w:rsidR="002320E2">
        <w:t>a</w:t>
      </w:r>
      <w:r w:rsidR="00A11DFD" w:rsidRPr="00101A2A">
        <w:t xml:space="preserve">n robustness checks with different cut-offs to define spanners vs. single-listing hosts.) </w:t>
      </w:r>
      <w:r w:rsidR="00113846" w:rsidRPr="00101A2A">
        <w:t>Next, for</w:t>
      </w:r>
      <w:r w:rsidR="00016D6D" w:rsidRPr="00101A2A">
        <w:t xml:space="preserve"> </w:t>
      </w:r>
      <w:r w:rsidR="00253A0E">
        <w:t>every</w:t>
      </w:r>
      <w:r w:rsidR="00016D6D" w:rsidRPr="00101A2A">
        <w:t xml:space="preserve"> month and every zip code,</w:t>
      </w:r>
      <w:r w:rsidR="005046E0" w:rsidRPr="00101A2A">
        <w:t xml:space="preserve"> we calculate</w:t>
      </w:r>
      <w:r w:rsidR="002913BE">
        <w:t>d</w:t>
      </w:r>
      <w:r w:rsidR="00016D6D" w:rsidRPr="00101A2A">
        <w:t xml:space="preserve"> the</w:t>
      </w:r>
      <w:r w:rsidR="005046E0" w:rsidRPr="00101A2A">
        <w:t xml:space="preserve"> ratio between the</w:t>
      </w:r>
      <w:r w:rsidR="00016D6D" w:rsidRPr="00101A2A">
        <w:t xml:space="preserve"> number of </w:t>
      </w:r>
      <w:r w:rsidR="00C614BF" w:rsidRPr="00101A2A">
        <w:t xml:space="preserve">listings managed by </w:t>
      </w:r>
      <w:r w:rsidR="00016D6D" w:rsidRPr="00101A2A">
        <w:t>spanners</w:t>
      </w:r>
      <w:r w:rsidR="005046E0" w:rsidRPr="00101A2A">
        <w:t xml:space="preserve"> (numerator)</w:t>
      </w:r>
      <w:r w:rsidR="00016D6D" w:rsidRPr="00101A2A">
        <w:t xml:space="preserve"> </w:t>
      </w:r>
      <w:r w:rsidR="005046E0" w:rsidRPr="00101A2A">
        <w:t>and</w:t>
      </w:r>
      <w:r w:rsidR="00016D6D" w:rsidRPr="00101A2A">
        <w:t xml:space="preserve"> the sum of </w:t>
      </w:r>
      <w:r w:rsidR="00C614BF" w:rsidRPr="00101A2A">
        <w:t xml:space="preserve">listings managed by </w:t>
      </w:r>
      <w:r w:rsidR="00016D6D" w:rsidRPr="00101A2A">
        <w:t>spanners and single-listing hosts</w:t>
      </w:r>
      <w:r w:rsidR="005046E0" w:rsidRPr="00101A2A">
        <w:t xml:space="preserve"> (denominator)</w:t>
      </w:r>
      <w:r w:rsidR="00016D6D" w:rsidRPr="00101A2A">
        <w:t xml:space="preserve">. </w:t>
      </w:r>
      <w:r w:rsidR="006C6036" w:rsidRPr="00101A2A">
        <w:t xml:space="preserve">Thus, </w:t>
      </w:r>
      <w:r w:rsidR="00751BDB">
        <w:t xml:space="preserve">the </w:t>
      </w:r>
      <w:r w:rsidR="00263B0E" w:rsidRPr="00101A2A">
        <w:rPr>
          <w:i/>
          <w:iCs/>
        </w:rPr>
        <w:t>Spanner proportion</w:t>
      </w:r>
      <w:r w:rsidR="00016D6D" w:rsidRPr="00101A2A">
        <w:t xml:space="preserve"> ranges from 0 to 1</w:t>
      </w:r>
      <w:r w:rsidR="00ED590E" w:rsidRPr="00101A2A">
        <w:t>, with 1 repres</w:t>
      </w:r>
      <w:r w:rsidRPr="00101A2A">
        <w:t>ent</w:t>
      </w:r>
      <w:r w:rsidR="00ED590E" w:rsidRPr="00101A2A">
        <w:t xml:space="preserve">ing </w:t>
      </w:r>
      <w:r w:rsidR="00CC777C" w:rsidRPr="00101A2A">
        <w:t>a zip code</w:t>
      </w:r>
      <w:r w:rsidR="00113846" w:rsidRPr="00101A2A">
        <w:t xml:space="preserve"> populated only by spanners</w:t>
      </w:r>
      <w:r w:rsidR="00016D6D" w:rsidRPr="00101A2A">
        <w:t>.</w:t>
      </w:r>
      <w:r w:rsidR="00113846" w:rsidRPr="00101A2A">
        <w:t xml:space="preserve"> </w:t>
      </w:r>
    </w:p>
    <w:p w14:paraId="6606E8D0" w14:textId="6A125206" w:rsidR="00432256" w:rsidRPr="00101A2A" w:rsidRDefault="0012381F" w:rsidP="00C90DDC">
      <w:r w:rsidRPr="00101A2A">
        <w:t>W</w:t>
      </w:r>
      <w:r w:rsidR="009E1A36" w:rsidRPr="00101A2A">
        <w:t>e measure</w:t>
      </w:r>
      <w:r w:rsidR="002913BE">
        <w:t>d</w:t>
      </w:r>
      <w:r w:rsidR="009E1A36" w:rsidRPr="00101A2A">
        <w:t xml:space="preserve"> </w:t>
      </w:r>
      <w:r w:rsidR="00787A67" w:rsidRPr="00101A2A">
        <w:rPr>
          <w:i/>
          <w:iCs/>
        </w:rPr>
        <w:t>Consumer</w:t>
      </w:r>
      <w:r w:rsidR="00F54928" w:rsidRPr="00101A2A">
        <w:rPr>
          <w:i/>
          <w:iCs/>
        </w:rPr>
        <w:t xml:space="preserve"> attention</w:t>
      </w:r>
      <w:r w:rsidR="009E1A36" w:rsidRPr="00101A2A">
        <w:t xml:space="preserve"> using the </w:t>
      </w:r>
      <w:r w:rsidR="00D81947">
        <w:t>index of Google searches for news about Airbnb and Airbnb’s legal challenges</w:t>
      </w:r>
      <w:r w:rsidR="00B13CDC">
        <w:t xml:space="preserve">, following prior research on categories that used press </w:t>
      </w:r>
      <w:r w:rsidR="00B13CDC">
        <w:lastRenderedPageBreak/>
        <w:t xml:space="preserve">coverage as a proxy for </w:t>
      </w:r>
      <w:r w:rsidR="00E42FF2">
        <w:t xml:space="preserve">the </w:t>
      </w:r>
      <w:r w:rsidR="00B13CDC">
        <w:t>attention</w:t>
      </w:r>
      <w:r w:rsidR="006262F0">
        <w:t xml:space="preserve"> </w:t>
      </w:r>
      <w:r w:rsidR="006262F0" w:rsidRPr="006262F0">
        <w:fldChar w:fldCharType="begin" w:fldLock="1"/>
      </w:r>
      <w:r w:rsidR="003749C2">
        <w:instrText>ADDIN CSL_CITATION {"citationItems":[{"id":"ITEM-1","itemData":{"DOI":"10.1287/orsc.2013.0852","ISSN":"10477039","abstract":"This paper analyzes the antecedents of corporate reputation as a dynamic commensuration process in which management fashions influence audiences as they attempt to quantify corporate reputation. Using the context of Fortune reputation rankings over multiple decades, we find evidence consistent with our hypotheses that when asked to quantify corporate reputation, audiences rely heavily on traditional as well as emerging nontraditional measures of financial performance as they become more fashionable indicators of superior financial performance. However, audiences have recently begun to assess companies' reputations based on indicators of social performance. We also examine how audience attention to these indicators is itself influenced by business press discourse.","author":[{"dropping-particle":"","family":"Bermiss","given":"Sekou Y.","non-dropping-particle":"","parse-names":false,"suffix":""},{"dropping-particle":"","family":"Zajac","given":"Edward J.","non-dropping-particle":"","parse-names":false,"suffix":""},{"dropping-particle":"","family":"King","given":"Brayden G.","non-dropping-particle":"","parse-names":false,"suffix":""}],"container-title":"Organization Science","id":"ITEM-1","issue":"2","issued":{"date-parts":[["2014"]]},"page":"591-608","title":"Under construction: How commensuration and management fashion affect corporate reputation rankings","type":"article-journal","volume":"25"},"uris":["http://www.mendeley.com/documents/?uuid=ebc73059-39f2-415f-b949-7b8fb8c4d602"]},{"id":"ITEM-2","itemData":{"ISBN":"00018392","ISSN":"00018392","PMID":"54900166","abstract":"We theorize how new market categories emerge and are legitimated through a confluence of factors internal to the category (entrepreneurial ventures) and external to the category (interested audiences). Using qualitative and quantitative analyses and multiple data sources over time, we study the evolution of the U.S. satellite radio market over its initial sixteen years. We offer convergent evidence to show that the legitimation of a new market category precipitates shifts in the focus of market actors' attention from the category as a whole to the differentiation of firms within. This effect was demonstrated for entrepreneurial identity claims, linguistic frames, and announcements of interorganizational affiliations and endorsements, as well as in the focal attention of media and financial audiences. We synthesize these findings to offer an integrated theoretical framework on new market category emergence and legitimation. ABSTRACT FROM AUTHOR","author":[{"dropping-particle":"","family":"Navis","given":"Chad","non-dropping-particle":"","parse-names":false,"suffix":""},{"dropping-particle":"","family":"Glynn","given":"Mary Anne","non-dropping-particle":"","parse-names":false,"suffix":""}],"container-title":"Administrative Science Quarterly","id":"ITEM-2","issue":"3","issued":{"date-parts":[["2010"]]},"page":"439-471","title":"How New Market Categories Emerge: Temporal Dynamics of Legitimacy, Identity, and Entrepreneurship in Satellite Radio, 1990–2005","type":"article-journal","volume":"55"},"uris":["http://www.mendeley.com/documents/?uuid=209c1151-2ea1-481a-bc55-e54b7e5c42b1"]}],"mendeley":{"formattedCitation":"(Bermiss, Zajac, &amp; King, 2014; Navis &amp; Glynn, 2010)","plainTextFormattedCitation":"(Bermiss, Zajac, &amp; King, 2014; Navis &amp; Glynn, 2010)","previouslyFormattedCitation":"(Bermiss, Zajac, &amp; King, 2014; Navis &amp; Glynn, 2010)"},"properties":{"noteIndex":0},"schema":"https://github.com/citation-style-language/schema/raw/master/csl-citation.json"}</w:instrText>
      </w:r>
      <w:r w:rsidR="006262F0" w:rsidRPr="006262F0">
        <w:fldChar w:fldCharType="separate"/>
      </w:r>
      <w:r w:rsidR="006A7A22" w:rsidRPr="006A7A22">
        <w:rPr>
          <w:noProof/>
        </w:rPr>
        <w:t>(Bermiss, Zajac, &amp; King, 2014; Navis &amp; Glynn, 2010)</w:t>
      </w:r>
      <w:r w:rsidR="006262F0" w:rsidRPr="006262F0">
        <w:fldChar w:fldCharType="end"/>
      </w:r>
      <w:r w:rsidR="00B13CDC" w:rsidRPr="006262F0">
        <w:t>.</w:t>
      </w:r>
      <w:r w:rsidR="00B13CDC">
        <w:t xml:space="preserve"> W</w:t>
      </w:r>
      <w:r w:rsidR="00D81947">
        <w:t>e compute</w:t>
      </w:r>
      <w:r w:rsidR="002913BE">
        <w:t>d</w:t>
      </w:r>
      <w:r w:rsidR="00D81947">
        <w:t xml:space="preserve"> the ratio over time of Google searches for news about Airbnb’s legal challenges over the trend of Google searches for news about Airbnb in general (i.e., including but not limited to legal challenges). This measure </w:t>
      </w:r>
      <w:r w:rsidR="00253A0E">
        <w:t>captures</w:t>
      </w:r>
      <w:r w:rsidR="00D81947">
        <w:t xml:space="preserve"> consumers’ attention to the ongoing conversation about Airbnb and the hosts expected to operate on the platform. Because news about </w:t>
      </w:r>
      <w:r w:rsidR="00E42FF2">
        <w:t>Airbnb's</w:t>
      </w:r>
      <w:r w:rsidR="00D81947">
        <w:t xml:space="preserve"> legal challenges in the period of analysis </w:t>
      </w:r>
      <w:r w:rsidR="00E42FF2">
        <w:t>focuses</w:t>
      </w:r>
      <w:r w:rsidR="00D81947">
        <w:t xml:space="preserve"> on the undesirability of multi-listing hosts on the Airbnb platform, t</w:t>
      </w:r>
      <w:r w:rsidR="003D2E28" w:rsidRPr="00101A2A">
        <w:t xml:space="preserve">his measure reflects </w:t>
      </w:r>
      <w:r w:rsidR="00C614BF" w:rsidRPr="00101A2A">
        <w:t>whether</w:t>
      </w:r>
      <w:r w:rsidR="00432256" w:rsidRPr="00101A2A">
        <w:t xml:space="preserve"> spanner</w:t>
      </w:r>
      <w:r w:rsidR="00167152">
        <w:t xml:space="preserve"> hosts</w:t>
      </w:r>
      <w:r w:rsidR="00432256" w:rsidRPr="00101A2A">
        <w:t xml:space="preserve"> </w:t>
      </w:r>
      <w:r w:rsidR="00A11DFD" w:rsidRPr="00101A2A">
        <w:t xml:space="preserve">are </w:t>
      </w:r>
      <w:r w:rsidR="00432256" w:rsidRPr="00101A2A">
        <w:t>recognized as atypical and</w:t>
      </w:r>
      <w:r w:rsidR="00E42FF2">
        <w:t>,</w:t>
      </w:r>
      <w:r w:rsidR="00432256" w:rsidRPr="00101A2A">
        <w:t xml:space="preserve"> therefore</w:t>
      </w:r>
      <w:r w:rsidR="00E42FF2">
        <w:t>,</w:t>
      </w:r>
      <w:r w:rsidR="00432256" w:rsidRPr="00101A2A">
        <w:t xml:space="preserve"> lose appeal among consumers </w:t>
      </w:r>
      <w:r w:rsidR="00432256" w:rsidRPr="00101A2A">
        <w:fldChar w:fldCharType="begin" w:fldLock="1"/>
      </w:r>
      <w:r w:rsidR="003749C2">
        <w:instrText>ADDIN CSL_CITATION {"citationItems":[{"id":"ITEM-1","itemData":{"ISBN":"00018392","ISSN":"00018392","PMID":"54900166","abstract":"We theorize how new market categories emerge and are legitimated through a confluence of factors internal to the category (entrepreneurial ventures) and external to the category (interested audiences). Using qualitative and quantitative analyses and multiple data sources over time, we study the evolution of the U.S. satellite radio market over its initial sixteen years. We offer convergent evidence to show that the legitimation of a new market category precipitates shifts in the focus of market actors' attention from the category as a whole to the differentiation of firms within. This effect was demonstrated for entrepreneurial identity claims, linguistic frames, and announcements of interorganizational affiliations and endorsements, as well as in the focal attention of media and financial audiences. We synthesize these findings to offer an integrated theoretical framework on new market category emergence and legitimation. ABSTRACT FROM AUTHOR","author":[{"dropping-particle":"","family":"Navis","given":"Chad","non-dropping-particle":"","parse-names":false,"suffix":""},{"dropping-particle":"","family":"Glynn","given":"Mary Anne","non-dropping-particle":"","parse-names":false,"suffix":""}],"container-title":"Administrative Science Quarterly","id":"ITEM-1","issue":"3","issued":{"date-parts":[["2010"]]},"page":"439-471","title":"How New Market Categories Emerge: Temporal Dynamics of Legitimacy, Identity, and Entrepreneurship in Satellite Radio, 1990–2005","type":"article-journal","volume":"55"},"uris":["http://www.mendeley.com/documents/?uuid=209c1151-2ea1-481a-bc55-e54b7e5c42b1"]}],"mendeley":{"formattedCitation":"(Navis &amp; Glynn, 2010)","manualFormatting":"(Navis &amp; Glynn, 2010)","plainTextFormattedCitation":"(Navis &amp; Glynn, 2010)","previouslyFormattedCitation":"(Navis &amp; Glynn, 2010)"},"properties":{"noteIndex":0},"schema":"https://github.com/citation-style-language/schema/raw/master/csl-citation.json"}</w:instrText>
      </w:r>
      <w:r w:rsidR="00432256" w:rsidRPr="00101A2A">
        <w:fldChar w:fldCharType="separate"/>
      </w:r>
      <w:r w:rsidR="0034344F" w:rsidRPr="00101A2A">
        <w:rPr>
          <w:noProof/>
        </w:rPr>
        <w:t xml:space="preserve">(Navis </w:t>
      </w:r>
      <w:r w:rsidR="00A7664D" w:rsidRPr="00101A2A">
        <w:rPr>
          <w:noProof/>
        </w:rPr>
        <w:t xml:space="preserve">&amp; </w:t>
      </w:r>
      <w:r w:rsidR="0034344F" w:rsidRPr="00101A2A">
        <w:rPr>
          <w:noProof/>
        </w:rPr>
        <w:t>Glynn</w:t>
      </w:r>
      <w:r w:rsidR="00A7664D" w:rsidRPr="00101A2A">
        <w:rPr>
          <w:noProof/>
        </w:rPr>
        <w:t>,</w:t>
      </w:r>
      <w:r w:rsidR="0034344F" w:rsidRPr="00101A2A">
        <w:rPr>
          <w:noProof/>
        </w:rPr>
        <w:t xml:space="preserve"> 2010)</w:t>
      </w:r>
      <w:r w:rsidR="00432256" w:rsidRPr="00101A2A">
        <w:fldChar w:fldCharType="end"/>
      </w:r>
      <w:r w:rsidR="009133BF" w:rsidRPr="00101A2A">
        <w:t>.</w:t>
      </w:r>
    </w:p>
    <w:p w14:paraId="556D8929" w14:textId="1979FEF3" w:rsidR="00E40AAA" w:rsidRPr="00101A2A" w:rsidRDefault="005F0B1C" w:rsidP="00D74569">
      <w:r w:rsidRPr="00101A2A">
        <w:t xml:space="preserve">Finally, </w:t>
      </w:r>
      <w:r w:rsidR="00DA6B6F" w:rsidRPr="00101A2A">
        <w:t>to explore</w:t>
      </w:r>
      <w:r w:rsidR="00D04973" w:rsidRPr="00101A2A">
        <w:t xml:space="preserve"> regulatory changes </w:t>
      </w:r>
      <w:r w:rsidR="00DA6B6F" w:rsidRPr="00101A2A">
        <w:t>and their consequences</w:t>
      </w:r>
      <w:r w:rsidR="00290666" w:rsidRPr="00101A2A">
        <w:t xml:space="preserve">, </w:t>
      </w:r>
      <w:r w:rsidR="00DA6B6F" w:rsidRPr="00101A2A">
        <w:t>we examine</w:t>
      </w:r>
      <w:r w:rsidR="002913BE">
        <w:t>d</w:t>
      </w:r>
      <w:r w:rsidR="00DA6B6F" w:rsidRPr="00101A2A">
        <w:t xml:space="preserve"> </w:t>
      </w:r>
      <w:r w:rsidR="00290666" w:rsidRPr="00101A2A">
        <w:t>cities</w:t>
      </w:r>
      <w:r w:rsidR="00DA6B6F" w:rsidRPr="00101A2A">
        <w:t xml:space="preserve"> </w:t>
      </w:r>
      <w:r w:rsidR="00E42FF2">
        <w:t>experimenting</w:t>
      </w:r>
      <w:r w:rsidR="00290666" w:rsidRPr="00101A2A">
        <w:t xml:space="preserve"> with stricter regulations for </w:t>
      </w:r>
      <w:r w:rsidR="003D2E28" w:rsidRPr="00101A2A">
        <w:t xml:space="preserve">real-estate </w:t>
      </w:r>
      <w:r w:rsidR="00290666" w:rsidRPr="00101A2A">
        <w:t xml:space="preserve">actors </w:t>
      </w:r>
      <w:r w:rsidR="00523A8E" w:rsidRPr="00101A2A">
        <w:t>operating in</w:t>
      </w:r>
      <w:r w:rsidR="00290666" w:rsidRPr="00101A2A">
        <w:t xml:space="preserve"> the </w:t>
      </w:r>
      <w:r w:rsidR="00D55511" w:rsidRPr="00101A2A">
        <w:t>SE</w:t>
      </w:r>
      <w:r w:rsidR="00290666" w:rsidRPr="00101A2A">
        <w:t xml:space="preserve">. </w:t>
      </w:r>
      <w:r w:rsidR="00C81229" w:rsidRPr="00101A2A">
        <w:t xml:space="preserve">We </w:t>
      </w:r>
      <w:r w:rsidR="00554730" w:rsidRPr="00101A2A">
        <w:t>buil</w:t>
      </w:r>
      <w:r w:rsidR="002913BE">
        <w:t>t</w:t>
      </w:r>
      <w:r w:rsidR="00C81229" w:rsidRPr="00101A2A">
        <w:t xml:space="preserve"> a variable, </w:t>
      </w:r>
      <w:r w:rsidR="001412E7" w:rsidRPr="00101A2A">
        <w:rPr>
          <w:i/>
        </w:rPr>
        <w:t>Regulated market</w:t>
      </w:r>
      <w:r w:rsidR="002320E2">
        <w:t xml:space="preserve">, </w:t>
      </w:r>
      <w:r w:rsidR="00C81229" w:rsidRPr="00101A2A">
        <w:t xml:space="preserve">that </w:t>
      </w:r>
      <w:r w:rsidR="00554730" w:rsidRPr="00101A2A">
        <w:t xml:space="preserve">refers to </w:t>
      </w:r>
      <w:r w:rsidR="003D2E28" w:rsidRPr="00101A2A">
        <w:t>a</w:t>
      </w:r>
      <w:r w:rsidR="00290666" w:rsidRPr="00101A2A">
        <w:t xml:space="preserve"> change in legislation to regulate the operations of the sharing economy.</w:t>
      </w:r>
      <w:r w:rsidR="00B825F7" w:rsidRPr="00101A2A">
        <w:t xml:space="preserve"> </w:t>
      </w:r>
      <w:r w:rsidR="00EF05BC" w:rsidRPr="00101A2A">
        <w:t xml:space="preserve">Almost all the cities in our sample </w:t>
      </w:r>
      <w:r w:rsidR="003D2E28" w:rsidRPr="00101A2A">
        <w:t xml:space="preserve">have </w:t>
      </w:r>
      <w:r w:rsidR="00EF05BC" w:rsidRPr="00101A2A">
        <w:t xml:space="preserve">implemented rules for the </w:t>
      </w:r>
      <w:r w:rsidR="00D05C10" w:rsidRPr="00101A2A">
        <w:t>SE rental</w:t>
      </w:r>
      <w:r w:rsidR="00EF05BC" w:rsidRPr="00101A2A">
        <w:t xml:space="preserve"> market</w:t>
      </w:r>
      <w:r w:rsidR="003D2E28" w:rsidRPr="00101A2A">
        <w:t>,</w:t>
      </w:r>
      <w:r w:rsidR="00EF05BC" w:rsidRPr="00101A2A">
        <w:t xml:space="preserve"> and three </w:t>
      </w:r>
      <w:r w:rsidR="003D2E28" w:rsidRPr="00101A2A">
        <w:t xml:space="preserve">did so </w:t>
      </w:r>
      <w:r w:rsidR="00EF05BC" w:rsidRPr="00101A2A">
        <w:t xml:space="preserve">within our data </w:t>
      </w:r>
      <w:r w:rsidR="002320E2">
        <w:t xml:space="preserve">collection </w:t>
      </w:r>
      <w:r w:rsidR="00EF05BC" w:rsidRPr="00101A2A">
        <w:t>period</w:t>
      </w:r>
      <w:r w:rsidR="00D55511" w:rsidRPr="00101A2A">
        <w:t>: Austin in October 2013, Portland in August 2014, and Nashville in March 2015</w:t>
      </w:r>
      <w:r w:rsidR="00EF05BC" w:rsidRPr="00101A2A">
        <w:t>.</w:t>
      </w:r>
      <w:r w:rsidR="00A20948" w:rsidRPr="00101A2A">
        <w:rPr>
          <w:rStyle w:val="FootnoteReference"/>
        </w:rPr>
        <w:footnoteReference w:id="4"/>
      </w:r>
      <w:r w:rsidR="001819D6" w:rsidRPr="00101A2A">
        <w:t xml:space="preserve"> </w:t>
      </w:r>
      <w:r w:rsidR="00183DA3" w:rsidRPr="00101A2A">
        <w:t>We code</w:t>
      </w:r>
      <w:r w:rsidR="002913BE">
        <w:t>d</w:t>
      </w:r>
      <w:r w:rsidR="00183DA3" w:rsidRPr="00101A2A">
        <w:t xml:space="preserve"> </w:t>
      </w:r>
      <w:r w:rsidR="001412E7" w:rsidRPr="00101A2A">
        <w:rPr>
          <w:i/>
        </w:rPr>
        <w:t>Regulated market</w:t>
      </w:r>
      <w:r w:rsidR="00183DA3" w:rsidRPr="00101A2A">
        <w:rPr>
          <w:i/>
        </w:rPr>
        <w:t xml:space="preserve"> </w:t>
      </w:r>
      <w:r w:rsidR="00183DA3" w:rsidRPr="00101A2A">
        <w:t>at the city level</w:t>
      </w:r>
      <w:r w:rsidR="00A01783" w:rsidRPr="00101A2A">
        <w:t xml:space="preserve"> as a dummy variable </w:t>
      </w:r>
      <w:r w:rsidR="00183DA3" w:rsidRPr="00101A2A">
        <w:t>with</w:t>
      </w:r>
      <w:r w:rsidR="009C08F9" w:rsidRPr="00101A2A">
        <w:t xml:space="preserve"> </w:t>
      </w:r>
      <w:r w:rsidR="00E42FF2">
        <w:t>a</w:t>
      </w:r>
      <w:r w:rsidR="009C08F9" w:rsidRPr="00101A2A">
        <w:t xml:space="preserve"> value of </w:t>
      </w:r>
      <w:r w:rsidR="000F743A" w:rsidRPr="00101A2A">
        <w:t>0</w:t>
      </w:r>
      <w:r w:rsidR="009C08F9" w:rsidRPr="00101A2A">
        <w:t xml:space="preserve"> before </w:t>
      </w:r>
      <w:r w:rsidR="00844D4A" w:rsidRPr="00101A2A">
        <w:t xml:space="preserve">the </w:t>
      </w:r>
      <w:r w:rsidR="009C08F9" w:rsidRPr="00101A2A">
        <w:t>change in legislation</w:t>
      </w:r>
      <w:r w:rsidR="006B0EDE" w:rsidRPr="00101A2A">
        <w:t xml:space="preserve"> </w:t>
      </w:r>
      <w:r w:rsidR="009C08F9" w:rsidRPr="00101A2A">
        <w:t xml:space="preserve">and </w:t>
      </w:r>
      <w:r w:rsidR="000F743A" w:rsidRPr="00101A2A">
        <w:t>1</w:t>
      </w:r>
      <w:r w:rsidR="009C08F9" w:rsidRPr="00101A2A">
        <w:t xml:space="preserve"> after </w:t>
      </w:r>
      <w:r w:rsidR="00E42FF2">
        <w:t>approving</w:t>
      </w:r>
      <w:r w:rsidR="00167152">
        <w:t xml:space="preserve"> a regulatory </w:t>
      </w:r>
      <w:r w:rsidR="009C08F9" w:rsidRPr="00101A2A">
        <w:t>change</w:t>
      </w:r>
      <w:r w:rsidR="00167152">
        <w:t xml:space="preserve"> of the short-term rental market</w:t>
      </w:r>
      <w:r w:rsidR="009C08F9" w:rsidRPr="00101A2A">
        <w:t xml:space="preserve">. </w:t>
      </w:r>
      <w:r w:rsidR="00E42FF2">
        <w:t>The regulated</w:t>
      </w:r>
      <w:r w:rsidR="00C81229" w:rsidRPr="00101A2A">
        <w:rPr>
          <w:i/>
        </w:rPr>
        <w:t xml:space="preserve"> </w:t>
      </w:r>
      <w:r w:rsidR="00C81229" w:rsidRPr="002320E2">
        <w:rPr>
          <w:iCs/>
        </w:rPr>
        <w:t>market</w:t>
      </w:r>
      <w:r w:rsidR="00C81229" w:rsidRPr="00101A2A">
        <w:rPr>
          <w:i/>
        </w:rPr>
        <w:t xml:space="preserve"> </w:t>
      </w:r>
      <w:r w:rsidR="002320E2">
        <w:t xml:space="preserve">variable </w:t>
      </w:r>
      <w:r w:rsidR="00C81229" w:rsidRPr="00101A2A">
        <w:t>captures an increase</w:t>
      </w:r>
      <w:r w:rsidR="001819D6" w:rsidRPr="00101A2A">
        <w:t>d</w:t>
      </w:r>
      <w:r w:rsidR="00C81229" w:rsidRPr="00101A2A">
        <w:t xml:space="preserve"> differentiat</w:t>
      </w:r>
      <w:r w:rsidR="001819D6" w:rsidRPr="00101A2A">
        <w:t>ion between</w:t>
      </w:r>
      <w:r w:rsidR="00C81229" w:rsidRPr="00101A2A">
        <w:t xml:space="preserve"> the SE category </w:t>
      </w:r>
      <w:r w:rsidR="001819D6" w:rsidRPr="00101A2A">
        <w:t>and</w:t>
      </w:r>
      <w:r w:rsidR="00C81229" w:rsidRPr="00101A2A">
        <w:t xml:space="preserve"> other product categories in the </w:t>
      </w:r>
      <w:r w:rsidR="001819D6" w:rsidRPr="00101A2A">
        <w:t xml:space="preserve">real estate </w:t>
      </w:r>
      <w:r w:rsidR="00C81229" w:rsidRPr="00101A2A">
        <w:t>industry.</w:t>
      </w:r>
    </w:p>
    <w:p w14:paraId="6633C754" w14:textId="55804447" w:rsidR="00E40AAA" w:rsidRPr="00101A2A" w:rsidRDefault="00E40AAA" w:rsidP="00D81720">
      <w:pPr>
        <w:pStyle w:val="Heading2"/>
      </w:pPr>
      <w:r w:rsidRPr="00101A2A">
        <w:t xml:space="preserve">Control </w:t>
      </w:r>
      <w:r w:rsidR="008B6EF7" w:rsidRPr="00101A2A">
        <w:t>V</w:t>
      </w:r>
      <w:r w:rsidRPr="00101A2A">
        <w:t>ariables</w:t>
      </w:r>
    </w:p>
    <w:p w14:paraId="4796A205" w14:textId="57E6F157" w:rsidR="00253A0E" w:rsidRPr="00B62D09" w:rsidRDefault="0077659E" w:rsidP="00093157">
      <w:r w:rsidRPr="00101A2A">
        <w:lastRenderedPageBreak/>
        <w:t xml:space="preserve">Our first preoccupation was to control for possible changes in </w:t>
      </w:r>
      <w:r w:rsidR="00167152">
        <w:t xml:space="preserve">the </w:t>
      </w:r>
      <w:r w:rsidRPr="00101A2A">
        <w:t xml:space="preserve">supply and demand of properties in the cities analyzed. </w:t>
      </w:r>
      <w:r w:rsidR="00134756" w:rsidRPr="00101A2A">
        <w:t>Given that t</w:t>
      </w:r>
      <w:r w:rsidR="00A97E8A" w:rsidRPr="00101A2A">
        <w:t>he increase</w:t>
      </w:r>
      <w:r w:rsidR="007619D0" w:rsidRPr="00101A2A">
        <w:t xml:space="preserve"> </w:t>
      </w:r>
      <w:r w:rsidR="00167152">
        <w:t>in</w:t>
      </w:r>
      <w:r w:rsidR="007619D0" w:rsidRPr="00101A2A">
        <w:t xml:space="preserve"> real estate</w:t>
      </w:r>
      <w:r w:rsidR="00A97E8A" w:rsidRPr="00101A2A">
        <w:t xml:space="preserve"> </w:t>
      </w:r>
      <w:r w:rsidR="006B0EDE" w:rsidRPr="00101A2A">
        <w:t xml:space="preserve">prices </w:t>
      </w:r>
      <w:r w:rsidR="00A97E8A" w:rsidRPr="00101A2A">
        <w:t xml:space="preserve">may be driven by independent or seasonal changes in the availability of housing stock, </w:t>
      </w:r>
      <w:r w:rsidR="00A97E8A" w:rsidRPr="00B62D09">
        <w:t>we control</w:t>
      </w:r>
      <w:r w:rsidR="006B1D9B">
        <w:t>led</w:t>
      </w:r>
      <w:r w:rsidR="00F940EB" w:rsidRPr="00B62D09">
        <w:t xml:space="preserve"> </w:t>
      </w:r>
      <w:r w:rsidR="00A97E8A" w:rsidRPr="00B62D09">
        <w:t xml:space="preserve">for changes in the supply </w:t>
      </w:r>
      <w:r w:rsidR="00BB63A7" w:rsidRPr="00FA0B1F">
        <w:t xml:space="preserve">and demand </w:t>
      </w:r>
      <w:r w:rsidR="00A97E8A" w:rsidRPr="00B62D09">
        <w:t>of houses</w:t>
      </w:r>
      <w:r w:rsidR="00BB63A7" w:rsidRPr="00FA0B1F">
        <w:t xml:space="preserve"> monthly at the zip code level</w:t>
      </w:r>
      <w:r w:rsidR="00A97E8A" w:rsidRPr="00B62D09">
        <w:t xml:space="preserve"> </w:t>
      </w:r>
      <w:r w:rsidR="00BB63A7" w:rsidRPr="00FA0B1F">
        <w:t xml:space="preserve">using a measure for </w:t>
      </w:r>
      <w:r w:rsidR="0003012F" w:rsidRPr="00B62D09">
        <w:rPr>
          <w:i/>
        </w:rPr>
        <w:t>Change in n</w:t>
      </w:r>
      <w:r w:rsidR="007268F8" w:rsidRPr="00B62D09">
        <w:rPr>
          <w:i/>
        </w:rPr>
        <w:t>umber of houses</w:t>
      </w:r>
      <w:r w:rsidR="00A97E8A" w:rsidRPr="00B62D09">
        <w:rPr>
          <w:i/>
        </w:rPr>
        <w:t xml:space="preserve"> </w:t>
      </w:r>
      <w:r w:rsidR="007268F8" w:rsidRPr="00B62D09">
        <w:rPr>
          <w:i/>
        </w:rPr>
        <w:t xml:space="preserve">sold </w:t>
      </w:r>
      <w:r w:rsidR="001713F3" w:rsidRPr="00B62D09">
        <w:fldChar w:fldCharType="begin" w:fldLock="1"/>
      </w:r>
      <w:r w:rsidR="00920500">
        <w:instrText>ADDIN CSL_CITATION {"citationItems":[{"id":"ITEM-1","itemData":{"DOI":"10.2139/ssrn.3257521","ISBN":"0000000302","abstract":"As cities debate how to regulate Airbnb and other home-sharing services, we study the impacts of home sharing on local residential real estate markets. By accommodating transient travelers with short-term rental properties, home-sharing platforms have evolved as a major alternative channel that attracts the growing supply of residential properties. However, on the demand side of local residential markets, home-sharing platforms are not a viable option for residents. To demonstrate this dynamic between home sharing and local residential markets, we leverage a unique quasi-experiment on Airbnb—a platform policy that caps the number of properties a host can manage in a city—and find that the policy reduced rents (in the long-term rental markets) and home values (in the for-sale housing markets) by about 3% and did not affect the price-to-rent ratio. Consistent with the conjecture, we find that the policy impacts can be attributed to increased supply in local residential markets because of the policy. Quantitatively, our estimates suggest that, if the density of affected Airbnb properties is 1% higher in a market, the policy may further decrease rents and home values by about 0.03%–0.06%, which is similar across each policy-affected city. Our empirical findings add to the debate about the impacts of home sharing on local residential markets with a novel data set and a unique identification strategy. Practically speaking, our research is a timely response to the debate on regulating home sharing and has implications for various stakeholders of the residential real estate markets.","author":[{"dropping-particle":"","family":"Chen","given":"Wei","non-dropping-particle":"","parse-names":false,"suffix":""},{"dropping-particle":"","family":"Wei","given":"Zaiyan","non-dropping-particle":"","parse-names":false,"suffix":""},{"dropping-particle":"","family":"Xie","given":"Karen","non-dropping-particle":"","parse-names":false,"suffix":""}],"container-title":"Management Science","id":"ITEM-1","issue":"12","issued":{"date-parts":[["2022"]]},"page":"8589-8612","title":"The Battle for Homes: How Does Home Sharing Disrupt Local Residential Markets?","type":"article-journal","volume":"68"},"uris":["http://www.mendeley.com/documents/?uuid=5112e5d4-27be-416a-819a-a389df846e47"]}],"mendeley":{"formattedCitation":"(Chen et al., 2022)","manualFormatting":"(Chen et al., 2022)","plainTextFormattedCitation":"(Chen et al., 2022)","previouslyFormattedCitation":"(Chen et al., 2022)"},"properties":{"noteIndex":0},"schema":"https://github.com/citation-style-language/schema/raw/master/csl-citation.json"}</w:instrText>
      </w:r>
      <w:r w:rsidR="001713F3" w:rsidRPr="00B62D09">
        <w:fldChar w:fldCharType="separate"/>
      </w:r>
      <w:r w:rsidR="001713F3" w:rsidRPr="00B62D09">
        <w:rPr>
          <w:noProof/>
        </w:rPr>
        <w:t>(Chen et al.</w:t>
      </w:r>
      <w:r w:rsidR="00A7664D" w:rsidRPr="00B62D09">
        <w:rPr>
          <w:noProof/>
        </w:rPr>
        <w:t>,</w:t>
      </w:r>
      <w:r w:rsidR="001713F3" w:rsidRPr="00B62D09">
        <w:rPr>
          <w:noProof/>
        </w:rPr>
        <w:t xml:space="preserve"> 2022)</w:t>
      </w:r>
      <w:r w:rsidR="001713F3" w:rsidRPr="00B62D09">
        <w:fldChar w:fldCharType="end"/>
      </w:r>
      <w:r w:rsidR="00A97E8A" w:rsidRPr="00B62D09">
        <w:t xml:space="preserve"> </w:t>
      </w:r>
      <w:r w:rsidR="00BB63A7" w:rsidRPr="00FA0B1F">
        <w:t>and</w:t>
      </w:r>
      <w:r w:rsidR="00523A8E" w:rsidRPr="00B62D09">
        <w:t xml:space="preserve"> a measure of </w:t>
      </w:r>
      <w:r w:rsidR="00691D94" w:rsidRPr="00B62D09">
        <w:rPr>
          <w:i/>
        </w:rPr>
        <w:t>Change in number of new building permits</w:t>
      </w:r>
      <w:r w:rsidR="00523A8E" w:rsidRPr="00B62D09">
        <w:t xml:space="preserve"> </w:t>
      </w:r>
      <w:r w:rsidR="00174B2A" w:rsidRPr="00B62D09">
        <w:fldChar w:fldCharType="begin" w:fldLock="1"/>
      </w:r>
      <w:r w:rsidR="003749C2">
        <w:instrText>ADDIN CSL_CITATION {"citationItems":[{"id":"ITEM-1","itemData":{"DOI":"10.1006/jhec.2000.0265","ISSN":"10511377","abstract":"This paper presents simple empirical models of residential building permits for urban counties in the United States for the period 1990-1997. Building permits, as a percentage of the housing stock, are greater the larger are population growth, the proportion of units that are old (built before 1940), and the proportion of units that are new. A higher initial vacancy rate reduces building permits. © 2000 Academic Press.","author":[{"dropping-particle":"","family":"McDonald","given":"John F.","non-dropping-particle":"","parse-names":false,"suffix":""},{"dropping-particle":"","family":"McMillen","given":"Daniel P.","non-dropping-particle":"","parse-names":false,"suffix":""}],"container-title":"Journal of Housing Economics","id":"ITEM-1","issue":"3","issued":{"date-parts":[["2000"]]},"page":"175-186","title":"Residential Building Permits in Urban Counties: 1990-1997","type":"article-journal","volume":"9"},"uris":["http://www.mendeley.com/documents/?uuid=227be4a3-01fc-4aca-a5bc-f5a6b4dc1128"]}],"mendeley":{"formattedCitation":"(McDonald &amp; McMillen, 2000)","manualFormatting":"(McDonald &amp; McMillen, 2000)","plainTextFormattedCitation":"(McDonald &amp; McMillen, 2000)","previouslyFormattedCitation":"(McDonald &amp; McMillen, 2000)"},"properties":{"noteIndex":0},"schema":"https://github.com/citation-style-language/schema/raw/master/csl-citation.json"}</w:instrText>
      </w:r>
      <w:r w:rsidR="00174B2A" w:rsidRPr="00B62D09">
        <w:fldChar w:fldCharType="separate"/>
      </w:r>
      <w:r w:rsidR="00174B2A" w:rsidRPr="00B62D09">
        <w:rPr>
          <w:noProof/>
        </w:rPr>
        <w:t xml:space="preserve">(McDonald </w:t>
      </w:r>
      <w:r w:rsidR="00A7664D" w:rsidRPr="00B62D09">
        <w:rPr>
          <w:noProof/>
        </w:rPr>
        <w:t>&amp;</w:t>
      </w:r>
      <w:r w:rsidR="00174B2A" w:rsidRPr="00B62D09">
        <w:rPr>
          <w:noProof/>
        </w:rPr>
        <w:t xml:space="preserve"> McMillen</w:t>
      </w:r>
      <w:r w:rsidR="00A7664D" w:rsidRPr="00B62D09">
        <w:rPr>
          <w:noProof/>
        </w:rPr>
        <w:t>,</w:t>
      </w:r>
      <w:r w:rsidR="00174B2A" w:rsidRPr="00B62D09">
        <w:rPr>
          <w:noProof/>
        </w:rPr>
        <w:t xml:space="preserve"> 2000)</w:t>
      </w:r>
      <w:r w:rsidR="00174B2A" w:rsidRPr="00B62D09">
        <w:fldChar w:fldCharType="end"/>
      </w:r>
      <w:r w:rsidR="00691D94" w:rsidRPr="00B62D09">
        <w:t xml:space="preserve">. </w:t>
      </w:r>
      <w:r w:rsidR="00BB63A7" w:rsidRPr="00B62D09">
        <w:t xml:space="preserve">We also add </w:t>
      </w:r>
      <w:r w:rsidR="00D81947" w:rsidRPr="001D04B8">
        <w:t>a control for the demand for Airbnb properties by calculating the zip code average number of reviews left monthly by consumers</w:t>
      </w:r>
      <w:r w:rsidR="00E42FF2">
        <w:t>,</w:t>
      </w:r>
      <w:r w:rsidR="00B62D09">
        <w:t xml:space="preserve"> as </w:t>
      </w:r>
      <w:r w:rsidR="00E42FF2">
        <w:t>most</w:t>
      </w:r>
      <w:r w:rsidR="00D81947" w:rsidRPr="001D04B8">
        <w:t xml:space="preserve"> Airbnb rentals result in a review by the guest </w:t>
      </w:r>
      <w:r w:rsidR="00093157" w:rsidRPr="001D04B8">
        <w:fldChar w:fldCharType="begin" w:fldLock="1"/>
      </w:r>
      <w:r w:rsidR="003749C2">
        <w:instrText>ADDIN CSL_CITATION {"citationItems":[{"id":"ITEM-1","itemData":{"author":[{"dropping-particle":"","family":"Fradkin","given":"Andrey","non-dropping-particle":"","parse-names":false,"suffix":""},{"dropping-particle":"","family":"Grewal","given":"Elena","non-dropping-particle":"","parse-names":false,"suffix":""},{"dropping-particle":"","family":"Holtz","given":"David","non-dropping-particle":"","parse-names":false,"suffix":""}],"container-title":"Marketing Science","id":"ITEM-1","issue":"6","issued":{"date-parts":[["2021"]]},"page":"1013-1029","title":"Reciprocity and Unveiling in Two-Sided Reputation Systems: Evidence from an Experiment on Airbnb","type":"article-journal","volume":"40"},"uris":["http://www.mendeley.com/documents/?uuid=5f41203d-a682-46c4-bb03-00e9f94b8ab8"]}],"mendeley":{"formattedCitation":"(Fradkin, Grewal, &amp; Holtz, 2021)","plainTextFormattedCitation":"(Fradkin, Grewal, &amp; Holtz, 2021)","previouslyFormattedCitation":"(Fradkin, Grewal, &amp; Holtz, 2021)"},"properties":{"noteIndex":0},"schema":"https://github.com/citation-style-language/schema/raw/master/csl-citation.json"}</w:instrText>
      </w:r>
      <w:r w:rsidR="00093157" w:rsidRPr="001D04B8">
        <w:fldChar w:fldCharType="separate"/>
      </w:r>
      <w:r w:rsidR="006A7A22" w:rsidRPr="006A7A22">
        <w:rPr>
          <w:noProof/>
        </w:rPr>
        <w:t>(Fradkin, Grewal, &amp; Holtz, 2021)</w:t>
      </w:r>
      <w:r w:rsidR="00093157" w:rsidRPr="001D04B8">
        <w:fldChar w:fldCharType="end"/>
      </w:r>
      <w:r w:rsidR="00093157" w:rsidRPr="00FA0B1F">
        <w:t>.</w:t>
      </w:r>
      <w:r w:rsidR="00253A0E">
        <w:t xml:space="preserve"> </w:t>
      </w:r>
    </w:p>
    <w:p w14:paraId="55C30060" w14:textId="5DC380C0" w:rsidR="00861B36" w:rsidRPr="00101A2A" w:rsidRDefault="007619D0" w:rsidP="00D74569">
      <w:r w:rsidRPr="00101A2A">
        <w:t>A</w:t>
      </w:r>
      <w:r w:rsidR="00F76CC3" w:rsidRPr="00101A2A">
        <w:t xml:space="preserve">ny increase in real estate prices may reflect a general economic trend or a change </w:t>
      </w:r>
      <w:r w:rsidR="0091419F" w:rsidRPr="00101A2A">
        <w:t>in demand</w:t>
      </w:r>
      <w:r w:rsidR="00F34934" w:rsidRPr="00101A2A">
        <w:t xml:space="preserve"> for reasons independent </w:t>
      </w:r>
      <w:r w:rsidR="00167152">
        <w:t>of</w:t>
      </w:r>
      <w:r w:rsidR="00F34934" w:rsidRPr="00101A2A">
        <w:t xml:space="preserve"> Airbnb</w:t>
      </w:r>
      <w:r w:rsidRPr="00101A2A">
        <w:t>. Thus</w:t>
      </w:r>
      <w:r w:rsidR="00F76CC3" w:rsidRPr="00101A2A">
        <w:t xml:space="preserve">, </w:t>
      </w:r>
      <w:r w:rsidRPr="00101A2A">
        <w:t>to</w:t>
      </w:r>
      <w:r w:rsidR="00E40AAA" w:rsidRPr="00101A2A">
        <w:t xml:space="preserve"> account </w:t>
      </w:r>
      <w:r w:rsidR="00691D94" w:rsidRPr="00101A2A">
        <w:t>for macroeconomic trend</w:t>
      </w:r>
      <w:r w:rsidR="00B37A56" w:rsidRPr="00101A2A">
        <w:t>s</w:t>
      </w:r>
      <w:r w:rsidR="00E42FF2">
        <w:t>,</w:t>
      </w:r>
      <w:r w:rsidR="00691D94" w:rsidRPr="00101A2A">
        <w:t xml:space="preserve"> </w:t>
      </w:r>
      <w:r w:rsidRPr="00101A2A">
        <w:t>w</w:t>
      </w:r>
      <w:r w:rsidR="00D52F2F" w:rsidRPr="00101A2A">
        <w:t>e include</w:t>
      </w:r>
      <w:r w:rsidR="006B1D9B">
        <w:t>d</w:t>
      </w:r>
      <w:r w:rsidR="00E40AAA" w:rsidRPr="00101A2A">
        <w:t xml:space="preserve"> </w:t>
      </w:r>
      <w:r w:rsidR="00E40AAA" w:rsidRPr="00101A2A">
        <w:rPr>
          <w:i/>
        </w:rPr>
        <w:t>Population</w:t>
      </w:r>
      <w:r w:rsidR="00E40AAA" w:rsidRPr="00101A2A">
        <w:t xml:space="preserve"> </w:t>
      </w:r>
      <w:r w:rsidR="00156FF4" w:rsidRPr="00101A2A">
        <w:fldChar w:fldCharType="begin" w:fldLock="1"/>
      </w:r>
      <w:r w:rsidR="00920500">
        <w:instrText>ADDIN CSL_CITATION {"citationItems":[{"id":"ITEM-1","itemData":{"DOI":"10.2139/ssrn.3257521","ISBN":"0000000302","abstract":"As cities debate how to regulate Airbnb and other home-sharing services, we study the impacts of home sharing on local residential real estate markets. By accommodating transient travelers with short-term rental properties, home-sharing platforms have evolved as a major alternative channel that attracts the growing supply of residential properties. However, on the demand side of local residential markets, home-sharing platforms are not a viable option for residents. To demonstrate this dynamic between home sharing and local residential markets, we leverage a unique quasi-experiment on Airbnb—a platform policy that caps the number of properties a host can manage in a city—and find that the policy reduced rents (in the long-term rental markets) and home values (in the for-sale housing markets) by about 3% and did not affect the price-to-rent ratio. Consistent with the conjecture, we find that the policy impacts can be attributed to increased supply in local residential markets because of the policy. Quantitatively, our estimates suggest that, if the density of affected Airbnb properties is 1% higher in a market, the policy may further decrease rents and home values by about 0.03%–0.06%, which is similar across each policy-affected city. Our empirical findings add to the debate about the impacts of home sharing on local residential markets with a novel data set and a unique identification strategy. Practically speaking, our research is a timely response to the debate on regulating home sharing and has implications for various stakeholders of the residential real estate markets.","author":[{"dropping-particle":"","family":"Chen","given":"Wei","non-dropping-particle":"","parse-names":false,"suffix":""},{"dropping-particle":"","family":"Wei","given":"Zaiyan","non-dropping-particle":"","parse-names":false,"suffix":""},{"dropping-particle":"","family":"Xie","given":"Karen","non-dropping-particle":"","parse-names":false,"suffix":""}],"container-title":"Management Science","id":"ITEM-1","issue":"12","issued":{"date-parts":[["2022"]]},"page":"8589-8612","title":"The Battle for Homes: How Does Home Sharing Disrupt Local Residential Markets?","type":"article-journal","volume":"68"},"uris":["http://www.mendeley.com/documents/?uuid=5112e5d4-27be-416a-819a-a389df846e47"]}],"mendeley":{"formattedCitation":"(Chen et al., 2022)","manualFormatting":"(Chen et al., 2022)","plainTextFormattedCitation":"(Chen et al., 2022)","previouslyFormattedCitation":"(Chen et al., 2022)"},"properties":{"noteIndex":0},"schema":"https://github.com/citation-style-language/schema/raw/master/csl-citation.json"}</w:instrText>
      </w:r>
      <w:r w:rsidR="00156FF4" w:rsidRPr="00101A2A">
        <w:fldChar w:fldCharType="separate"/>
      </w:r>
      <w:r w:rsidR="00036D29" w:rsidRPr="00101A2A">
        <w:rPr>
          <w:noProof/>
        </w:rPr>
        <w:t>(Chen et al.</w:t>
      </w:r>
      <w:r w:rsidR="00A7664D" w:rsidRPr="00101A2A">
        <w:rPr>
          <w:noProof/>
        </w:rPr>
        <w:t>,</w:t>
      </w:r>
      <w:r w:rsidR="00036D29" w:rsidRPr="00101A2A">
        <w:rPr>
          <w:noProof/>
        </w:rPr>
        <w:t xml:space="preserve"> 2022)</w:t>
      </w:r>
      <w:r w:rsidR="00156FF4" w:rsidRPr="00101A2A">
        <w:fldChar w:fldCharType="end"/>
      </w:r>
      <w:r w:rsidR="00156FF4" w:rsidRPr="00101A2A">
        <w:t xml:space="preserve"> </w:t>
      </w:r>
      <w:r w:rsidR="00E40AAA" w:rsidRPr="00101A2A">
        <w:t>reco</w:t>
      </w:r>
      <w:r w:rsidR="00D52F2F" w:rsidRPr="00101A2A">
        <w:t>r</w:t>
      </w:r>
      <w:r w:rsidR="00E40AAA" w:rsidRPr="00101A2A">
        <w:t>ded</w:t>
      </w:r>
      <w:r w:rsidR="00A07EE2" w:rsidRPr="00101A2A">
        <w:t xml:space="preserve"> by the U.S. Census</w:t>
      </w:r>
      <w:r w:rsidR="00E40AAA" w:rsidRPr="00101A2A">
        <w:t xml:space="preserve"> at the</w:t>
      </w:r>
      <w:r w:rsidR="007B74F7" w:rsidRPr="00101A2A">
        <w:t xml:space="preserve"> </w:t>
      </w:r>
      <w:r w:rsidR="00A07EE2" w:rsidRPr="00101A2A">
        <w:t>m</w:t>
      </w:r>
      <w:r w:rsidR="007B74F7" w:rsidRPr="00101A2A">
        <w:t>etropolitan statistical area</w:t>
      </w:r>
      <w:r w:rsidR="00E40AAA" w:rsidRPr="00101A2A">
        <w:t xml:space="preserve"> </w:t>
      </w:r>
      <w:r w:rsidR="007B74F7" w:rsidRPr="00101A2A">
        <w:t>(</w:t>
      </w:r>
      <w:r w:rsidR="00E40AAA" w:rsidRPr="00101A2A">
        <w:t>MSA</w:t>
      </w:r>
      <w:r w:rsidR="007B74F7" w:rsidRPr="00101A2A">
        <w:t>)</w:t>
      </w:r>
      <w:r w:rsidR="00E40AAA" w:rsidRPr="00101A2A">
        <w:t xml:space="preserve"> level and </w:t>
      </w:r>
      <w:r w:rsidR="00E40AAA" w:rsidRPr="00101A2A">
        <w:rPr>
          <w:i/>
        </w:rPr>
        <w:t>Income</w:t>
      </w:r>
      <w:r w:rsidR="00A07EE2" w:rsidRPr="00101A2A">
        <w:rPr>
          <w:iCs/>
        </w:rPr>
        <w:t>,</w:t>
      </w:r>
      <w:r w:rsidR="00E40AAA" w:rsidRPr="00101A2A">
        <w:t xml:space="preserve"> </w:t>
      </w:r>
      <w:r w:rsidR="00A07EE2" w:rsidRPr="00101A2A">
        <w:t xml:space="preserve">also </w:t>
      </w:r>
      <w:r w:rsidR="00E40AAA" w:rsidRPr="00101A2A">
        <w:t>at the MSA level</w:t>
      </w:r>
      <w:r w:rsidR="00A07EE2" w:rsidRPr="00101A2A">
        <w:t>,</w:t>
      </w:r>
      <w:r w:rsidR="00E40AAA" w:rsidRPr="00101A2A">
        <w:t xml:space="preserve"> as reported </w:t>
      </w:r>
      <w:r w:rsidR="009E551E" w:rsidRPr="00101A2A">
        <w:t>in</w:t>
      </w:r>
      <w:r w:rsidR="00E40AAA" w:rsidRPr="00101A2A">
        <w:t xml:space="preserve"> </w:t>
      </w:r>
      <w:r w:rsidR="00400257" w:rsidRPr="00101A2A">
        <w:t xml:space="preserve">the </w:t>
      </w:r>
      <w:r w:rsidR="00E40AAA" w:rsidRPr="00101A2A">
        <w:t>St. Louis Fed</w:t>
      </w:r>
      <w:r w:rsidR="006C71A5" w:rsidRPr="00101A2A">
        <w:t>’</w:t>
      </w:r>
      <w:r w:rsidR="00E40AAA" w:rsidRPr="00101A2A">
        <w:t>s FRED database</w:t>
      </w:r>
      <w:r w:rsidR="00156FF4" w:rsidRPr="00101A2A">
        <w:t xml:space="preserve"> </w:t>
      </w:r>
      <w:r w:rsidR="00156FF4" w:rsidRPr="00101A2A">
        <w:fldChar w:fldCharType="begin" w:fldLock="1"/>
      </w:r>
      <w:r w:rsidR="00920500">
        <w:instrText>ADDIN CSL_CITATION {"citationItems":[{"id":"ITEM-1","itemData":{"DOI":"10.1016/j.ijforecast.2014.05.005","ISBN":"9788791646737","ISSN":"01692070","abstract":"We examine house price forecastability across the 50 states using Dynamic Model Averaging and Dynamic Model Selection, which allow for model change and parameter shifts. By allowing the entire forecasting model to change over time and across locations, the forecasting accuracy improves substantially. The states in which housing markets have been the most volatile are the states in which model change and parameter shifts have been needed the most.","author":[{"dropping-particle":"","family":"Bork","given":"Lasse","non-dropping-particle":"","parse-names":false,"suffix":""},{"dropping-particle":"V.","family":"Møller","given":"Stig","non-dropping-particle":"","parse-names":false,"suffix":""}],"container-title":"International Journal of Forecasting","id":"ITEM-1","issue":"1","issued":{"date-parts":[["2015"]]},"number-of-pages":"63-78","title":"Forecasting house prices in the 50 states using Dynamic Model Averaging and Dynamic Model Selection","type":"book","volume":"31"},"uris":["http://www.mendeley.com/documents/?uuid=915e7d84-d0fa-4392-95a9-583450c36690"]},{"id":"ITEM-2","itemData":{"DOI":"10.2139/ssrn.3257521","ISBN":"0000000302","abstract":"As cities debate how to regulate Airbnb and other home-sharing services, we study the impacts of home sharing on local residential real estate markets. By accommodating transient travelers with short-term rental properties, home-sharing platforms have evolved as a major alternative channel that attracts the growing supply of residential properties. However, on the demand side of local residential markets, home-sharing platforms are not a viable option for residents. To demonstrate this dynamic between home sharing and local residential markets, we leverage a unique quasi-experiment on Airbnb—a platform policy that caps the number of properties a host can manage in a city—and find that the policy reduced rents (in the long-term rental markets) and home values (in the for-sale housing markets) by about 3% and did not affect the price-to-rent ratio. Consistent with the conjecture, we find that the policy impacts can be attributed to increased supply in local residential markets because of the policy. Quantitatively, our estimates suggest that, if the density of affected Airbnb properties is 1% higher in a market, the policy may further decrease rents and home values by about 0.03%–0.06%, which is similar across each policy-affected city. Our empirical findings add to the debate about the impacts of home sharing on local residential markets with a novel data set and a unique identification strategy. Practically speaking, our research is a timely response to the debate on regulating home sharing and has implications for various stakeholders of the residential real estate markets.","author":[{"dropping-particle":"","family":"Chen","given":"Wei","non-dropping-particle":"","parse-names":false,"suffix":""},{"dropping-particle":"","family":"Wei","given":"Zaiyan","non-dropping-particle":"","parse-names":false,"suffix":""},{"dropping-particle":"","family":"Xie","given":"Karen","non-dropping-particle":"","parse-names":false,"suffix":""}],"container-title":"Management Science","id":"ITEM-2","issue":"12","issued":{"date-parts":[["2022"]]},"page":"8589-8612","title":"The Battle for Homes: How Does Home Sharing Disrupt Local Residential Markets?","type":"article-journal","volume":"68"},"uris":["http://www.mendeley.com/documents/?uuid=5112e5d4-27be-416a-819a-a389df846e47"]}],"mendeley":{"formattedCitation":"(Bork &amp; Møller, 2015; Chen et al., 2022)","manualFormatting":"(Bork &amp; Møller, 2015; Chen et al., 2022)","plainTextFormattedCitation":"(Bork &amp; Møller, 2015; Chen et al., 2022)","previouslyFormattedCitation":"(Bork &amp; Møller, 2015; Chen et al., 2022)"},"properties":{"noteIndex":0},"schema":"https://github.com/citation-style-language/schema/raw/master/csl-citation.json"}</w:instrText>
      </w:r>
      <w:r w:rsidR="00156FF4" w:rsidRPr="00101A2A">
        <w:fldChar w:fldCharType="separate"/>
      </w:r>
      <w:r w:rsidR="001713F3" w:rsidRPr="00101A2A">
        <w:rPr>
          <w:noProof/>
        </w:rPr>
        <w:t xml:space="preserve">(Bork </w:t>
      </w:r>
      <w:r w:rsidR="00A7664D" w:rsidRPr="00101A2A">
        <w:rPr>
          <w:noProof/>
        </w:rPr>
        <w:t>&amp;</w:t>
      </w:r>
      <w:r w:rsidR="001713F3" w:rsidRPr="00101A2A">
        <w:rPr>
          <w:noProof/>
        </w:rPr>
        <w:t xml:space="preserve"> Møller</w:t>
      </w:r>
      <w:r w:rsidR="00A7664D" w:rsidRPr="00101A2A">
        <w:rPr>
          <w:noProof/>
        </w:rPr>
        <w:t>,</w:t>
      </w:r>
      <w:r w:rsidR="001713F3" w:rsidRPr="00101A2A">
        <w:rPr>
          <w:noProof/>
        </w:rPr>
        <w:t xml:space="preserve"> 2015</w:t>
      </w:r>
      <w:r w:rsidR="00A7664D" w:rsidRPr="00101A2A">
        <w:rPr>
          <w:noProof/>
        </w:rPr>
        <w:t>;</w:t>
      </w:r>
      <w:r w:rsidR="001713F3" w:rsidRPr="00101A2A">
        <w:rPr>
          <w:noProof/>
        </w:rPr>
        <w:t xml:space="preserve"> Chen et al.</w:t>
      </w:r>
      <w:r w:rsidR="00A7664D" w:rsidRPr="00101A2A">
        <w:rPr>
          <w:noProof/>
        </w:rPr>
        <w:t>,</w:t>
      </w:r>
      <w:r w:rsidR="001713F3" w:rsidRPr="00101A2A">
        <w:rPr>
          <w:noProof/>
        </w:rPr>
        <w:t xml:space="preserve"> 2022)</w:t>
      </w:r>
      <w:r w:rsidR="00156FF4" w:rsidRPr="00101A2A">
        <w:fldChar w:fldCharType="end"/>
      </w:r>
      <w:r w:rsidR="00691D94" w:rsidRPr="00101A2A">
        <w:t>.</w:t>
      </w:r>
      <w:r w:rsidR="00E40AAA" w:rsidRPr="00101A2A">
        <w:t xml:space="preserve"> </w:t>
      </w:r>
      <w:r w:rsidR="009121D5" w:rsidRPr="00101A2A">
        <w:t xml:space="preserve">In cities where the regulatory change took place, </w:t>
      </w:r>
      <w:r w:rsidR="00771A54" w:rsidRPr="00101A2A">
        <w:t xml:space="preserve">it </w:t>
      </w:r>
      <w:r w:rsidR="009121D5" w:rsidRPr="00101A2A">
        <w:t>is possible that the crisper definition of the emerging category boundaries increase</w:t>
      </w:r>
      <w:r w:rsidR="000B134A" w:rsidRPr="00101A2A">
        <w:t>d</w:t>
      </w:r>
      <w:r w:rsidR="009121D5" w:rsidRPr="00101A2A">
        <w:t xml:space="preserve"> the category</w:t>
      </w:r>
      <w:r w:rsidR="00A07EE2" w:rsidRPr="00101A2A">
        <w:t>’s</w:t>
      </w:r>
      <w:r w:rsidR="009121D5" w:rsidRPr="00101A2A">
        <w:t xml:space="preserve"> legitimacy </w:t>
      </w:r>
      <w:r w:rsidR="009121D5" w:rsidRPr="00101A2A">
        <w:fldChar w:fldCharType="begin" w:fldLock="1"/>
      </w:r>
      <w:r w:rsidR="003749C2">
        <w:instrText>ADDIN CSL_CITATION {"citationItems":[{"id":"ITEM-1","itemData":{"DOI":"10.1111/joms.12044","ISBN":"0022-2380","ISSN":"00222380","abstract":"This paper offers a systematic review of the literature on organizational categories and categorization published in the last 14 years (1999–2012). After identifying a core of roughly 100 papers on categories that appeared in management, organization, and sociology journals, we classified them based on several key dimensions, and analysed a few trends within the categorization literature. Our most surprising finding may be the fact that until recently, there was no mutual recognition of the existence of a distinct ‘literature on categories’ despite the wealth of published material on the topic. After summarizing some core theoretical features of that emergent literature, we propose integrative definitions of its core constructs and suggest several areas of research that could further enrich it in the future.","author":[{"dropping-particle":"","family":"Vergne","given":"J. P.","non-dropping-particle":"","parse-names":false,"suffix":""},{"dropping-particle":"","family":"Wry","given":"Tyler","non-dropping-particle":"","parse-names":false,"suffix":""}],"container-title":"Journal of Management Studies","id":"ITEM-1","issue":"1","issued":{"date-parts":[["2014"]]},"page":"56-94","title":"Categorizing categorization research: Review, integration, and future directions","type":"article-journal","volume":"51"},"uris":["http://www.mendeley.com/documents/?uuid=4502695d-4b9b-4595-a616-9ef373fe6f23"]}],"mendeley":{"formattedCitation":"(Vergne &amp; Wry, 2014)","manualFormatting":"(Vergne &amp; Wry, 2014)","plainTextFormattedCitation":"(Vergne &amp; Wry, 2014)","previouslyFormattedCitation":"(Vergne &amp; Wry, 2014)"},"properties":{"noteIndex":0},"schema":"https://github.com/citation-style-language/schema/raw/master/csl-citation.json"}</w:instrText>
      </w:r>
      <w:r w:rsidR="009121D5" w:rsidRPr="00101A2A">
        <w:fldChar w:fldCharType="separate"/>
      </w:r>
      <w:r w:rsidR="009121D5" w:rsidRPr="00101A2A">
        <w:rPr>
          <w:noProof/>
        </w:rPr>
        <w:t xml:space="preserve">(Vergne </w:t>
      </w:r>
      <w:r w:rsidR="00A7664D" w:rsidRPr="00101A2A">
        <w:rPr>
          <w:noProof/>
        </w:rPr>
        <w:t>&amp;</w:t>
      </w:r>
      <w:r w:rsidR="009121D5" w:rsidRPr="00101A2A">
        <w:rPr>
          <w:noProof/>
        </w:rPr>
        <w:t xml:space="preserve"> Wry</w:t>
      </w:r>
      <w:r w:rsidR="00A7664D" w:rsidRPr="00101A2A">
        <w:rPr>
          <w:noProof/>
        </w:rPr>
        <w:t>,</w:t>
      </w:r>
      <w:r w:rsidR="009121D5" w:rsidRPr="00101A2A">
        <w:rPr>
          <w:noProof/>
        </w:rPr>
        <w:t xml:space="preserve"> 2014)</w:t>
      </w:r>
      <w:r w:rsidR="009121D5" w:rsidRPr="00101A2A">
        <w:fldChar w:fldCharType="end"/>
      </w:r>
      <w:r w:rsidR="009121D5" w:rsidRPr="00101A2A">
        <w:t xml:space="preserve"> and</w:t>
      </w:r>
      <w:r w:rsidR="00E42FF2">
        <w:t>,</w:t>
      </w:r>
      <w:r w:rsidR="009121D5" w:rsidRPr="00101A2A">
        <w:t xml:space="preserve"> consequently</w:t>
      </w:r>
      <w:r w:rsidR="00E42FF2">
        <w:t>,</w:t>
      </w:r>
      <w:r w:rsidR="009121D5" w:rsidRPr="00101A2A">
        <w:t xml:space="preserve"> </w:t>
      </w:r>
      <w:r w:rsidR="00E4472B">
        <w:t xml:space="preserve">the </w:t>
      </w:r>
      <w:r w:rsidR="009121D5" w:rsidRPr="00101A2A">
        <w:t>demand</w:t>
      </w:r>
      <w:r w:rsidR="00652FE0" w:rsidRPr="00101A2A">
        <w:t xml:space="preserve"> for it</w:t>
      </w:r>
      <w:r w:rsidR="009121D5" w:rsidRPr="00101A2A">
        <w:t>. Thus</w:t>
      </w:r>
      <w:r w:rsidR="00EF51AE" w:rsidRPr="00101A2A">
        <w:t>,</w:t>
      </w:r>
      <w:r w:rsidR="009121D5" w:rsidRPr="00101A2A">
        <w:t xml:space="preserve"> we control</w:t>
      </w:r>
      <w:r w:rsidR="006B1D9B">
        <w:t>led</w:t>
      </w:r>
      <w:r w:rsidR="009121D5" w:rsidRPr="00101A2A">
        <w:t xml:space="preserve"> for the direct effect of </w:t>
      </w:r>
      <w:r w:rsidR="009743C3" w:rsidRPr="00101A2A">
        <w:rPr>
          <w:i/>
          <w:iCs/>
        </w:rPr>
        <w:t>Regulated market</w:t>
      </w:r>
      <w:r w:rsidR="009121D5" w:rsidRPr="00101A2A">
        <w:rPr>
          <w:i/>
          <w:iCs/>
        </w:rPr>
        <w:t xml:space="preserve"> </w:t>
      </w:r>
      <w:r w:rsidR="009121D5" w:rsidRPr="00101A2A">
        <w:t xml:space="preserve">in the full model. </w:t>
      </w:r>
    </w:p>
    <w:p w14:paraId="44D7061F" w14:textId="0124B12A" w:rsidR="0077659E" w:rsidRPr="00101A2A" w:rsidRDefault="0077659E" w:rsidP="0077659E">
      <w:r w:rsidRPr="00101A2A">
        <w:t>We control</w:t>
      </w:r>
      <w:r w:rsidR="006B1D9B">
        <w:t>led</w:t>
      </w:r>
      <w:r w:rsidRPr="00101A2A">
        <w:t xml:space="preserve"> for the </w:t>
      </w:r>
      <w:r w:rsidRPr="00101A2A">
        <w:rPr>
          <w:i/>
        </w:rPr>
        <w:t xml:space="preserve">Number of </w:t>
      </w:r>
      <w:proofErr w:type="spellStart"/>
      <w:r w:rsidRPr="00101A2A">
        <w:rPr>
          <w:i/>
          <w:iCs/>
        </w:rPr>
        <w:t>nonspanning</w:t>
      </w:r>
      <w:proofErr w:type="spellEnd"/>
      <w:r w:rsidRPr="00101A2A">
        <w:rPr>
          <w:i/>
          <w:iCs/>
        </w:rPr>
        <w:t xml:space="preserve"> actors</w:t>
      </w:r>
      <w:r w:rsidRPr="00101A2A">
        <w:t xml:space="preserve"> (i.e., single-listing hosts and hosts who manage between 2 and 5 listings) to confirm that the effect of </w:t>
      </w:r>
      <w:r w:rsidRPr="00101A2A">
        <w:rPr>
          <w:i/>
          <w:iCs/>
        </w:rPr>
        <w:t>Spanner proportion</w:t>
      </w:r>
      <w:r w:rsidRPr="00101A2A">
        <w:t xml:space="preserve"> on the dependent variable is due to an increase in the number of </w:t>
      </w:r>
      <w:r w:rsidR="004C0751">
        <w:t>spanner host</w:t>
      </w:r>
      <w:r w:rsidRPr="00101A2A">
        <w:t>s (numerator) and not to a decrease in the total number of hosts on Airbnb.</w:t>
      </w:r>
      <w:r w:rsidRPr="00101A2A">
        <w:rPr>
          <w:rStyle w:val="FootnoteReference"/>
        </w:rPr>
        <w:footnoteReference w:id="5"/>
      </w:r>
      <w:r w:rsidRPr="00101A2A">
        <w:t xml:space="preserve"> </w:t>
      </w:r>
    </w:p>
    <w:p w14:paraId="6B72CEC2" w14:textId="605DED89" w:rsidR="00E40AAA" w:rsidRPr="00101A2A" w:rsidRDefault="00E40AAA" w:rsidP="00D74569">
      <w:r w:rsidRPr="00101A2A">
        <w:lastRenderedPageBreak/>
        <w:t>I</w:t>
      </w:r>
      <w:r w:rsidR="00F76CC3" w:rsidRPr="00101A2A">
        <w:t xml:space="preserve">t </w:t>
      </w:r>
      <w:r w:rsidR="001B2506" w:rsidRPr="00101A2A">
        <w:t xml:space="preserve">is </w:t>
      </w:r>
      <w:r w:rsidR="00F76CC3" w:rsidRPr="00101A2A">
        <w:t xml:space="preserve">also possible that features of </w:t>
      </w:r>
      <w:r w:rsidR="00652FE0" w:rsidRPr="00101A2A">
        <w:t xml:space="preserve">specific </w:t>
      </w:r>
      <w:r w:rsidR="00B37A56" w:rsidRPr="00101A2A">
        <w:t>zip codes</w:t>
      </w:r>
      <w:r w:rsidR="00F76CC3" w:rsidRPr="00101A2A">
        <w:t xml:space="preserve"> </w:t>
      </w:r>
      <w:r w:rsidR="00861B36" w:rsidRPr="00101A2A">
        <w:t xml:space="preserve">or time periods </w:t>
      </w:r>
      <w:r w:rsidR="006C71A5" w:rsidRPr="00101A2A">
        <w:t>affect</w:t>
      </w:r>
      <w:r w:rsidR="00F76CC3" w:rsidRPr="00101A2A">
        <w:t xml:space="preserve"> our results. </w:t>
      </w:r>
      <w:r w:rsidR="006C71A5" w:rsidRPr="00101A2A">
        <w:t>Thus,</w:t>
      </w:r>
      <w:r w:rsidR="00F76CC3" w:rsidRPr="00101A2A">
        <w:t xml:space="preserve"> i</w:t>
      </w:r>
      <w:r w:rsidRPr="00101A2A">
        <w:t>n addition to all these controls, we use</w:t>
      </w:r>
      <w:r w:rsidR="006B1D9B">
        <w:t>d</w:t>
      </w:r>
      <w:r w:rsidRPr="00101A2A">
        <w:rPr>
          <w:i/>
        </w:rPr>
        <w:t xml:space="preserve"> </w:t>
      </w:r>
      <w:r w:rsidR="00B37A56" w:rsidRPr="00101A2A">
        <w:rPr>
          <w:i/>
        </w:rPr>
        <w:t xml:space="preserve">zip </w:t>
      </w:r>
      <w:r w:rsidR="00E42FF2">
        <w:rPr>
          <w:i/>
        </w:rPr>
        <w:t>code fixed</w:t>
      </w:r>
      <w:r w:rsidR="00250AFD" w:rsidRPr="00101A2A">
        <w:rPr>
          <w:i/>
        </w:rPr>
        <w:t xml:space="preserve"> effects</w:t>
      </w:r>
      <w:r w:rsidR="00250AFD" w:rsidRPr="00101A2A">
        <w:t xml:space="preserve"> </w:t>
      </w:r>
      <w:r w:rsidRPr="00101A2A">
        <w:t>and</w:t>
      </w:r>
      <w:r w:rsidRPr="00101A2A">
        <w:rPr>
          <w:i/>
        </w:rPr>
        <w:t xml:space="preserve"> </w:t>
      </w:r>
      <w:r w:rsidR="00E42FF2">
        <w:rPr>
          <w:i/>
        </w:rPr>
        <w:t>month fixed</w:t>
      </w:r>
      <w:r w:rsidRPr="00101A2A">
        <w:rPr>
          <w:i/>
        </w:rPr>
        <w:t xml:space="preserve"> effect</w:t>
      </w:r>
      <w:r w:rsidR="00D52F2F" w:rsidRPr="00101A2A">
        <w:rPr>
          <w:i/>
        </w:rPr>
        <w:t>s</w:t>
      </w:r>
      <w:r w:rsidRPr="00101A2A">
        <w:t xml:space="preserve"> to control for unobserved differences across time and units of analysis.</w:t>
      </w:r>
    </w:p>
    <w:p w14:paraId="2E72E23D" w14:textId="7E21C1FE" w:rsidR="00E40AAA" w:rsidRPr="00101A2A" w:rsidRDefault="00BE6E66" w:rsidP="00D74569">
      <w:pPr>
        <w:pStyle w:val="Heading2"/>
      </w:pPr>
      <w:r w:rsidRPr="00101A2A">
        <w:t>M</w:t>
      </w:r>
      <w:r w:rsidR="00E40AAA" w:rsidRPr="00101A2A">
        <w:t>odels</w:t>
      </w:r>
    </w:p>
    <w:p w14:paraId="360168DB" w14:textId="2208D303" w:rsidR="00734A47" w:rsidRPr="00101A2A" w:rsidRDefault="00E42FF2" w:rsidP="00382AF8">
      <w:r>
        <w:t xml:space="preserve">We used a dynamic panel data model for our </w:t>
      </w:r>
      <w:r w:rsidR="0070597B">
        <w:t>main</w:t>
      </w:r>
      <w:r>
        <w:t xml:space="preserve"> analyses</w:t>
      </w:r>
      <w:r w:rsidR="0070597B">
        <w:t>,</w:t>
      </w:r>
      <w:r>
        <w:t xml:space="preserve"> </w:t>
      </w:r>
      <w:r w:rsidR="00CF23FD" w:rsidRPr="00101A2A">
        <w:t>with variables measured at the zip code and month level.</w:t>
      </w:r>
      <w:r w:rsidR="009359E1" w:rsidRPr="00101A2A">
        <w:rPr>
          <w:shd w:val="clear" w:color="auto" w:fill="auto"/>
        </w:rPr>
        <w:t xml:space="preserve"> </w:t>
      </w:r>
      <w:r w:rsidR="0037761C" w:rsidRPr="00101A2A">
        <w:t xml:space="preserve">For every model, </w:t>
      </w:r>
      <w:r w:rsidR="006B1D9B">
        <w:t xml:space="preserve">we measured </w:t>
      </w:r>
      <w:r w:rsidR="0037761C" w:rsidRPr="00101A2A">
        <w:t xml:space="preserve">the </w:t>
      </w:r>
      <w:r w:rsidR="001239FA" w:rsidRPr="00101A2A">
        <w:t>dependent</w:t>
      </w:r>
      <w:r w:rsidR="0037761C" w:rsidRPr="00101A2A">
        <w:t xml:space="preserve"> variable </w:t>
      </w:r>
      <w:r w:rsidR="002927A3" w:rsidRPr="00101A2A">
        <w:t xml:space="preserve">one lead (i.e., </w:t>
      </w:r>
      <w:r w:rsidR="0037761C" w:rsidRPr="00101A2A">
        <w:t>one month</w:t>
      </w:r>
      <w:r w:rsidR="002927A3" w:rsidRPr="00101A2A">
        <w:t>)</w:t>
      </w:r>
      <w:r w:rsidR="0037761C" w:rsidRPr="00101A2A">
        <w:t xml:space="preserve"> ahead of all the independent variables. </w:t>
      </w:r>
      <w:r w:rsidR="00C87183" w:rsidRPr="00101A2A">
        <w:t xml:space="preserve">We </w:t>
      </w:r>
      <w:r w:rsidR="00D61C8E" w:rsidRPr="00101A2A">
        <w:t>examine</w:t>
      </w:r>
      <w:r w:rsidR="006B1D9B">
        <w:t>d</w:t>
      </w:r>
      <w:r w:rsidR="00D61C8E" w:rsidRPr="00101A2A">
        <w:t xml:space="preserve"> the </w:t>
      </w:r>
      <w:r w:rsidR="007619D0" w:rsidRPr="00101A2A">
        <w:t>effect</w:t>
      </w:r>
      <w:r w:rsidR="00D61C8E" w:rsidRPr="00101A2A">
        <w:t xml:space="preserve"> of the proportion of spanners</w:t>
      </w:r>
      <w:r w:rsidR="00986E88" w:rsidRPr="00101A2A">
        <w:t xml:space="preserve"> and </w:t>
      </w:r>
      <w:r w:rsidR="007619D0" w:rsidRPr="00101A2A">
        <w:t xml:space="preserve">the </w:t>
      </w:r>
      <w:r>
        <w:t>impact</w:t>
      </w:r>
      <w:r w:rsidR="007619D0" w:rsidRPr="00101A2A">
        <w:t xml:space="preserve"> </w:t>
      </w:r>
      <w:r w:rsidR="00986E88" w:rsidRPr="00101A2A">
        <w:t xml:space="preserve">of </w:t>
      </w:r>
      <w:r w:rsidR="00787A67" w:rsidRPr="00101A2A">
        <w:t>consumer</w:t>
      </w:r>
      <w:r w:rsidR="00986E88" w:rsidRPr="00101A2A">
        <w:t xml:space="preserve"> </w:t>
      </w:r>
      <w:r w:rsidR="006F2781" w:rsidRPr="00101A2A">
        <w:t>attention</w:t>
      </w:r>
      <w:r w:rsidR="00986E88" w:rsidRPr="00101A2A">
        <w:t xml:space="preserve"> </w:t>
      </w:r>
      <w:r w:rsidR="00652FE0" w:rsidRPr="00101A2A">
        <w:t>to</w:t>
      </w:r>
      <w:r w:rsidR="00986E88" w:rsidRPr="00101A2A">
        <w:t xml:space="preserve"> spanners’ presence in the market </w:t>
      </w:r>
      <w:r w:rsidR="00652FE0" w:rsidRPr="00101A2A">
        <w:t>for</w:t>
      </w:r>
      <w:r w:rsidR="007C566E" w:rsidRPr="00101A2A">
        <w:t xml:space="preserve"> the </w:t>
      </w:r>
      <w:r>
        <w:t>entire</w:t>
      </w:r>
      <w:r w:rsidR="007C566E" w:rsidRPr="00101A2A">
        <w:t xml:space="preserve"> </w:t>
      </w:r>
      <w:r w:rsidR="007C566E" w:rsidRPr="00115B5F">
        <w:t>sample of 10 cities (2</w:t>
      </w:r>
      <w:r w:rsidR="0003141C" w:rsidRPr="00115B5F">
        <w:t>59</w:t>
      </w:r>
      <w:r w:rsidR="007C566E" w:rsidRPr="00115B5F">
        <w:t xml:space="preserve"> zip codes)</w:t>
      </w:r>
      <w:r w:rsidR="007C566E" w:rsidRPr="00101A2A">
        <w:t xml:space="preserve"> </w:t>
      </w:r>
      <w:r w:rsidR="00C87183" w:rsidRPr="00101A2A">
        <w:t>and</w:t>
      </w:r>
      <w:r w:rsidR="007C566E" w:rsidRPr="00101A2A">
        <w:t xml:space="preserve"> the </w:t>
      </w:r>
      <w:r w:rsidR="00D61C8E" w:rsidRPr="00101A2A">
        <w:t xml:space="preserve">role </w:t>
      </w:r>
      <w:r w:rsidR="009E1A36" w:rsidRPr="00101A2A">
        <w:t xml:space="preserve">of the regulator </w:t>
      </w:r>
      <w:r w:rsidR="00652FE0" w:rsidRPr="00101A2A">
        <w:t xml:space="preserve">for </w:t>
      </w:r>
      <w:r w:rsidR="00EA363E" w:rsidRPr="00101A2A">
        <w:t>only the three cities (73 zip codes) that underwent a regulatory change.</w:t>
      </w:r>
      <w:r w:rsidR="0003141C">
        <w:t xml:space="preserve"> We use</w:t>
      </w:r>
      <w:r w:rsidR="006B1D9B">
        <w:t>d</w:t>
      </w:r>
      <w:r w:rsidR="0003141C">
        <w:t xml:space="preserve"> the</w:t>
      </w:r>
      <w:r w:rsidR="008F021B">
        <w:t xml:space="preserve"> Arellano-Bond </w:t>
      </w:r>
      <w:r w:rsidR="006B1D9B">
        <w:fldChar w:fldCharType="begin" w:fldLock="1"/>
      </w:r>
      <w:r w:rsidR="003749C2">
        <w:instrText>ADDIN CSL_CITATION {"citationItems":[{"id":"ITEM-1","itemData":{"abstract":"JSTOR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This paper presents specification tests that are applicable after estimating a dynamic model from panel data by the generalized method of moments (GMM), and studies the practical performance of these procedures using both generated and real data. Our GMM estimator optimally exploits all the linear moment restrictions that follow from the assumption of no serial correlation in the errors, in an equation which contains individual effects, lagged dependent variables and no strictly exogenous variables. We propose a test of serial correlation based on the GMM residuals and compare this with Sargan tests of over-identifying restrictions and Hausman specification tests.","author":[{"dropping-particle":"","family":"Arellano","given":"Manuel","non-dropping-particle":"","parse-names":false,"suffix":""},{"dropping-particle":"","family":"Bond","given":"Stephen","non-dropping-particle":"","parse-names":false,"suffix":""}],"container-title":"Review of Economic Studies","id":"ITEM-1","issue":"58","issued":{"date-parts":[["1991"]]},"page":"277-297","title":"The Review of Economic Studies, Ltd. Some Tests of Specification for Panel Data: Monte Carlo Evidence and an Application to Employment Equations Some Tests of Specification for Panel Data: Monte Carlo Evidence and an Application t o Employment Equations","type":"article-journal","volume":"58"},"uris":["http://www.mendeley.com/documents/?uuid=ce90bd4b-65e3-4766-83d9-00570fb3031e"]}],"mendeley":{"formattedCitation":"(Arellano &amp; Bond, 1991)","manualFormatting":"(1991)","plainTextFormattedCitation":"(Arellano &amp; Bond, 1991)","previouslyFormattedCitation":"(Arellano &amp; Bond, 1991)"},"properties":{"noteIndex":0},"schema":"https://github.com/citation-style-language/schema/raw/master/csl-citation.json"}</w:instrText>
      </w:r>
      <w:r w:rsidR="006B1D9B">
        <w:fldChar w:fldCharType="separate"/>
      </w:r>
      <w:r w:rsidR="006B1D9B" w:rsidRPr="008F021B">
        <w:rPr>
          <w:noProof/>
        </w:rPr>
        <w:t>(1991)</w:t>
      </w:r>
      <w:r w:rsidR="006B1D9B">
        <w:fldChar w:fldCharType="end"/>
      </w:r>
      <w:r w:rsidR="006B1D9B">
        <w:t xml:space="preserve"> </w:t>
      </w:r>
      <w:r w:rsidR="008F021B">
        <w:t>estimator</w:t>
      </w:r>
      <w:r w:rsidR="0003141C">
        <w:t xml:space="preserve"> </w:t>
      </w:r>
      <w:r w:rsidR="008F021B">
        <w:t>to address the bias due to the correlation between the lagged dependent variable and the error term in dynamic panel models.</w:t>
      </w:r>
    </w:p>
    <w:p w14:paraId="180300C4" w14:textId="162CA312" w:rsidR="00E40AAA" w:rsidRPr="00101A2A" w:rsidRDefault="008E5308" w:rsidP="00F26AE7">
      <w:pPr>
        <w:pStyle w:val="Heading1"/>
        <w:rPr>
          <w:lang w:val="en-US"/>
        </w:rPr>
      </w:pPr>
      <w:r w:rsidRPr="00101A2A">
        <w:rPr>
          <w:lang w:val="en-US"/>
        </w:rPr>
        <w:t xml:space="preserve">EMPIRICAL </w:t>
      </w:r>
      <w:r w:rsidR="00FE2577" w:rsidRPr="00101A2A">
        <w:rPr>
          <w:lang w:val="en-US"/>
        </w:rPr>
        <w:t>analyses</w:t>
      </w:r>
    </w:p>
    <w:p w14:paraId="1AD300C1" w14:textId="1BF894E9" w:rsidR="00BE63FE" w:rsidRPr="00101A2A" w:rsidRDefault="00707F76" w:rsidP="00DE1E3E">
      <w:r w:rsidRPr="00101A2A">
        <w:t xml:space="preserve">An initial analysis of our data </w:t>
      </w:r>
      <w:r w:rsidR="00D61C8E" w:rsidRPr="00101A2A">
        <w:t xml:space="preserve">suggests </w:t>
      </w:r>
      <w:r w:rsidRPr="00101A2A">
        <w:t>that</w:t>
      </w:r>
      <w:r w:rsidR="00CC777C" w:rsidRPr="00101A2A">
        <w:t xml:space="preserve"> (after</w:t>
      </w:r>
      <w:r w:rsidR="00FD4B98" w:rsidRPr="00101A2A">
        <w:t xml:space="preserve"> </w:t>
      </w:r>
      <w:r w:rsidR="00C64D64" w:rsidRPr="00101A2A">
        <w:t xml:space="preserve">we </w:t>
      </w:r>
      <w:r w:rsidR="00FD4B98" w:rsidRPr="00101A2A">
        <w:t>exclud</w:t>
      </w:r>
      <w:r w:rsidR="00C64D64" w:rsidRPr="00101A2A">
        <w:t>e</w:t>
      </w:r>
      <w:r w:rsidR="00FD4B98" w:rsidRPr="00101A2A">
        <w:t xml:space="preserve"> actors that manage between </w:t>
      </w:r>
      <w:r w:rsidR="00FC07B9" w:rsidRPr="00101A2A">
        <w:t>two</w:t>
      </w:r>
      <w:r w:rsidR="00FD4B98" w:rsidRPr="00101A2A">
        <w:t xml:space="preserve"> and </w:t>
      </w:r>
      <w:r w:rsidR="00FC07B9" w:rsidRPr="00101A2A">
        <w:t>five</w:t>
      </w:r>
      <w:r w:rsidR="00FD4B98" w:rsidRPr="00101A2A">
        <w:t xml:space="preserve"> properties</w:t>
      </w:r>
      <w:r w:rsidR="00CC777C" w:rsidRPr="00101A2A">
        <w:t>)</w:t>
      </w:r>
      <w:r w:rsidRPr="00101A2A">
        <w:t xml:space="preserve"> spanners</w:t>
      </w:r>
      <w:r w:rsidR="00695207" w:rsidRPr="00101A2A">
        <w:t xml:space="preserve"> </w:t>
      </w:r>
      <w:r w:rsidR="00EF05BC" w:rsidRPr="00101A2A">
        <w:t>(</w:t>
      </w:r>
      <w:r w:rsidR="00BC45BF" w:rsidRPr="00101A2A">
        <w:t>single-listing hosts</w:t>
      </w:r>
      <w:r w:rsidR="00EF05BC" w:rsidRPr="00101A2A">
        <w:t xml:space="preserve">) </w:t>
      </w:r>
      <w:r w:rsidRPr="00101A2A">
        <w:t xml:space="preserve">represent </w:t>
      </w:r>
      <w:r w:rsidR="008E42FF" w:rsidRPr="00101A2A">
        <w:t>2</w:t>
      </w:r>
      <w:r w:rsidR="00491603" w:rsidRPr="00101A2A">
        <w:t xml:space="preserve">% </w:t>
      </w:r>
      <w:r w:rsidR="00695207" w:rsidRPr="00101A2A">
        <w:t>(</w:t>
      </w:r>
      <w:r w:rsidR="008E42FF" w:rsidRPr="00101A2A">
        <w:t>98</w:t>
      </w:r>
      <w:r w:rsidR="00491603" w:rsidRPr="00101A2A">
        <w:t>%</w:t>
      </w:r>
      <w:r w:rsidR="00695207" w:rsidRPr="00101A2A">
        <w:t xml:space="preserve">) </w:t>
      </w:r>
      <w:r w:rsidRPr="00101A2A">
        <w:t>of all the hosts</w:t>
      </w:r>
      <w:r w:rsidR="00AB0C13" w:rsidRPr="00101A2A">
        <w:t xml:space="preserve"> in the sample</w:t>
      </w:r>
      <w:r w:rsidR="00E42FF2">
        <w:t>. Their</w:t>
      </w:r>
      <w:r w:rsidR="00AB0C13" w:rsidRPr="00101A2A">
        <w:t xml:space="preserve"> </w:t>
      </w:r>
      <w:r w:rsidRPr="00101A2A">
        <w:t xml:space="preserve">listings represent </w:t>
      </w:r>
      <w:r w:rsidR="008E42FF" w:rsidRPr="00101A2A">
        <w:t>14.1</w:t>
      </w:r>
      <w:r w:rsidR="00491603" w:rsidRPr="00101A2A">
        <w:t xml:space="preserve">% </w:t>
      </w:r>
      <w:r w:rsidR="00EF05BC" w:rsidRPr="00101A2A">
        <w:t>(85.9</w:t>
      </w:r>
      <w:r w:rsidR="00491603" w:rsidRPr="00101A2A">
        <w:t>%</w:t>
      </w:r>
      <w:r w:rsidR="00EF05BC" w:rsidRPr="00101A2A">
        <w:t xml:space="preserve">) </w:t>
      </w:r>
      <w:r w:rsidRPr="00101A2A">
        <w:t xml:space="preserve">of all the listings on Airbnb. The average number of properties managed by the same host in the sample </w:t>
      </w:r>
      <w:r w:rsidR="00523A8E" w:rsidRPr="00101A2A">
        <w:t>i</w:t>
      </w:r>
      <w:r w:rsidR="00CC5B2C" w:rsidRPr="00101A2A">
        <w:t>s</w:t>
      </w:r>
      <w:r w:rsidRPr="00101A2A">
        <w:t xml:space="preserve"> </w:t>
      </w:r>
      <w:r w:rsidR="00F72FB1" w:rsidRPr="00101A2A">
        <w:t>5.1</w:t>
      </w:r>
      <w:r w:rsidRPr="00101A2A">
        <w:t xml:space="preserve">. </w:t>
      </w:r>
      <w:r w:rsidR="00CC7B58" w:rsidRPr="00101A2A">
        <w:t xml:space="preserve">Single-listing hosts represent the median host </w:t>
      </w:r>
      <w:r w:rsidR="00115B5F">
        <w:t>o</w:t>
      </w:r>
      <w:r w:rsidR="00115B5F" w:rsidRPr="00101A2A">
        <w:t xml:space="preserve">n </w:t>
      </w:r>
      <w:r w:rsidR="00CC7B58" w:rsidRPr="00101A2A">
        <w:t xml:space="preserve">Airbnb. </w:t>
      </w:r>
      <w:r w:rsidRPr="00101A2A">
        <w:t xml:space="preserve">The </w:t>
      </w:r>
      <w:r w:rsidR="00695207" w:rsidRPr="00101A2A">
        <w:t xml:space="preserve">average </w:t>
      </w:r>
      <w:r w:rsidRPr="00101A2A">
        <w:t xml:space="preserve">real estate </w:t>
      </w:r>
      <w:r w:rsidR="00097FB8" w:rsidRPr="00101A2A">
        <w:t xml:space="preserve">price </w:t>
      </w:r>
      <w:r w:rsidR="00695207" w:rsidRPr="00101A2A">
        <w:t xml:space="preserve">across zip codes </w:t>
      </w:r>
      <w:r w:rsidR="0018759A" w:rsidRPr="00101A2A">
        <w:t>and months</w:t>
      </w:r>
      <w:r w:rsidRPr="00101A2A">
        <w:t xml:space="preserve"> </w:t>
      </w:r>
      <w:r w:rsidR="00523A8E" w:rsidRPr="00101A2A">
        <w:t>i</w:t>
      </w:r>
      <w:r w:rsidR="00CC5B2C" w:rsidRPr="00101A2A">
        <w:t>s</w:t>
      </w:r>
      <w:r w:rsidRPr="00101A2A">
        <w:t xml:space="preserve"> $</w:t>
      </w:r>
      <w:r w:rsidR="009A0BDE" w:rsidRPr="00101A2A">
        <w:t>47</w:t>
      </w:r>
      <w:r w:rsidR="00D97E4E" w:rsidRPr="00101A2A">
        <w:t>3</w:t>
      </w:r>
      <w:r w:rsidR="009A0BDE" w:rsidRPr="00101A2A">
        <w:t>,</w:t>
      </w:r>
      <w:r w:rsidR="006069E5">
        <w:t>066</w:t>
      </w:r>
      <w:r w:rsidRPr="00101A2A">
        <w:t>.</w:t>
      </w:r>
    </w:p>
    <w:p w14:paraId="20D4CFC4" w14:textId="1A273764" w:rsidR="00707F76" w:rsidRPr="00101A2A" w:rsidRDefault="00E12B40" w:rsidP="00CF04AA">
      <w:r w:rsidRPr="00101A2A">
        <w:t>Table</w:t>
      </w:r>
      <w:r w:rsidR="00D275A1">
        <w:t>s 2 and</w:t>
      </w:r>
      <w:r w:rsidRPr="00101A2A">
        <w:t xml:space="preserve"> </w:t>
      </w:r>
      <w:r w:rsidR="00D275A1">
        <w:t>3</w:t>
      </w:r>
      <w:r w:rsidRPr="00101A2A">
        <w:t xml:space="preserve"> report the </w:t>
      </w:r>
      <w:r w:rsidR="00D275A1" w:rsidRPr="00101A2A">
        <w:t xml:space="preserve">correlations </w:t>
      </w:r>
      <w:r w:rsidR="00D275A1">
        <w:t xml:space="preserve">and </w:t>
      </w:r>
      <w:r w:rsidRPr="00101A2A">
        <w:t>descriptive statistics among our variables</w:t>
      </w:r>
      <w:r w:rsidR="00F462E1" w:rsidRPr="00101A2A">
        <w:t>.</w:t>
      </w:r>
      <w:r w:rsidR="00F462E1" w:rsidRPr="00101A2A">
        <w:rPr>
          <w:rStyle w:val="FootnoteReference"/>
        </w:rPr>
        <w:t xml:space="preserve"> </w:t>
      </w:r>
      <w:r w:rsidR="00F462E1" w:rsidRPr="00101A2A">
        <w:t xml:space="preserve"> In our study, the number of single-listing hosts and the number of spanners </w:t>
      </w:r>
      <w:proofErr w:type="gramStart"/>
      <w:r w:rsidR="0070597B">
        <w:t>are</w:t>
      </w:r>
      <w:proofErr w:type="gramEnd"/>
      <w:r w:rsidR="00F462E1" w:rsidRPr="00101A2A">
        <w:t xml:space="preserve"> moderately correlated (β = .71), and the robustness checks show evidence of biased estimates in models where both variables are present (Appendix Table A2). To address concerns about multicollinearity, which may lead to biased estimates </w:t>
      </w:r>
      <w:r w:rsidR="00F462E1" w:rsidRPr="00101A2A">
        <w:fldChar w:fldCharType="begin" w:fldLock="1"/>
      </w:r>
      <w:r w:rsidR="003749C2">
        <w:instrText>ADDIN CSL_CITATION {"citationItems":[{"id":"ITEM-1","itemData":{"DOI":"10.1002/smj.2783","ISSN":"10970266","abstract":"Research Summary: In multivariate regression analyses of correlated variables, we sometimes observe pairs of estimated beta coefficients large in absolute magnitude and opposite in sign. T-statistics are also large, suggesting meaningful findings. I found 64 recently published Strategic Management Journal articles with results exhibiting these characteristics. In this article, I demonstrate that such results may be Type 1 errors (false positives): If regressors are correlated via an unobservable common factor, estimated beta coefficients will misleadingly tend toward infinite magnitudes in opposite directions, even if the variables’ real effects are small and of the same sign. Diagnostics such as Variance Inflation Factors (VIF) will misleadingly validate Type 1 errors as legitimate results. After establishing general results via mathematical analy- sis and simulation, I provide guidelines for detection and mitigation.Managerial Summary: This article demonstrates mathe- matically how regression analyses with correlated inde- pendent variables may generate beta coefficients of opposite sign to the variables’ true effects. To assess the likelihood of this possibility, I propose that: if (a) absolute correlation of two independent variables is about ±0.3 or more (smaller correlations may be prob- lematic for large data sets), (b) the two variables have beta coefficients of opposite sign, if correlated positively, and of the same sign, if correlated negatively, and (c) the bivariate correlation of one independent variable with the dependent variable is of the opposite sign from the beta coefficient, then the beta might be a false positive. To facilitate such analysis, authors should provide complete correlation tables, including dependent variables, interac- tion terms, and quadratic terms.","author":[{"dropping-particle":"","family":"Kalnins","given":"Arturs","non-dropping-particle":"","parse-names":false,"suffix":""}],"container-title":"Strategic Management Journal","id":"ITEM-1","issue":"8","issued":{"date-parts":[["2018"]]},"page":"2362-2385","title":"Multicollinearity: How common factors cause Type 1 errors in multivariate regression","type":"article-journal","volume":"39"},"uris":["http://www.mendeley.com/documents/?uuid=0bf78fd9-ac57-49e9-be6b-99f6cc2c3787"]}],"mendeley":{"formattedCitation":"(Kalnins, 2018)","plainTextFormattedCitation":"(Kalnins, 2018)","previouslyFormattedCitation":"(Kalnins, 2018)"},"properties":{"noteIndex":0},"schema":"https://github.com/citation-style-language/schema/raw/master/csl-citation.json"}</w:instrText>
      </w:r>
      <w:r w:rsidR="00F462E1" w:rsidRPr="00101A2A">
        <w:fldChar w:fldCharType="separate"/>
      </w:r>
      <w:r w:rsidR="006A7A22" w:rsidRPr="006A7A22">
        <w:rPr>
          <w:noProof/>
        </w:rPr>
        <w:t>(Kalnins, 2018)</w:t>
      </w:r>
      <w:r w:rsidR="00F462E1" w:rsidRPr="00101A2A">
        <w:fldChar w:fldCharType="end"/>
      </w:r>
      <w:r w:rsidR="00F462E1" w:rsidRPr="00101A2A">
        <w:t>, we use</w:t>
      </w:r>
      <w:r w:rsidR="00083E15">
        <w:t>d</w:t>
      </w:r>
      <w:r w:rsidR="00F462E1" w:rsidRPr="00101A2A">
        <w:t xml:space="preserve"> “spanner </w:t>
      </w:r>
      <w:r w:rsidR="00F462E1" w:rsidRPr="00101A2A">
        <w:lastRenderedPageBreak/>
        <w:t xml:space="preserve">proportion” instead of the absolute number of spanners. To </w:t>
      </w:r>
      <w:r w:rsidR="00115B5F" w:rsidRPr="00101A2A">
        <w:t>double</w:t>
      </w:r>
      <w:r w:rsidR="00115B5F">
        <w:t>-</w:t>
      </w:r>
      <w:r w:rsidR="00F462E1" w:rsidRPr="00101A2A">
        <w:t>check the robustness of our results to multicollinearity, we enter</w:t>
      </w:r>
      <w:r w:rsidR="00083E15">
        <w:t>ed</w:t>
      </w:r>
      <w:r w:rsidR="00F462E1" w:rsidRPr="00101A2A">
        <w:t xml:space="preserve"> the control variables into the model one by one </w:t>
      </w:r>
      <w:r w:rsidR="00F462E1" w:rsidRPr="00101A2A">
        <w:fldChar w:fldCharType="begin" w:fldLock="1"/>
      </w:r>
      <w:r w:rsidR="003749C2">
        <w:instrText>ADDIN CSL_CITATION {"citationItems":[{"id":"ITEM-1","itemData":{"DOI":"10.1002/smj.2945","ISSN":"10970266","abstract":"Abstract Research summary We propose that the liability of foreignness applies to individuals and not only to firms. To identify such a liability, we study entrepreneurial firms created by natives and immigrants. Firms created by immigrants have a lower rate of survival than those founded by natives. Work experience in the host country and size of the immigrant’s national community improves the chances of survival of firms founded by immigrants, in particular for firms founded by immigrants from institutionally distant countries. In contrast, the impact of firm age on survival is not significantly different for firms created by natives and immigrants. This indicates that learning by individuals before the creation of firms is more important than learning that occurs at the firm level after firms have been created.","author":[{"dropping-particle":"","family":"Mata","given":"José","non-dropping-particle":"","parse-names":false,"suffix":""},{"dropping-particle":"","family":"Alves","given":"Claudia","non-dropping-particle":"","parse-names":false,"suffix":""}],"container-title":"Strategic Management Journal","id":"ITEM-1","issue":"11","issued":{"date-parts":[["2018"]]},"page":"2965-2991","title":"The survival of firms founded by immigrants: Institutional distance between home and host country, and experience in the host country","type":"article-journal","volume":"39"},"uris":["http://www.mendeley.com/documents/?uuid=84ec428c-5169-4cb9-b3ec-2ad2146779cd"]}],"mendeley":{"formattedCitation":"(Mata &amp; Alves, 2018)","plainTextFormattedCitation":"(Mata &amp; Alves, 2018)","previouslyFormattedCitation":"(Mata &amp; Alves, 2018)"},"properties":{"noteIndex":0},"schema":"https://github.com/citation-style-language/schema/raw/master/csl-citation.json"}</w:instrText>
      </w:r>
      <w:r w:rsidR="00F462E1" w:rsidRPr="00101A2A">
        <w:fldChar w:fldCharType="separate"/>
      </w:r>
      <w:r w:rsidR="006A7A22" w:rsidRPr="006A7A22">
        <w:rPr>
          <w:noProof/>
        </w:rPr>
        <w:t>(Mata &amp; Alves, 2018)</w:t>
      </w:r>
      <w:r w:rsidR="00F462E1" w:rsidRPr="00101A2A">
        <w:fldChar w:fldCharType="end"/>
      </w:r>
      <w:r w:rsidR="00F462E1" w:rsidRPr="00101A2A">
        <w:t xml:space="preserve"> (Appendix Table A3). Spanner proportion </w:t>
      </w:r>
      <w:r w:rsidR="00873EA5">
        <w:t>remained</w:t>
      </w:r>
      <w:r w:rsidR="00F462E1" w:rsidRPr="00101A2A">
        <w:t xml:space="preserve"> stable when we introduce</w:t>
      </w:r>
      <w:r w:rsidR="00083E15">
        <w:t>d</w:t>
      </w:r>
      <w:r w:rsidR="00F462E1" w:rsidRPr="00101A2A">
        <w:t xml:space="preserve"> other controls. </w:t>
      </w:r>
      <w:r w:rsidR="00BF3AC3" w:rsidRPr="00101A2A">
        <w:t>W</w:t>
      </w:r>
      <w:r w:rsidR="0003012F" w:rsidRPr="00101A2A">
        <w:t>e observe that</w:t>
      </w:r>
      <w:r w:rsidR="0070597B">
        <w:t>,</w:t>
      </w:r>
      <w:r w:rsidR="0003012F" w:rsidRPr="00101A2A">
        <w:t xml:space="preserve"> </w:t>
      </w:r>
      <w:r w:rsidR="00622C6D" w:rsidRPr="00101A2A">
        <w:t>unsurprisingly</w:t>
      </w:r>
      <w:r w:rsidR="0070597B">
        <w:t>,</w:t>
      </w:r>
      <w:r w:rsidR="00622C6D" w:rsidRPr="00101A2A">
        <w:t xml:space="preserve"> </w:t>
      </w:r>
      <w:r w:rsidR="0003012F" w:rsidRPr="00101A2A">
        <w:t xml:space="preserve">the measures of </w:t>
      </w:r>
      <w:r w:rsidR="00EE23B6" w:rsidRPr="00101A2A">
        <w:t>p</w:t>
      </w:r>
      <w:r w:rsidR="0003012F" w:rsidRPr="00101A2A">
        <w:t xml:space="preserve">opulation and </w:t>
      </w:r>
      <w:r w:rsidR="00EE23B6" w:rsidRPr="00101A2A">
        <w:t>i</w:t>
      </w:r>
      <w:r w:rsidR="0003012F" w:rsidRPr="00101A2A">
        <w:t xml:space="preserve">ncome </w:t>
      </w:r>
      <w:r w:rsidR="00C374B2" w:rsidRPr="00101A2A">
        <w:t>correlate</w:t>
      </w:r>
      <w:r w:rsidR="0003012F" w:rsidRPr="00101A2A">
        <w:t xml:space="preserve"> positive</w:t>
      </w:r>
      <w:r w:rsidR="00C374B2" w:rsidRPr="00101A2A">
        <w:t>ly</w:t>
      </w:r>
      <w:r w:rsidR="0003012F" w:rsidRPr="00101A2A">
        <w:t xml:space="preserve"> with </w:t>
      </w:r>
      <w:r w:rsidR="00A901E1" w:rsidRPr="00101A2A">
        <w:t>real estate price</w:t>
      </w:r>
      <w:r w:rsidR="006A3BE3">
        <w:t>s</w:t>
      </w:r>
      <w:r w:rsidR="00A160DB" w:rsidRPr="00101A2A">
        <w:t>.</w:t>
      </w:r>
      <w:r w:rsidR="0003012F" w:rsidRPr="00101A2A">
        <w:t xml:space="preserve"> </w:t>
      </w:r>
      <w:r w:rsidR="00597C67" w:rsidRPr="00101A2A">
        <w:t xml:space="preserve">None of </w:t>
      </w:r>
      <w:r w:rsidR="002A6422" w:rsidRPr="00101A2A">
        <w:t xml:space="preserve">our </w:t>
      </w:r>
      <w:r w:rsidR="00AA317A" w:rsidRPr="00101A2A">
        <w:t xml:space="preserve">three </w:t>
      </w:r>
      <w:r w:rsidR="002A6422" w:rsidRPr="00101A2A">
        <w:t>explanatory variables</w:t>
      </w:r>
      <w:r w:rsidR="005832DE" w:rsidRPr="00101A2A">
        <w:t xml:space="preserve"> </w:t>
      </w:r>
      <w:r w:rsidR="00695207" w:rsidRPr="00101A2A">
        <w:t xml:space="preserve">strongly </w:t>
      </w:r>
      <w:r w:rsidR="002A6422" w:rsidRPr="00101A2A">
        <w:t>correlate</w:t>
      </w:r>
      <w:r w:rsidR="00695207" w:rsidRPr="00101A2A">
        <w:t>s</w:t>
      </w:r>
      <w:r w:rsidR="002A6422" w:rsidRPr="00101A2A">
        <w:t xml:space="preserve"> with the control variables.</w:t>
      </w:r>
      <w:r w:rsidR="00A1102B" w:rsidRPr="00101A2A">
        <w:t xml:space="preserve"> </w:t>
      </w:r>
      <w:r w:rsidR="00DE22B2">
        <w:t>Spanner's proportion is, on average, 0.17 and negatively correlates with real estate prices</w:t>
      </w:r>
      <w:r w:rsidR="0070597B">
        <w:t xml:space="preserve"> and a </w:t>
      </w:r>
      <w:r w:rsidR="00E36B65" w:rsidRPr="00101A2A">
        <w:t>regulated market</w:t>
      </w:r>
      <w:r w:rsidR="0003012F" w:rsidRPr="00101A2A">
        <w:t>.</w:t>
      </w:r>
      <w:r w:rsidR="00707F76" w:rsidRPr="00101A2A">
        <w:t xml:space="preserve"> </w:t>
      </w:r>
      <w:r w:rsidR="0003012F" w:rsidRPr="00101A2A">
        <w:t xml:space="preserve">Of course, these correlation values </w:t>
      </w:r>
      <w:r w:rsidR="007B1E07" w:rsidRPr="00101A2A">
        <w:t>must</w:t>
      </w:r>
      <w:r w:rsidR="0003012F" w:rsidRPr="00101A2A">
        <w:t xml:space="preserve"> be </w:t>
      </w:r>
      <w:r w:rsidR="00695207" w:rsidRPr="00101A2A">
        <w:t>interpreted</w:t>
      </w:r>
      <w:r w:rsidR="0003012F" w:rsidRPr="00101A2A">
        <w:t xml:space="preserve"> </w:t>
      </w:r>
      <w:r w:rsidR="00915BDC">
        <w:t>cautiously and</w:t>
      </w:r>
      <w:r w:rsidR="0070597B">
        <w:t xml:space="preserve"> reinforced by a full-fledged regression, the results of which </w:t>
      </w:r>
      <w:r w:rsidR="0003012F" w:rsidRPr="00101A2A">
        <w:t>we present below.</w:t>
      </w:r>
    </w:p>
    <w:p w14:paraId="17FB9E73" w14:textId="3298F9F3" w:rsidR="00E40AAA" w:rsidRPr="00101A2A" w:rsidRDefault="0003012F" w:rsidP="009359E1">
      <w:r w:rsidRPr="00101A2A">
        <w:t xml:space="preserve">========= </w:t>
      </w:r>
      <w:r w:rsidR="00E40AAA" w:rsidRPr="00101A2A">
        <w:t>INSERT TABLE</w:t>
      </w:r>
      <w:r w:rsidR="006069E5">
        <w:t>S</w:t>
      </w:r>
      <w:r w:rsidR="00DB2632" w:rsidRPr="00101A2A">
        <w:t xml:space="preserve"> </w:t>
      </w:r>
      <w:r w:rsidR="00D302EE" w:rsidRPr="00101A2A">
        <w:t>2</w:t>
      </w:r>
      <w:r w:rsidR="006069E5">
        <w:t xml:space="preserve"> AND 3</w:t>
      </w:r>
      <w:r w:rsidR="00E40AAA" w:rsidRPr="00101A2A">
        <w:t xml:space="preserve"> ABOUT HERE</w:t>
      </w:r>
      <w:r w:rsidRPr="00101A2A">
        <w:t xml:space="preserve"> =========</w:t>
      </w:r>
    </w:p>
    <w:p w14:paraId="13E0EBC7" w14:textId="6E43BF01" w:rsidR="00AD7E11" w:rsidRPr="00101A2A" w:rsidRDefault="00AD7E11" w:rsidP="00FC07B9">
      <w:pPr>
        <w:pStyle w:val="Heading2"/>
        <w:rPr>
          <w:shd w:val="clear" w:color="auto" w:fill="auto"/>
        </w:rPr>
      </w:pPr>
      <w:r w:rsidRPr="00101A2A">
        <w:rPr>
          <w:shd w:val="clear" w:color="auto" w:fill="auto"/>
        </w:rPr>
        <w:t xml:space="preserve">Main </w:t>
      </w:r>
      <w:r w:rsidR="00A43DF7" w:rsidRPr="00101A2A">
        <w:rPr>
          <w:shd w:val="clear" w:color="auto" w:fill="auto"/>
        </w:rPr>
        <w:t>F</w:t>
      </w:r>
      <w:r w:rsidRPr="00101A2A">
        <w:rPr>
          <w:shd w:val="clear" w:color="auto" w:fill="auto"/>
        </w:rPr>
        <w:t xml:space="preserve">indings </w:t>
      </w:r>
    </w:p>
    <w:p w14:paraId="02F12076" w14:textId="063BDB51" w:rsidR="00861B36" w:rsidRPr="00101A2A" w:rsidRDefault="00D8058E" w:rsidP="009359E1">
      <w:pPr>
        <w:rPr>
          <w:shd w:val="clear" w:color="auto" w:fill="auto"/>
        </w:rPr>
      </w:pPr>
      <w:r w:rsidRPr="00101A2A">
        <w:rPr>
          <w:shd w:val="clear" w:color="auto" w:fill="auto"/>
        </w:rPr>
        <w:t xml:space="preserve">Table </w:t>
      </w:r>
      <w:r w:rsidR="006069E5">
        <w:rPr>
          <w:shd w:val="clear" w:color="auto" w:fill="auto"/>
        </w:rPr>
        <w:t>4</w:t>
      </w:r>
      <w:r w:rsidRPr="00101A2A">
        <w:rPr>
          <w:shd w:val="clear" w:color="auto" w:fill="auto"/>
        </w:rPr>
        <w:t xml:space="preserve"> reports the main </w:t>
      </w:r>
      <w:r w:rsidR="009E1A36" w:rsidRPr="00101A2A">
        <w:rPr>
          <w:shd w:val="clear" w:color="auto" w:fill="auto"/>
        </w:rPr>
        <w:t xml:space="preserve">findings </w:t>
      </w:r>
      <w:r w:rsidRPr="00101A2A">
        <w:rPr>
          <w:shd w:val="clear" w:color="auto" w:fill="auto"/>
        </w:rPr>
        <w:t>of our analyses</w:t>
      </w:r>
      <w:r w:rsidR="00B5544D" w:rsidRPr="00101A2A">
        <w:rPr>
          <w:shd w:val="clear" w:color="auto" w:fill="auto"/>
        </w:rPr>
        <w:t>.</w:t>
      </w:r>
      <w:r w:rsidR="009359E1" w:rsidRPr="00101A2A">
        <w:rPr>
          <w:shd w:val="clear" w:color="auto" w:fill="auto"/>
        </w:rPr>
        <w:t xml:space="preserve"> The </w:t>
      </w:r>
      <w:r w:rsidR="008615A5" w:rsidRPr="00101A2A">
        <w:rPr>
          <w:shd w:val="clear" w:color="auto" w:fill="auto"/>
        </w:rPr>
        <w:t>dependent</w:t>
      </w:r>
      <w:r w:rsidR="009359E1" w:rsidRPr="00101A2A">
        <w:rPr>
          <w:shd w:val="clear" w:color="auto" w:fill="auto"/>
        </w:rPr>
        <w:t xml:space="preserve"> variable of every model</w:t>
      </w:r>
      <w:r w:rsidR="009743C3" w:rsidRPr="00101A2A">
        <w:rPr>
          <w:shd w:val="clear" w:color="auto" w:fill="auto"/>
        </w:rPr>
        <w:t>, i.e., real estate price (log),</w:t>
      </w:r>
      <w:r w:rsidR="009359E1" w:rsidRPr="00101A2A">
        <w:rPr>
          <w:shd w:val="clear" w:color="auto" w:fill="auto"/>
        </w:rPr>
        <w:t xml:space="preserve"> is one month ahead of the independent variables. </w:t>
      </w:r>
      <w:r w:rsidR="00CF23FD" w:rsidRPr="00101A2A">
        <w:rPr>
          <w:bCs/>
          <w:iCs/>
          <w:shd w:val="clear" w:color="auto" w:fill="auto"/>
        </w:rPr>
        <w:t xml:space="preserve">When we look at our control variables, we see that the increase in </w:t>
      </w:r>
      <w:r w:rsidR="008615A5" w:rsidRPr="00101A2A">
        <w:rPr>
          <w:bCs/>
          <w:iCs/>
          <w:shd w:val="clear" w:color="auto" w:fill="auto"/>
        </w:rPr>
        <w:t>the number</w:t>
      </w:r>
      <w:r w:rsidR="00CF23FD" w:rsidRPr="00101A2A">
        <w:rPr>
          <w:bCs/>
          <w:iCs/>
          <w:shd w:val="clear" w:color="auto" w:fill="auto"/>
        </w:rPr>
        <w:t xml:space="preserve"> of houses sold has a positive </w:t>
      </w:r>
      <w:r w:rsidR="006069E5">
        <w:rPr>
          <w:bCs/>
          <w:iCs/>
          <w:shd w:val="clear" w:color="auto" w:fill="auto"/>
        </w:rPr>
        <w:t xml:space="preserve">but </w:t>
      </w:r>
      <w:r w:rsidR="0070597B">
        <w:rPr>
          <w:bCs/>
          <w:iCs/>
          <w:shd w:val="clear" w:color="auto" w:fill="auto"/>
        </w:rPr>
        <w:t>insignificant</w:t>
      </w:r>
      <w:r w:rsidR="00CF23FD" w:rsidRPr="00101A2A">
        <w:rPr>
          <w:bCs/>
          <w:iCs/>
          <w:shd w:val="clear" w:color="auto" w:fill="auto"/>
        </w:rPr>
        <w:t xml:space="preserve"> effect on real estate price</w:t>
      </w:r>
      <w:r w:rsidR="006A3BE3">
        <w:rPr>
          <w:bCs/>
          <w:iCs/>
          <w:shd w:val="clear" w:color="auto" w:fill="auto"/>
        </w:rPr>
        <w:t>s</w:t>
      </w:r>
      <w:r w:rsidR="0070597B">
        <w:rPr>
          <w:bCs/>
          <w:iCs/>
          <w:shd w:val="clear" w:color="auto" w:fill="auto"/>
        </w:rPr>
        <w:t>. In contrast,</w:t>
      </w:r>
      <w:r w:rsidR="00CF23FD" w:rsidRPr="00101A2A">
        <w:rPr>
          <w:bCs/>
          <w:iCs/>
          <w:shd w:val="clear" w:color="auto" w:fill="auto"/>
        </w:rPr>
        <w:t xml:space="preserve"> the change in </w:t>
      </w:r>
      <w:r w:rsidR="006A3BE3">
        <w:rPr>
          <w:bCs/>
          <w:iCs/>
          <w:shd w:val="clear" w:color="auto" w:fill="auto"/>
        </w:rPr>
        <w:t xml:space="preserve">the </w:t>
      </w:r>
      <w:r w:rsidR="00CF23FD" w:rsidRPr="00101A2A">
        <w:rPr>
          <w:bCs/>
          <w:iCs/>
          <w:shd w:val="clear" w:color="auto" w:fill="auto"/>
        </w:rPr>
        <w:t>number of new building permits has a negative but not significant effect. Income</w:t>
      </w:r>
      <w:r w:rsidR="00A7534F">
        <w:rPr>
          <w:bCs/>
          <w:iCs/>
          <w:shd w:val="clear" w:color="auto" w:fill="auto"/>
        </w:rPr>
        <w:t xml:space="preserve"> and</w:t>
      </w:r>
      <w:r w:rsidR="00CF23FD" w:rsidRPr="00101A2A">
        <w:rPr>
          <w:bCs/>
          <w:iCs/>
          <w:shd w:val="clear" w:color="auto" w:fill="auto"/>
        </w:rPr>
        <w:t xml:space="preserve"> population </w:t>
      </w:r>
      <w:r w:rsidR="0070597B">
        <w:rPr>
          <w:bCs/>
          <w:iCs/>
          <w:shd w:val="clear" w:color="auto" w:fill="auto"/>
        </w:rPr>
        <w:t>significantly affect</w:t>
      </w:r>
      <w:r w:rsidR="00CF23FD" w:rsidRPr="00101A2A">
        <w:rPr>
          <w:bCs/>
          <w:iCs/>
          <w:shd w:val="clear" w:color="auto" w:fill="auto"/>
        </w:rPr>
        <w:t xml:space="preserve"> </w:t>
      </w:r>
      <w:r w:rsidR="000B6FA3" w:rsidRPr="00101A2A">
        <w:rPr>
          <w:bCs/>
          <w:iCs/>
          <w:shd w:val="clear" w:color="auto" w:fill="auto"/>
        </w:rPr>
        <w:t>real estate price</w:t>
      </w:r>
      <w:r w:rsidR="006A3BE3">
        <w:rPr>
          <w:bCs/>
          <w:iCs/>
          <w:shd w:val="clear" w:color="auto" w:fill="auto"/>
        </w:rPr>
        <w:t>s</w:t>
      </w:r>
      <w:r w:rsidR="00CF23FD" w:rsidRPr="00101A2A">
        <w:rPr>
          <w:bCs/>
          <w:iCs/>
          <w:shd w:val="clear" w:color="auto" w:fill="auto"/>
        </w:rPr>
        <w:t xml:space="preserve">: while population </w:t>
      </w:r>
      <w:r w:rsidR="00A7534F">
        <w:rPr>
          <w:bCs/>
          <w:iCs/>
          <w:shd w:val="clear" w:color="auto" w:fill="auto"/>
        </w:rPr>
        <w:t>has</w:t>
      </w:r>
      <w:r w:rsidR="00CF23FD" w:rsidRPr="00101A2A">
        <w:rPr>
          <w:bCs/>
          <w:iCs/>
          <w:shd w:val="clear" w:color="auto" w:fill="auto"/>
        </w:rPr>
        <w:t xml:space="preserve"> a positive </w:t>
      </w:r>
      <w:r w:rsidR="0070597B">
        <w:rPr>
          <w:bCs/>
          <w:iCs/>
          <w:shd w:val="clear" w:color="auto" w:fill="auto"/>
        </w:rPr>
        <w:t>impact</w:t>
      </w:r>
      <w:r w:rsidR="00CF23FD" w:rsidRPr="00101A2A">
        <w:rPr>
          <w:bCs/>
          <w:iCs/>
          <w:shd w:val="clear" w:color="auto" w:fill="auto"/>
        </w:rPr>
        <w:t>, income has a negative effect</w:t>
      </w:r>
      <w:r w:rsidR="006069E5">
        <w:rPr>
          <w:bCs/>
          <w:iCs/>
          <w:shd w:val="clear" w:color="auto" w:fill="auto"/>
        </w:rPr>
        <w:t xml:space="preserve">. </w:t>
      </w:r>
      <w:r w:rsidR="005E1B38">
        <w:rPr>
          <w:bCs/>
          <w:iCs/>
          <w:shd w:val="clear" w:color="auto" w:fill="auto"/>
        </w:rPr>
        <w:t>The n</w:t>
      </w:r>
      <w:r w:rsidR="006069E5">
        <w:rPr>
          <w:bCs/>
          <w:iCs/>
          <w:shd w:val="clear" w:color="auto" w:fill="auto"/>
        </w:rPr>
        <w:t xml:space="preserve">umber of reviews has a positive but not significant </w:t>
      </w:r>
      <w:r w:rsidR="0070597B">
        <w:rPr>
          <w:bCs/>
          <w:iCs/>
          <w:shd w:val="clear" w:color="auto" w:fill="auto"/>
        </w:rPr>
        <w:t>impact</w:t>
      </w:r>
      <w:r w:rsidR="006069E5">
        <w:rPr>
          <w:bCs/>
          <w:iCs/>
          <w:shd w:val="clear" w:color="auto" w:fill="auto"/>
        </w:rPr>
        <w:t xml:space="preserve"> on the real estate price</w:t>
      </w:r>
      <w:r w:rsidR="00CF23FD" w:rsidRPr="00101A2A">
        <w:rPr>
          <w:bCs/>
          <w:iCs/>
          <w:shd w:val="clear" w:color="auto" w:fill="auto"/>
        </w:rPr>
        <w:t xml:space="preserve">. Finally, </w:t>
      </w:r>
      <w:r w:rsidR="00B82E77" w:rsidRPr="00101A2A">
        <w:rPr>
          <w:bCs/>
          <w:iCs/>
          <w:shd w:val="clear" w:color="auto" w:fill="auto"/>
        </w:rPr>
        <w:t>r</w:t>
      </w:r>
      <w:r w:rsidR="00CF23FD" w:rsidRPr="00101A2A">
        <w:rPr>
          <w:bCs/>
          <w:iCs/>
          <w:shd w:val="clear" w:color="auto" w:fill="auto"/>
        </w:rPr>
        <w:t>eal estate price at t</w:t>
      </w:r>
      <w:r w:rsidR="00CF23FD" w:rsidRPr="00101A2A">
        <w:rPr>
          <w:bCs/>
          <w:iCs/>
          <w:shd w:val="clear" w:color="auto" w:fill="auto"/>
          <w:vertAlign w:val="subscript"/>
        </w:rPr>
        <w:t>0</w:t>
      </w:r>
      <w:r w:rsidR="00CF23FD" w:rsidRPr="00101A2A">
        <w:rPr>
          <w:bCs/>
          <w:iCs/>
          <w:shd w:val="clear" w:color="auto" w:fill="auto"/>
        </w:rPr>
        <w:t xml:space="preserve"> has a positive and significant effect </w:t>
      </w:r>
      <w:r w:rsidR="00856AB1" w:rsidRPr="00101A2A">
        <w:rPr>
          <w:bCs/>
          <w:iCs/>
          <w:shd w:val="clear" w:color="auto" w:fill="auto"/>
        </w:rPr>
        <w:t xml:space="preserve">on </w:t>
      </w:r>
      <w:r w:rsidR="00CF23FD" w:rsidRPr="00101A2A">
        <w:rPr>
          <w:bCs/>
          <w:iCs/>
          <w:shd w:val="clear" w:color="auto" w:fill="auto"/>
        </w:rPr>
        <w:t xml:space="preserve">and </w:t>
      </w:r>
      <w:r w:rsidR="0070597B">
        <w:rPr>
          <w:bCs/>
          <w:iCs/>
          <w:shd w:val="clear" w:color="auto" w:fill="auto"/>
        </w:rPr>
        <w:t>strongly predicts</w:t>
      </w:r>
      <w:r w:rsidR="00CF23FD" w:rsidRPr="00101A2A">
        <w:rPr>
          <w:bCs/>
          <w:iCs/>
          <w:shd w:val="clear" w:color="auto" w:fill="auto"/>
        </w:rPr>
        <w:t xml:space="preserve"> real estate price at t</w:t>
      </w:r>
      <w:r w:rsidR="00CF23FD" w:rsidRPr="00101A2A">
        <w:rPr>
          <w:bCs/>
          <w:iCs/>
          <w:shd w:val="clear" w:color="auto" w:fill="auto"/>
          <w:vertAlign w:val="subscript"/>
        </w:rPr>
        <w:t>1</w:t>
      </w:r>
      <w:r w:rsidR="006069E5">
        <w:rPr>
          <w:bCs/>
          <w:iCs/>
          <w:shd w:val="clear" w:color="auto" w:fill="auto"/>
          <w:vertAlign w:val="subscript"/>
        </w:rPr>
        <w:t xml:space="preserve"> </w:t>
      </w:r>
      <w:r w:rsidR="006069E5" w:rsidRPr="00101A2A">
        <w:rPr>
          <w:bCs/>
          <w:iCs/>
          <w:shd w:val="clear" w:color="auto" w:fill="auto"/>
        </w:rPr>
        <w:t xml:space="preserve">(Model 1 in Table </w:t>
      </w:r>
      <w:r w:rsidR="005E1B38">
        <w:rPr>
          <w:bCs/>
          <w:iCs/>
          <w:shd w:val="clear" w:color="auto" w:fill="auto"/>
        </w:rPr>
        <w:t>4</w:t>
      </w:r>
      <w:r w:rsidR="006069E5" w:rsidRPr="00101A2A">
        <w:rPr>
          <w:bCs/>
          <w:iCs/>
          <w:shd w:val="clear" w:color="auto" w:fill="auto"/>
        </w:rPr>
        <w:t>)</w:t>
      </w:r>
      <w:r w:rsidR="00CF23FD" w:rsidRPr="00101A2A">
        <w:rPr>
          <w:bCs/>
          <w:iCs/>
          <w:shd w:val="clear" w:color="auto" w:fill="auto"/>
        </w:rPr>
        <w:t>.</w:t>
      </w:r>
    </w:p>
    <w:p w14:paraId="20910639" w14:textId="7EA8E933" w:rsidR="00E40AAA" w:rsidRPr="00101A2A" w:rsidRDefault="00263B0E" w:rsidP="008B1172">
      <w:pPr>
        <w:pStyle w:val="Heading3"/>
        <w:rPr>
          <w:bCs/>
          <w:iCs/>
          <w:lang w:val="en-US"/>
        </w:rPr>
      </w:pPr>
      <w:r w:rsidRPr="00101A2A">
        <w:rPr>
          <w:lang w:val="en-US"/>
        </w:rPr>
        <w:t>Spanner proportion</w:t>
      </w:r>
      <w:r w:rsidR="00A43DF7" w:rsidRPr="00101A2A">
        <w:rPr>
          <w:lang w:val="en-US"/>
        </w:rPr>
        <w:t xml:space="preserve">. </w:t>
      </w:r>
      <w:r w:rsidR="00EC7A26" w:rsidRPr="00101A2A">
        <w:rPr>
          <w:b w:val="0"/>
          <w:bCs/>
          <w:i w:val="0"/>
          <w:iCs/>
          <w:lang w:val="en-US"/>
        </w:rPr>
        <w:t xml:space="preserve">Model </w:t>
      </w:r>
      <w:r w:rsidR="00894B2B" w:rsidRPr="00101A2A">
        <w:rPr>
          <w:b w:val="0"/>
          <w:bCs/>
          <w:i w:val="0"/>
          <w:iCs/>
          <w:lang w:val="en-US"/>
        </w:rPr>
        <w:t>2</w:t>
      </w:r>
      <w:r w:rsidR="00EC7A26" w:rsidRPr="00101A2A">
        <w:rPr>
          <w:b w:val="0"/>
          <w:bCs/>
          <w:i w:val="0"/>
          <w:iCs/>
          <w:lang w:val="en-US"/>
        </w:rPr>
        <w:t xml:space="preserve"> </w:t>
      </w:r>
      <w:r w:rsidR="008240B1" w:rsidRPr="00101A2A">
        <w:rPr>
          <w:b w:val="0"/>
          <w:bCs/>
          <w:i w:val="0"/>
          <w:iCs/>
          <w:lang w:val="en-US"/>
        </w:rPr>
        <w:t xml:space="preserve">in </w:t>
      </w:r>
      <w:r w:rsidR="00D8058E" w:rsidRPr="00101A2A">
        <w:rPr>
          <w:b w:val="0"/>
          <w:bCs/>
          <w:i w:val="0"/>
          <w:iCs/>
          <w:lang w:val="en-US"/>
        </w:rPr>
        <w:t xml:space="preserve">Table </w:t>
      </w:r>
      <w:r w:rsidR="006069E5">
        <w:rPr>
          <w:b w:val="0"/>
          <w:bCs/>
          <w:i w:val="0"/>
          <w:iCs/>
          <w:lang w:val="en-US"/>
        </w:rPr>
        <w:t>4</w:t>
      </w:r>
      <w:r w:rsidR="00D8058E" w:rsidRPr="00101A2A">
        <w:rPr>
          <w:b w:val="0"/>
          <w:bCs/>
          <w:i w:val="0"/>
          <w:iCs/>
          <w:lang w:val="en-US"/>
        </w:rPr>
        <w:t xml:space="preserve"> </w:t>
      </w:r>
      <w:r w:rsidR="009E1A36" w:rsidRPr="00101A2A">
        <w:rPr>
          <w:b w:val="0"/>
          <w:bCs/>
          <w:i w:val="0"/>
          <w:iCs/>
          <w:lang w:val="en-US"/>
        </w:rPr>
        <w:t xml:space="preserve">measures </w:t>
      </w:r>
      <w:r w:rsidR="00E40AAA" w:rsidRPr="00101A2A">
        <w:rPr>
          <w:b w:val="0"/>
          <w:bCs/>
          <w:i w:val="0"/>
          <w:iCs/>
          <w:lang w:val="en-US"/>
        </w:rPr>
        <w:t>the extent to which</w:t>
      </w:r>
      <w:r w:rsidR="00850934" w:rsidRPr="00101A2A">
        <w:rPr>
          <w:b w:val="0"/>
          <w:bCs/>
          <w:i w:val="0"/>
          <w:iCs/>
          <w:lang w:val="en-US"/>
        </w:rPr>
        <w:t xml:space="preserve"> </w:t>
      </w:r>
      <w:r w:rsidRPr="00101A2A">
        <w:rPr>
          <w:b w:val="0"/>
          <w:bCs/>
          <w:i w:val="0"/>
          <w:iCs/>
          <w:lang w:val="en-US"/>
        </w:rPr>
        <w:t>spanner proportion</w:t>
      </w:r>
      <w:r w:rsidR="00C87DEE" w:rsidRPr="00101A2A">
        <w:rPr>
          <w:b w:val="0"/>
          <w:bCs/>
          <w:i w:val="0"/>
          <w:iCs/>
          <w:lang w:val="en-US"/>
        </w:rPr>
        <w:t xml:space="preserve"> </w:t>
      </w:r>
      <w:r w:rsidR="00E40AAA" w:rsidRPr="00101A2A">
        <w:rPr>
          <w:b w:val="0"/>
          <w:bCs/>
          <w:i w:val="0"/>
          <w:iCs/>
          <w:lang w:val="en-US"/>
        </w:rPr>
        <w:t>increase</w:t>
      </w:r>
      <w:r w:rsidR="00547A8F" w:rsidRPr="00101A2A">
        <w:rPr>
          <w:b w:val="0"/>
          <w:bCs/>
          <w:i w:val="0"/>
          <w:iCs/>
          <w:lang w:val="en-US"/>
        </w:rPr>
        <w:t>s</w:t>
      </w:r>
      <w:r w:rsidR="00E40AAA" w:rsidRPr="00101A2A">
        <w:rPr>
          <w:b w:val="0"/>
          <w:bCs/>
          <w:i w:val="0"/>
          <w:iCs/>
          <w:lang w:val="en-US"/>
        </w:rPr>
        <w:t xml:space="preserve"> the price of </w:t>
      </w:r>
      <w:r w:rsidR="00A64374" w:rsidRPr="00101A2A">
        <w:rPr>
          <w:b w:val="0"/>
          <w:bCs/>
          <w:i w:val="0"/>
          <w:iCs/>
          <w:lang w:val="en-US"/>
        </w:rPr>
        <w:t>real estate properties</w:t>
      </w:r>
      <w:r w:rsidR="00E40AAA" w:rsidRPr="00101A2A">
        <w:rPr>
          <w:b w:val="0"/>
          <w:bCs/>
          <w:i w:val="0"/>
          <w:iCs/>
          <w:lang w:val="en-US"/>
        </w:rPr>
        <w:t xml:space="preserve">. </w:t>
      </w:r>
      <w:r w:rsidR="00622C6D" w:rsidRPr="00101A2A">
        <w:rPr>
          <w:b w:val="0"/>
          <w:bCs/>
          <w:i w:val="0"/>
          <w:iCs/>
          <w:lang w:val="en-US"/>
        </w:rPr>
        <w:t>In line with</w:t>
      </w:r>
      <w:r w:rsidR="00B82E77" w:rsidRPr="00101A2A">
        <w:rPr>
          <w:b w:val="0"/>
          <w:bCs/>
          <w:i w:val="0"/>
          <w:iCs/>
          <w:lang w:val="en-US"/>
        </w:rPr>
        <w:t xml:space="preserve"> evidence from</w:t>
      </w:r>
      <w:r w:rsidR="00712D90" w:rsidRPr="00101A2A">
        <w:rPr>
          <w:b w:val="0"/>
          <w:bCs/>
          <w:i w:val="0"/>
          <w:iCs/>
          <w:lang w:val="en-US"/>
        </w:rPr>
        <w:t xml:space="preserve"> previous studies</w:t>
      </w:r>
      <w:r w:rsidR="009359E1" w:rsidRPr="00101A2A">
        <w:rPr>
          <w:b w:val="0"/>
          <w:bCs/>
          <w:i w:val="0"/>
          <w:iCs/>
          <w:lang w:val="en-US"/>
        </w:rPr>
        <w:t xml:space="preserve"> </w:t>
      </w:r>
      <w:r w:rsidR="009359E1" w:rsidRPr="00101A2A">
        <w:rPr>
          <w:b w:val="0"/>
          <w:bCs/>
          <w:i w:val="0"/>
          <w:iCs/>
          <w:lang w:val="en-US"/>
        </w:rPr>
        <w:fldChar w:fldCharType="begin" w:fldLock="1"/>
      </w:r>
      <w:r w:rsidR="00920500">
        <w:rPr>
          <w:b w:val="0"/>
          <w:bCs/>
          <w:i w:val="0"/>
          <w:iCs/>
          <w:lang w:val="en-US"/>
        </w:rPr>
        <w:instrText>ADDIN CSL_CITATION {"citationItems":[{"id":"ITEM-1","itemData":{"abstract":"We assess the impact of home-sharing on residential house prices and rental rates. Using a comprehensive dataset on Airbnb listings from the whole United States, we regress zipcode level house prices and rental rates on the number of Airbnb listings, controlling for endogeneity using a shift-share instrumental variable strategy. We find that a 10% increase in Airbnb listings leads to a 0.39% increase in rents and a 0.64% increase in house prices. Moreover, we find that the effect of Airbnb is smaller in zipcodes with a larger share of owner-occupiers, suggesting that it is the absentee landlords who are on the margin of substituting their homes away from the rental market and into Airbnb. We present a simple model that rationalizes these findings.","author":[{"dropping-particle":"","family":"Barron","given":"Kyle","non-dropping-particle":"","parse-names":false,"suffix":""},{"dropping-particle":"","family":"Kung","given":"Edward","non-dropping-particle":"","parse-names":false,"suffix":""},{"dropping-particle":"","family":"Proserpio","given":"Davide","non-dropping-particle":"","parse-names":false,"suffix":""}],"container-title":"Marketing Science","id":"ITEM-1","issue":"1","issued":{"date-parts":[["2021"]]},"page":"23-47","title":"The effect of home-sharing on house prices and rents: Evidence from Airbnb","type":"article-journal","volume":"40"},"uris":["http://www.mendeley.com/documents/?uuid=c3795c9e-bff0-472b-89fd-6e5c064ded01"]},{"id":"ITEM-2","itemData":{"DOI":"10.2139/ssrn.3435105","abstract":"This paper examines the impact of Airbnb on the local rental housing market. Airbnb provides landlords an alternative opportunity to rent to short-term tourists, potentially causing some property owners to switch away from long-term rental to local residents, thereby affecting the rental housing supply and afforability. Despite recent government regulations to address this concern, it remains unclear whether and what type of properties are switching.","author":[{"dropping-particle":"","family":"Li","given":"Hui","non-dropping-particle":"","parse-names":false,"suffix":""},{"dropping-particle":"","family":"Kim","given":"Yijin","non-dropping-particle":"","parse-names":false,"suffix":""},{"dropping-particle":"","family":"Srinivasan","given":"Kannan","non-dropping-particle":"","parse-names":false,"suffix":""}],"container-title":"Management Science","id":"ITEM-2","issue":"11","issued":{"date-parts":[["2022"]]},"page":"8015-8044","title":"Market Shifts in the Sharing Economy: The Impact of Airbnb on Housing Rentals","type":"article-journal","volume":"68"},"uris":["http://www.mendeley.com/documents/?uuid=a9115a92-0fdb-435d-92ec-630176016aea"]},{"id":"ITEM-3","itemData":{"DOI":"10.2139/ssrn.3257521","ISBN":"0000000302","abstract":"As cities debate how to regulate Airbnb and other home-sharing services, we study the impacts of home sharing on local residential real estate markets. By accommodating transient travelers with short-term rental properties, home-sharing platforms have evolved as a major alternative channel that attracts the growing supply of residential properties. However, on the demand side of local residential markets, home-sharing platforms are not a viable option for residents. To demonstrate this dynamic between home sharing and local residential markets, we leverage a unique quasi-experiment on Airbnb—a platform policy that caps the number of properties a host can manage in a city—and find that the policy reduced rents (in the long-term rental markets) and home values (in the for-sale housing markets) by about 3% and did not affect the price-to-rent ratio. Consistent with the conjecture, we find that the policy impacts can be attributed to increased supply in local residential markets because of the policy. Quantitatively, our estimates suggest that, if the density of affected Airbnb properties is 1% higher in a market, the policy may further decrease rents and home values by about 0.03%–0.06%, which is similar across each policy-affected city. Our empirical findings add to the debate about the impacts of home sharing on local residential markets with a novel data set and a unique identification strategy. Practically speaking, our research is a timely response to the debate on regulating home sharing and has implications for various stakeholders of the residential real estate markets.","author":[{"dropping-particle":"","family":"Chen","given":"Wei","non-dropping-particle":"","parse-names":false,"suffix":""},{"dropping-particle":"","family":"Wei","given":"Zaiyan","non-dropping-particle":"","parse-names":false,"suffix":""},{"dropping-particle":"","family":"Xie","given":"Karen","non-dropping-particle":"","parse-names":false,"suffix":""}],"container-title":"Management Science","id":"ITEM-3","issue":"12","issued":{"date-parts":[["2022"]]},"page":"8589-8612","title":"The Battle for Homes: How Does Home Sharing Disrupt Local Residential Markets?","type":"article-journal","volume":"68"},"uris":["http://www.mendeley.com/documents/?uuid=5112e5d4-27be-416a-819a-a389df846e47"]}],"mendeley":{"formattedCitation":"(Barron et al., 2021; Chen et al., 2022; Li et al., 2022)","manualFormatting":"(Barron et al., 2021; Chen et al., 2022; Li et al., 2022)","plainTextFormattedCitation":"(Barron et al., 2021; Chen et al., 2022; Li et al., 2022)","previouslyFormattedCitation":"(Barron et al., 2021; Chen et al., 2022; Li et al., 2022)"},"properties":{"noteIndex":0},"schema":"https://github.com/citation-style-language/schema/raw/master/csl-citation.json"}</w:instrText>
      </w:r>
      <w:r w:rsidR="009359E1" w:rsidRPr="00101A2A">
        <w:rPr>
          <w:b w:val="0"/>
          <w:bCs/>
          <w:i w:val="0"/>
          <w:iCs/>
          <w:lang w:val="en-US"/>
        </w:rPr>
        <w:fldChar w:fldCharType="separate"/>
      </w:r>
      <w:r w:rsidR="00B82E77" w:rsidRPr="00101A2A">
        <w:rPr>
          <w:b w:val="0"/>
          <w:bCs/>
          <w:i w:val="0"/>
          <w:iCs/>
          <w:noProof/>
          <w:lang w:val="en-US"/>
        </w:rPr>
        <w:t>(Barron et al.</w:t>
      </w:r>
      <w:r w:rsidR="00A7664D" w:rsidRPr="00101A2A">
        <w:rPr>
          <w:b w:val="0"/>
          <w:bCs/>
          <w:i w:val="0"/>
          <w:iCs/>
          <w:noProof/>
          <w:lang w:val="en-US"/>
        </w:rPr>
        <w:t>,</w:t>
      </w:r>
      <w:r w:rsidR="00B82E77" w:rsidRPr="00101A2A">
        <w:rPr>
          <w:b w:val="0"/>
          <w:bCs/>
          <w:i w:val="0"/>
          <w:iCs/>
          <w:noProof/>
          <w:lang w:val="en-US"/>
        </w:rPr>
        <w:t xml:space="preserve"> 2021</w:t>
      </w:r>
      <w:r w:rsidR="00A7664D" w:rsidRPr="00101A2A">
        <w:rPr>
          <w:b w:val="0"/>
          <w:bCs/>
          <w:i w:val="0"/>
          <w:iCs/>
          <w:noProof/>
          <w:lang w:val="en-US"/>
        </w:rPr>
        <w:t>;</w:t>
      </w:r>
      <w:r w:rsidR="00B82E77" w:rsidRPr="00101A2A">
        <w:rPr>
          <w:b w:val="0"/>
          <w:bCs/>
          <w:i w:val="0"/>
          <w:iCs/>
          <w:noProof/>
          <w:lang w:val="en-US"/>
        </w:rPr>
        <w:t xml:space="preserve"> Chen et al.</w:t>
      </w:r>
      <w:r w:rsidR="00A7664D" w:rsidRPr="00101A2A">
        <w:rPr>
          <w:b w:val="0"/>
          <w:bCs/>
          <w:i w:val="0"/>
          <w:iCs/>
          <w:noProof/>
          <w:lang w:val="en-US"/>
        </w:rPr>
        <w:t>,</w:t>
      </w:r>
      <w:r w:rsidR="00B82E77" w:rsidRPr="00101A2A">
        <w:rPr>
          <w:b w:val="0"/>
          <w:bCs/>
          <w:i w:val="0"/>
          <w:iCs/>
          <w:noProof/>
          <w:lang w:val="en-US"/>
        </w:rPr>
        <w:t xml:space="preserve"> 2022</w:t>
      </w:r>
      <w:r w:rsidR="00A7664D" w:rsidRPr="00101A2A">
        <w:rPr>
          <w:b w:val="0"/>
          <w:bCs/>
          <w:i w:val="0"/>
          <w:iCs/>
          <w:noProof/>
          <w:lang w:val="en-US"/>
        </w:rPr>
        <w:t>;</w:t>
      </w:r>
      <w:r w:rsidR="00B82E77" w:rsidRPr="00101A2A">
        <w:rPr>
          <w:b w:val="0"/>
          <w:bCs/>
          <w:i w:val="0"/>
          <w:iCs/>
          <w:noProof/>
          <w:lang w:val="en-US"/>
        </w:rPr>
        <w:t xml:space="preserve"> Li et al.</w:t>
      </w:r>
      <w:r w:rsidR="00A7664D" w:rsidRPr="00101A2A">
        <w:rPr>
          <w:b w:val="0"/>
          <w:bCs/>
          <w:i w:val="0"/>
          <w:iCs/>
          <w:noProof/>
          <w:lang w:val="en-US"/>
        </w:rPr>
        <w:t>,</w:t>
      </w:r>
      <w:r w:rsidR="00B82E77" w:rsidRPr="00101A2A">
        <w:rPr>
          <w:b w:val="0"/>
          <w:bCs/>
          <w:i w:val="0"/>
          <w:iCs/>
          <w:noProof/>
          <w:lang w:val="en-US"/>
        </w:rPr>
        <w:t xml:space="preserve"> 2022)</w:t>
      </w:r>
      <w:r w:rsidR="009359E1" w:rsidRPr="00101A2A">
        <w:rPr>
          <w:b w:val="0"/>
          <w:bCs/>
          <w:i w:val="0"/>
          <w:iCs/>
          <w:lang w:val="en-US"/>
        </w:rPr>
        <w:fldChar w:fldCharType="end"/>
      </w:r>
      <w:r w:rsidR="009359E1" w:rsidRPr="00101A2A">
        <w:rPr>
          <w:b w:val="0"/>
          <w:bCs/>
          <w:i w:val="0"/>
          <w:iCs/>
          <w:lang w:val="en-US"/>
        </w:rPr>
        <w:t xml:space="preserve">, </w:t>
      </w:r>
      <w:r w:rsidR="004E0AAF" w:rsidRPr="00101A2A">
        <w:rPr>
          <w:b w:val="0"/>
          <w:bCs/>
          <w:i w:val="0"/>
          <w:iCs/>
          <w:lang w:val="en-US"/>
        </w:rPr>
        <w:t>we find that</w:t>
      </w:r>
      <w:r w:rsidR="00E40AAA" w:rsidRPr="00101A2A">
        <w:rPr>
          <w:b w:val="0"/>
          <w:bCs/>
          <w:i w:val="0"/>
          <w:iCs/>
          <w:lang w:val="en-US"/>
        </w:rPr>
        <w:t xml:space="preserve"> </w:t>
      </w:r>
      <w:r w:rsidR="004E0AAF" w:rsidRPr="00101A2A">
        <w:rPr>
          <w:b w:val="0"/>
          <w:bCs/>
          <w:i w:val="0"/>
          <w:iCs/>
          <w:lang w:val="en-US"/>
        </w:rPr>
        <w:t>spanner proportion</w:t>
      </w:r>
      <w:r w:rsidR="00867E73" w:rsidRPr="00101A2A">
        <w:rPr>
          <w:b w:val="0"/>
          <w:bCs/>
          <w:i w:val="0"/>
          <w:iCs/>
          <w:lang w:val="en-US"/>
        </w:rPr>
        <w:t xml:space="preserve"> </w:t>
      </w:r>
      <w:r w:rsidR="00E40AAA" w:rsidRPr="00101A2A">
        <w:rPr>
          <w:b w:val="0"/>
          <w:bCs/>
          <w:i w:val="0"/>
          <w:iCs/>
          <w:lang w:val="en-US"/>
        </w:rPr>
        <w:t>ha</w:t>
      </w:r>
      <w:r w:rsidR="007A47FC" w:rsidRPr="00101A2A">
        <w:rPr>
          <w:b w:val="0"/>
          <w:bCs/>
          <w:i w:val="0"/>
          <w:iCs/>
          <w:lang w:val="en-US"/>
        </w:rPr>
        <w:t>s</w:t>
      </w:r>
      <w:r w:rsidR="00E40AAA" w:rsidRPr="00101A2A">
        <w:rPr>
          <w:b w:val="0"/>
          <w:bCs/>
          <w:i w:val="0"/>
          <w:iCs/>
          <w:lang w:val="en-US"/>
        </w:rPr>
        <w:t xml:space="preserve"> a positive</w:t>
      </w:r>
      <w:r w:rsidR="00867E73" w:rsidRPr="00101A2A">
        <w:rPr>
          <w:b w:val="0"/>
          <w:bCs/>
          <w:i w:val="0"/>
          <w:iCs/>
          <w:lang w:val="en-US"/>
        </w:rPr>
        <w:t xml:space="preserve"> </w:t>
      </w:r>
      <w:r w:rsidR="00BB1812" w:rsidRPr="00101A2A">
        <w:rPr>
          <w:b w:val="0"/>
          <w:bCs/>
          <w:i w:val="0"/>
          <w:iCs/>
          <w:lang w:val="en-US"/>
        </w:rPr>
        <w:t>and</w:t>
      </w:r>
      <w:r w:rsidR="00867E73" w:rsidRPr="00101A2A">
        <w:rPr>
          <w:b w:val="0"/>
          <w:bCs/>
          <w:i w:val="0"/>
          <w:iCs/>
          <w:lang w:val="en-US"/>
        </w:rPr>
        <w:t xml:space="preserve"> </w:t>
      </w:r>
      <w:r w:rsidR="00E40AAA" w:rsidRPr="00101A2A">
        <w:rPr>
          <w:b w:val="0"/>
          <w:bCs/>
          <w:i w:val="0"/>
          <w:iCs/>
          <w:lang w:val="en-US"/>
        </w:rPr>
        <w:t xml:space="preserve">significant effect on </w:t>
      </w:r>
      <w:r w:rsidR="00B82E77" w:rsidRPr="00101A2A">
        <w:rPr>
          <w:b w:val="0"/>
          <w:bCs/>
          <w:i w:val="0"/>
          <w:iCs/>
          <w:lang w:val="en-US"/>
        </w:rPr>
        <w:t>r</w:t>
      </w:r>
      <w:r w:rsidR="00A901E1" w:rsidRPr="00101A2A">
        <w:rPr>
          <w:b w:val="0"/>
          <w:bCs/>
          <w:i w:val="0"/>
          <w:iCs/>
          <w:lang w:val="en-US"/>
        </w:rPr>
        <w:t>eal estate prices</w:t>
      </w:r>
      <w:r w:rsidR="005342B7" w:rsidRPr="00101A2A">
        <w:rPr>
          <w:b w:val="0"/>
          <w:bCs/>
          <w:i w:val="0"/>
          <w:iCs/>
          <w:lang w:val="en-US"/>
        </w:rPr>
        <w:t xml:space="preserve"> </w:t>
      </w:r>
      <w:r w:rsidR="0080054C" w:rsidRPr="00101A2A">
        <w:rPr>
          <w:b w:val="0"/>
          <w:bCs/>
          <w:i w:val="0"/>
          <w:iCs/>
          <w:lang w:val="en-US"/>
        </w:rPr>
        <w:t>at t</w:t>
      </w:r>
      <w:r w:rsidR="0080054C" w:rsidRPr="00101A2A">
        <w:rPr>
          <w:b w:val="0"/>
          <w:bCs/>
          <w:i w:val="0"/>
          <w:iCs/>
          <w:vertAlign w:val="subscript"/>
          <w:lang w:val="en-US"/>
        </w:rPr>
        <w:t>1</w:t>
      </w:r>
      <w:r w:rsidR="0080054C" w:rsidRPr="00101A2A">
        <w:rPr>
          <w:b w:val="0"/>
          <w:bCs/>
          <w:i w:val="0"/>
          <w:iCs/>
          <w:lang w:val="en-US"/>
        </w:rPr>
        <w:t xml:space="preserve"> </w:t>
      </w:r>
      <w:r w:rsidR="00E40AAA" w:rsidRPr="00101A2A">
        <w:rPr>
          <w:b w:val="0"/>
          <w:bCs/>
          <w:i w:val="0"/>
          <w:iCs/>
          <w:lang w:val="en-US"/>
        </w:rPr>
        <w:t>(</w:t>
      </w:r>
      <w:r w:rsidR="00CF23FD" w:rsidRPr="00101A2A">
        <w:rPr>
          <w:b w:val="0"/>
          <w:bCs/>
          <w:i w:val="0"/>
          <w:iCs/>
          <w:lang w:val="en-US"/>
        </w:rPr>
        <w:t>β = 0.00</w:t>
      </w:r>
      <w:r w:rsidR="00E75865">
        <w:rPr>
          <w:b w:val="0"/>
          <w:bCs/>
          <w:i w:val="0"/>
          <w:iCs/>
          <w:lang w:val="en-US"/>
        </w:rPr>
        <w:t>2</w:t>
      </w:r>
      <w:r w:rsidR="00CF23FD" w:rsidRPr="00101A2A">
        <w:rPr>
          <w:b w:val="0"/>
          <w:bCs/>
          <w:i w:val="0"/>
          <w:iCs/>
          <w:lang w:val="en-US"/>
        </w:rPr>
        <w:t xml:space="preserve">, p </w:t>
      </w:r>
      <w:r w:rsidR="00647BEF" w:rsidRPr="00101A2A">
        <w:rPr>
          <w:b w:val="0"/>
          <w:bCs/>
          <w:i w:val="0"/>
          <w:iCs/>
          <w:lang w:val="en-US"/>
        </w:rPr>
        <w:t>&lt;</w:t>
      </w:r>
      <w:r w:rsidR="00CF23FD" w:rsidRPr="00101A2A">
        <w:rPr>
          <w:b w:val="0"/>
          <w:bCs/>
          <w:i w:val="0"/>
          <w:iCs/>
          <w:lang w:val="en-US"/>
        </w:rPr>
        <w:t xml:space="preserve"> .0</w:t>
      </w:r>
      <w:r w:rsidR="00E75865">
        <w:rPr>
          <w:b w:val="0"/>
          <w:bCs/>
          <w:i w:val="0"/>
          <w:iCs/>
          <w:lang w:val="en-US"/>
        </w:rPr>
        <w:t>1</w:t>
      </w:r>
      <w:r w:rsidR="003910D1">
        <w:rPr>
          <w:b w:val="0"/>
          <w:bCs/>
          <w:i w:val="0"/>
          <w:iCs/>
          <w:lang w:val="en-US"/>
        </w:rPr>
        <w:t>0</w:t>
      </w:r>
      <w:r w:rsidR="00E40AAA" w:rsidRPr="00101A2A">
        <w:rPr>
          <w:b w:val="0"/>
          <w:bCs/>
          <w:i w:val="0"/>
          <w:iCs/>
          <w:lang w:val="en-US"/>
        </w:rPr>
        <w:t>).</w:t>
      </w:r>
      <w:r w:rsidR="00523A8E" w:rsidRPr="00101A2A">
        <w:rPr>
          <w:b w:val="0"/>
          <w:bCs/>
          <w:i w:val="0"/>
          <w:iCs/>
          <w:lang w:val="en-US"/>
        </w:rPr>
        <w:t xml:space="preserve"> </w:t>
      </w:r>
    </w:p>
    <w:p w14:paraId="3867806F" w14:textId="57EF8BD4" w:rsidR="00E40AAA" w:rsidRPr="00101A2A" w:rsidRDefault="00084446" w:rsidP="007A7DF1">
      <w:r w:rsidRPr="00101A2A">
        <w:lastRenderedPageBreak/>
        <w:t xml:space="preserve">====== </w:t>
      </w:r>
      <w:r w:rsidR="00E40AAA" w:rsidRPr="00101A2A">
        <w:t xml:space="preserve">INSERT TABLE </w:t>
      </w:r>
      <w:r w:rsidR="00E75865">
        <w:t>4</w:t>
      </w:r>
      <w:r w:rsidR="00E40AAA" w:rsidRPr="00101A2A">
        <w:t xml:space="preserve"> ABOUT HERE</w:t>
      </w:r>
      <w:r w:rsidR="00867E73" w:rsidRPr="00101A2A">
        <w:t xml:space="preserve"> ======</w:t>
      </w:r>
    </w:p>
    <w:p w14:paraId="36EC62CD" w14:textId="67A33249" w:rsidR="007C41E0" w:rsidRPr="00101A2A" w:rsidRDefault="00787A67" w:rsidP="008B1172">
      <w:pPr>
        <w:pStyle w:val="Heading3"/>
        <w:rPr>
          <w:b w:val="0"/>
          <w:lang w:val="en-US"/>
        </w:rPr>
      </w:pPr>
      <w:r w:rsidRPr="00101A2A">
        <w:rPr>
          <w:bCs/>
          <w:lang w:val="en-US"/>
        </w:rPr>
        <w:t>Consumer</w:t>
      </w:r>
      <w:r w:rsidR="006F2781" w:rsidRPr="00101A2A">
        <w:rPr>
          <w:bCs/>
          <w:lang w:val="en-US"/>
        </w:rPr>
        <w:t xml:space="preserve"> attention</w:t>
      </w:r>
      <w:r w:rsidR="00A43DF7" w:rsidRPr="00101A2A">
        <w:rPr>
          <w:b w:val="0"/>
          <w:bCs/>
          <w:i w:val="0"/>
          <w:lang w:val="en-US"/>
        </w:rPr>
        <w:t xml:space="preserve">. </w:t>
      </w:r>
      <w:r w:rsidR="004C604C" w:rsidRPr="00101A2A">
        <w:rPr>
          <w:b w:val="0"/>
          <w:i w:val="0"/>
          <w:lang w:val="en-US"/>
        </w:rPr>
        <w:t xml:space="preserve">When </w:t>
      </w:r>
      <w:r w:rsidR="00E75865">
        <w:rPr>
          <w:b w:val="0"/>
          <w:i w:val="0"/>
          <w:lang w:val="en-US"/>
        </w:rPr>
        <w:t>includ</w:t>
      </w:r>
      <w:r w:rsidR="006A3BE3">
        <w:rPr>
          <w:b w:val="0"/>
          <w:i w:val="0"/>
          <w:lang w:val="en-US"/>
        </w:rPr>
        <w:t>ing</w:t>
      </w:r>
      <w:r w:rsidR="004C604C" w:rsidRPr="00101A2A">
        <w:rPr>
          <w:b w:val="0"/>
          <w:i w:val="0"/>
          <w:lang w:val="en-US"/>
        </w:rPr>
        <w:t xml:space="preserve"> </w:t>
      </w:r>
      <w:r w:rsidR="00E24B59" w:rsidRPr="00101A2A">
        <w:rPr>
          <w:b w:val="0"/>
          <w:i w:val="0"/>
          <w:lang w:val="en-US"/>
        </w:rPr>
        <w:t>c</w:t>
      </w:r>
      <w:r w:rsidRPr="00101A2A">
        <w:rPr>
          <w:b w:val="0"/>
          <w:i w:val="0"/>
          <w:lang w:val="en-US"/>
        </w:rPr>
        <w:t>onsumer</w:t>
      </w:r>
      <w:r w:rsidR="006F2781" w:rsidRPr="00101A2A">
        <w:rPr>
          <w:b w:val="0"/>
          <w:i w:val="0"/>
          <w:lang w:val="en-US"/>
        </w:rPr>
        <w:t xml:space="preserve"> attention</w:t>
      </w:r>
      <w:r w:rsidR="00E75865">
        <w:rPr>
          <w:b w:val="0"/>
          <w:i w:val="0"/>
          <w:lang w:val="en-US"/>
        </w:rPr>
        <w:t xml:space="preserve"> (Table 4, Model 3)</w:t>
      </w:r>
      <w:r w:rsidR="004C604C" w:rsidRPr="00101A2A">
        <w:rPr>
          <w:b w:val="0"/>
          <w:i w:val="0"/>
          <w:lang w:val="en-US"/>
        </w:rPr>
        <w:t xml:space="preserve">, the effect of the </w:t>
      </w:r>
      <w:r w:rsidR="00B82E77" w:rsidRPr="00101A2A">
        <w:rPr>
          <w:b w:val="0"/>
          <w:i w:val="0"/>
          <w:lang w:val="en-US"/>
        </w:rPr>
        <w:t>s</w:t>
      </w:r>
      <w:r w:rsidR="00263B0E" w:rsidRPr="00101A2A">
        <w:rPr>
          <w:b w:val="0"/>
          <w:i w:val="0"/>
          <w:lang w:val="en-US"/>
        </w:rPr>
        <w:t>panner proportion</w:t>
      </w:r>
      <w:r w:rsidR="004C604C" w:rsidRPr="00101A2A">
        <w:rPr>
          <w:b w:val="0"/>
          <w:i w:val="0"/>
          <w:lang w:val="en-US"/>
        </w:rPr>
        <w:t xml:space="preserve"> remains positive and significant. </w:t>
      </w:r>
      <w:r w:rsidR="00CC7B58" w:rsidRPr="00101A2A">
        <w:rPr>
          <w:b w:val="0"/>
          <w:i w:val="0"/>
          <w:lang w:val="en-US"/>
        </w:rPr>
        <w:t>T</w:t>
      </w:r>
      <w:r w:rsidR="004C604C" w:rsidRPr="00101A2A">
        <w:rPr>
          <w:b w:val="0"/>
          <w:i w:val="0"/>
          <w:lang w:val="en-US"/>
        </w:rPr>
        <w:t xml:space="preserve">he interaction between </w:t>
      </w:r>
      <w:r w:rsidR="00B82E77" w:rsidRPr="00101A2A">
        <w:rPr>
          <w:b w:val="0"/>
          <w:i w:val="0"/>
          <w:lang w:val="en-US"/>
        </w:rPr>
        <w:t>c</w:t>
      </w:r>
      <w:r w:rsidRPr="00101A2A">
        <w:rPr>
          <w:b w:val="0"/>
          <w:i w:val="0"/>
          <w:lang w:val="en-US"/>
        </w:rPr>
        <w:t>onsumer</w:t>
      </w:r>
      <w:r w:rsidR="006F2781" w:rsidRPr="00101A2A">
        <w:rPr>
          <w:b w:val="0"/>
          <w:i w:val="0"/>
          <w:lang w:val="en-US"/>
        </w:rPr>
        <w:t xml:space="preserve"> attention</w:t>
      </w:r>
      <w:r w:rsidR="004C604C" w:rsidRPr="00101A2A">
        <w:rPr>
          <w:b w:val="0"/>
          <w:i w:val="0"/>
          <w:lang w:val="en-US"/>
        </w:rPr>
        <w:t xml:space="preserve"> and </w:t>
      </w:r>
      <w:r w:rsidR="00B82E77" w:rsidRPr="00101A2A">
        <w:rPr>
          <w:b w:val="0"/>
          <w:i w:val="0"/>
          <w:lang w:val="en-US"/>
        </w:rPr>
        <w:t>s</w:t>
      </w:r>
      <w:r w:rsidR="00263B0E" w:rsidRPr="00101A2A">
        <w:rPr>
          <w:b w:val="0"/>
          <w:i w:val="0"/>
          <w:lang w:val="en-US"/>
        </w:rPr>
        <w:t>panner proportion</w:t>
      </w:r>
      <w:r w:rsidR="004C604C" w:rsidRPr="00101A2A">
        <w:rPr>
          <w:b w:val="0"/>
          <w:i w:val="0"/>
          <w:lang w:val="en-US"/>
        </w:rPr>
        <w:t xml:space="preserve"> </w:t>
      </w:r>
      <w:r w:rsidR="0070597B">
        <w:rPr>
          <w:b w:val="0"/>
          <w:i w:val="0"/>
          <w:lang w:val="en-US"/>
        </w:rPr>
        <w:t>negatively and significantly affects</w:t>
      </w:r>
      <w:r w:rsidR="004C604C" w:rsidRPr="00101A2A">
        <w:rPr>
          <w:b w:val="0"/>
          <w:i w:val="0"/>
          <w:lang w:val="en-US"/>
        </w:rPr>
        <w:t xml:space="preserve"> real estate prices (</w:t>
      </w:r>
      <w:r w:rsidR="00CF23FD" w:rsidRPr="00101A2A">
        <w:rPr>
          <w:b w:val="0"/>
          <w:i w:val="0"/>
          <w:lang w:val="en-US"/>
        </w:rPr>
        <w:t>β = -0.00</w:t>
      </w:r>
      <w:r w:rsidR="00E75865">
        <w:rPr>
          <w:b w:val="0"/>
          <w:i w:val="0"/>
          <w:lang w:val="en-US"/>
        </w:rPr>
        <w:t>1</w:t>
      </w:r>
      <w:r w:rsidR="00CF23FD" w:rsidRPr="00101A2A">
        <w:rPr>
          <w:b w:val="0"/>
          <w:i w:val="0"/>
          <w:lang w:val="en-US"/>
        </w:rPr>
        <w:t xml:space="preserve">, p </w:t>
      </w:r>
      <w:r w:rsidR="00647BEF" w:rsidRPr="00101A2A">
        <w:rPr>
          <w:b w:val="0"/>
          <w:i w:val="0"/>
          <w:lang w:val="en-US"/>
        </w:rPr>
        <w:t>&lt;</w:t>
      </w:r>
      <w:r w:rsidR="00CF23FD" w:rsidRPr="00101A2A">
        <w:rPr>
          <w:b w:val="0"/>
          <w:i w:val="0"/>
          <w:lang w:val="en-US"/>
        </w:rPr>
        <w:t xml:space="preserve"> .</w:t>
      </w:r>
      <w:r w:rsidR="00647BEF" w:rsidRPr="00101A2A">
        <w:rPr>
          <w:b w:val="0"/>
          <w:i w:val="0"/>
          <w:lang w:val="en-US"/>
        </w:rPr>
        <w:t>1</w:t>
      </w:r>
      <w:r w:rsidR="00E75865">
        <w:rPr>
          <w:b w:val="0"/>
          <w:i w:val="0"/>
          <w:lang w:val="en-US"/>
        </w:rPr>
        <w:t>00</w:t>
      </w:r>
      <w:r w:rsidR="004C604C" w:rsidRPr="00101A2A">
        <w:rPr>
          <w:b w:val="0"/>
          <w:i w:val="0"/>
          <w:lang w:val="en-US"/>
        </w:rPr>
        <w:t xml:space="preserve">). </w:t>
      </w:r>
    </w:p>
    <w:p w14:paraId="1876BCF8" w14:textId="7A8C54BF" w:rsidR="004C604C" w:rsidRPr="00101A2A" w:rsidRDefault="004C604C" w:rsidP="00DE1E3E">
      <w:pPr>
        <w:rPr>
          <w:iCs/>
        </w:rPr>
      </w:pPr>
      <w:r w:rsidRPr="00101A2A">
        <w:rPr>
          <w:iCs/>
        </w:rPr>
        <w:t xml:space="preserve">A visual inspection of the interaction (Figure </w:t>
      </w:r>
      <w:r w:rsidR="008367E2" w:rsidRPr="00101A2A">
        <w:rPr>
          <w:iCs/>
        </w:rPr>
        <w:t>2</w:t>
      </w:r>
      <w:r w:rsidRPr="00101A2A">
        <w:rPr>
          <w:iCs/>
        </w:rPr>
        <w:t xml:space="preserve">) shows that at high levels of </w:t>
      </w:r>
      <w:r w:rsidR="00B82E77" w:rsidRPr="00101A2A">
        <w:rPr>
          <w:iCs/>
        </w:rPr>
        <w:t>c</w:t>
      </w:r>
      <w:r w:rsidR="00787A67" w:rsidRPr="00101A2A">
        <w:rPr>
          <w:iCs/>
        </w:rPr>
        <w:t>onsumer</w:t>
      </w:r>
      <w:r w:rsidR="006F2781" w:rsidRPr="00101A2A">
        <w:rPr>
          <w:iCs/>
        </w:rPr>
        <w:t xml:space="preserve"> attention</w:t>
      </w:r>
      <w:r w:rsidRPr="00101A2A">
        <w:rPr>
          <w:iCs/>
        </w:rPr>
        <w:t xml:space="preserve">, the higher the proportion of spanners, the smaller the effect of spanners on real estate prices. The opposite is true at low levels of </w:t>
      </w:r>
      <w:r w:rsidR="00B82E77" w:rsidRPr="00101A2A">
        <w:rPr>
          <w:iCs/>
        </w:rPr>
        <w:t>c</w:t>
      </w:r>
      <w:r w:rsidR="00787A67" w:rsidRPr="00101A2A">
        <w:rPr>
          <w:iCs/>
        </w:rPr>
        <w:t>onsumer</w:t>
      </w:r>
      <w:r w:rsidR="006F2781" w:rsidRPr="00101A2A">
        <w:rPr>
          <w:iCs/>
        </w:rPr>
        <w:t xml:space="preserve"> attention</w:t>
      </w:r>
      <w:r w:rsidRPr="00101A2A">
        <w:rPr>
          <w:iCs/>
        </w:rPr>
        <w:t>.</w:t>
      </w:r>
    </w:p>
    <w:p w14:paraId="201A2411" w14:textId="2159DBE5" w:rsidR="00C87183" w:rsidRPr="00101A2A" w:rsidRDefault="001412E7" w:rsidP="008B1172">
      <w:pPr>
        <w:pStyle w:val="Heading3"/>
        <w:rPr>
          <w:bCs/>
          <w:lang w:val="en-US"/>
        </w:rPr>
      </w:pPr>
      <w:r w:rsidRPr="00101A2A">
        <w:rPr>
          <w:bCs/>
          <w:lang w:val="en-US"/>
        </w:rPr>
        <w:t>Regulated market</w:t>
      </w:r>
      <w:r w:rsidR="00A43DF7" w:rsidRPr="00101A2A">
        <w:rPr>
          <w:b w:val="0"/>
          <w:bCs/>
          <w:i w:val="0"/>
          <w:lang w:val="en-US"/>
        </w:rPr>
        <w:t xml:space="preserve">. </w:t>
      </w:r>
      <w:r w:rsidR="00C62750" w:rsidRPr="00101A2A">
        <w:rPr>
          <w:b w:val="0"/>
          <w:bCs/>
          <w:i w:val="0"/>
          <w:lang w:val="en-US"/>
        </w:rPr>
        <w:t>Then</w:t>
      </w:r>
      <w:r w:rsidR="0070597B">
        <w:rPr>
          <w:b w:val="0"/>
          <w:bCs/>
          <w:i w:val="0"/>
          <w:lang w:val="en-US"/>
        </w:rPr>
        <w:t>,</w:t>
      </w:r>
      <w:r w:rsidR="002969B4" w:rsidRPr="00101A2A">
        <w:rPr>
          <w:b w:val="0"/>
          <w:bCs/>
          <w:i w:val="0"/>
          <w:lang w:val="en-US"/>
        </w:rPr>
        <w:t xml:space="preserve"> </w:t>
      </w:r>
      <w:r w:rsidR="00867E73" w:rsidRPr="00101A2A">
        <w:rPr>
          <w:b w:val="0"/>
          <w:bCs/>
          <w:i w:val="0"/>
          <w:lang w:val="en-US"/>
        </w:rPr>
        <w:t xml:space="preserve">we </w:t>
      </w:r>
      <w:r w:rsidR="0000535C" w:rsidRPr="00101A2A">
        <w:rPr>
          <w:b w:val="0"/>
          <w:bCs/>
          <w:i w:val="0"/>
          <w:lang w:val="en-US"/>
        </w:rPr>
        <w:t xml:space="preserve">run </w:t>
      </w:r>
      <w:r w:rsidR="00867E73" w:rsidRPr="00101A2A">
        <w:rPr>
          <w:b w:val="0"/>
          <w:bCs/>
          <w:i w:val="0"/>
          <w:lang w:val="en-US"/>
        </w:rPr>
        <w:t>the model</w:t>
      </w:r>
      <w:r w:rsidR="007A47FC" w:rsidRPr="00101A2A">
        <w:rPr>
          <w:b w:val="0"/>
          <w:bCs/>
          <w:i w:val="0"/>
          <w:lang w:val="en-US"/>
        </w:rPr>
        <w:t xml:space="preserve"> </w:t>
      </w:r>
      <w:r w:rsidR="00867E73" w:rsidRPr="00101A2A">
        <w:rPr>
          <w:b w:val="0"/>
          <w:bCs/>
          <w:i w:val="0"/>
          <w:lang w:val="en-US"/>
        </w:rPr>
        <w:t xml:space="preserve">that includes </w:t>
      </w:r>
      <w:r w:rsidR="0070597B">
        <w:rPr>
          <w:b w:val="0"/>
          <w:bCs/>
          <w:i w:val="0"/>
          <w:lang w:val="en-US"/>
        </w:rPr>
        <w:t xml:space="preserve">the </w:t>
      </w:r>
      <w:r w:rsidR="00B82E77" w:rsidRPr="00101A2A">
        <w:rPr>
          <w:b w:val="0"/>
          <w:bCs/>
          <w:i w:val="0"/>
          <w:lang w:val="en-US"/>
        </w:rPr>
        <w:t>r</w:t>
      </w:r>
      <w:r w:rsidRPr="00101A2A">
        <w:rPr>
          <w:b w:val="0"/>
          <w:bCs/>
          <w:i w:val="0"/>
          <w:lang w:val="en-US"/>
        </w:rPr>
        <w:t>egulated market</w:t>
      </w:r>
      <w:r w:rsidR="00894B2B" w:rsidRPr="00101A2A">
        <w:rPr>
          <w:b w:val="0"/>
          <w:bCs/>
          <w:i w:val="0"/>
          <w:lang w:val="en-US"/>
        </w:rPr>
        <w:t xml:space="preserve"> and its interaction with </w:t>
      </w:r>
      <w:r w:rsidR="00B82E77" w:rsidRPr="00101A2A">
        <w:rPr>
          <w:b w:val="0"/>
          <w:bCs/>
          <w:i w:val="0"/>
          <w:lang w:val="en-US"/>
        </w:rPr>
        <w:t>s</w:t>
      </w:r>
      <w:r w:rsidR="00263B0E" w:rsidRPr="00101A2A">
        <w:rPr>
          <w:b w:val="0"/>
          <w:bCs/>
          <w:i w:val="0"/>
          <w:lang w:val="en-US"/>
        </w:rPr>
        <w:t>panner proportion</w:t>
      </w:r>
      <w:r w:rsidR="00206549" w:rsidRPr="00101A2A">
        <w:rPr>
          <w:b w:val="0"/>
          <w:bCs/>
          <w:i w:val="0"/>
          <w:lang w:val="en-US"/>
        </w:rPr>
        <w:t xml:space="preserve"> (Model 5</w:t>
      </w:r>
      <w:r w:rsidR="00CC7B58" w:rsidRPr="00101A2A">
        <w:rPr>
          <w:b w:val="0"/>
          <w:bCs/>
          <w:i w:val="0"/>
          <w:lang w:val="en-US"/>
        </w:rPr>
        <w:t>,</w:t>
      </w:r>
      <w:r w:rsidR="00206549" w:rsidRPr="00101A2A">
        <w:rPr>
          <w:b w:val="0"/>
          <w:bCs/>
          <w:i w:val="0"/>
          <w:lang w:val="en-US"/>
        </w:rPr>
        <w:t xml:space="preserve"> Table </w:t>
      </w:r>
      <w:r w:rsidR="00E75865">
        <w:rPr>
          <w:b w:val="0"/>
          <w:bCs/>
          <w:i w:val="0"/>
          <w:lang w:val="en-US"/>
        </w:rPr>
        <w:t>4</w:t>
      </w:r>
      <w:r w:rsidR="00206549" w:rsidRPr="00101A2A">
        <w:rPr>
          <w:b w:val="0"/>
          <w:bCs/>
          <w:i w:val="0"/>
          <w:lang w:val="en-US"/>
        </w:rPr>
        <w:t>)</w:t>
      </w:r>
      <w:r w:rsidR="00E40AAA" w:rsidRPr="00101A2A">
        <w:rPr>
          <w:b w:val="0"/>
          <w:bCs/>
          <w:i w:val="0"/>
          <w:lang w:val="en-US"/>
        </w:rPr>
        <w:t>.</w:t>
      </w:r>
      <w:r w:rsidR="001B21D1" w:rsidRPr="00101A2A">
        <w:rPr>
          <w:b w:val="0"/>
          <w:bCs/>
          <w:i w:val="0"/>
          <w:lang w:val="en-US"/>
        </w:rPr>
        <w:t xml:space="preserve"> We </w:t>
      </w:r>
      <w:r w:rsidR="002969B4" w:rsidRPr="00101A2A">
        <w:rPr>
          <w:b w:val="0"/>
          <w:bCs/>
          <w:i w:val="0"/>
          <w:lang w:val="en-US"/>
        </w:rPr>
        <w:t>examine</w:t>
      </w:r>
      <w:r w:rsidR="001B21D1" w:rsidRPr="00101A2A">
        <w:rPr>
          <w:b w:val="0"/>
          <w:bCs/>
          <w:i w:val="0"/>
          <w:lang w:val="en-US"/>
        </w:rPr>
        <w:t xml:space="preserve"> the </w:t>
      </w:r>
      <w:r w:rsidR="007B067C" w:rsidRPr="00101A2A">
        <w:rPr>
          <w:b w:val="0"/>
          <w:bCs/>
          <w:i w:val="0"/>
          <w:lang w:val="en-US"/>
        </w:rPr>
        <w:t>three</w:t>
      </w:r>
      <w:r w:rsidR="00DB69B7" w:rsidRPr="00101A2A">
        <w:rPr>
          <w:b w:val="0"/>
          <w:bCs/>
          <w:i w:val="0"/>
          <w:lang w:val="en-US"/>
        </w:rPr>
        <w:t xml:space="preserve"> </w:t>
      </w:r>
      <w:r w:rsidR="001B21D1" w:rsidRPr="00101A2A">
        <w:rPr>
          <w:b w:val="0"/>
          <w:bCs/>
          <w:i w:val="0"/>
          <w:lang w:val="en-US"/>
        </w:rPr>
        <w:t xml:space="preserve">cities </w:t>
      </w:r>
      <w:r w:rsidR="002969B4" w:rsidRPr="00101A2A">
        <w:rPr>
          <w:b w:val="0"/>
          <w:bCs/>
          <w:i w:val="0"/>
          <w:lang w:val="en-US"/>
        </w:rPr>
        <w:t xml:space="preserve">in our sample </w:t>
      </w:r>
      <w:r w:rsidR="001B21D1" w:rsidRPr="00101A2A">
        <w:rPr>
          <w:b w:val="0"/>
          <w:bCs/>
          <w:i w:val="0"/>
          <w:lang w:val="en-US"/>
        </w:rPr>
        <w:t>that implemented a</w:t>
      </w:r>
      <w:r w:rsidR="005832DE" w:rsidRPr="00101A2A">
        <w:rPr>
          <w:b w:val="0"/>
          <w:bCs/>
          <w:i w:val="0"/>
          <w:lang w:val="en-US"/>
        </w:rPr>
        <w:t xml:space="preserve"> legal</w:t>
      </w:r>
      <w:r w:rsidR="001B21D1" w:rsidRPr="00101A2A">
        <w:rPr>
          <w:b w:val="0"/>
          <w:bCs/>
          <w:i w:val="0"/>
          <w:lang w:val="en-US"/>
        </w:rPr>
        <w:t xml:space="preserve"> change</w:t>
      </w:r>
      <w:r w:rsidR="00DB69B7" w:rsidRPr="00101A2A">
        <w:rPr>
          <w:b w:val="0"/>
          <w:bCs/>
          <w:i w:val="0"/>
          <w:lang w:val="en-US"/>
        </w:rPr>
        <w:t xml:space="preserve"> differentiat</w:t>
      </w:r>
      <w:r w:rsidR="00487069" w:rsidRPr="00101A2A">
        <w:rPr>
          <w:b w:val="0"/>
          <w:bCs/>
          <w:i w:val="0"/>
          <w:lang w:val="en-US"/>
        </w:rPr>
        <w:t>ing</w:t>
      </w:r>
      <w:r w:rsidR="00DB69B7" w:rsidRPr="00101A2A">
        <w:rPr>
          <w:b w:val="0"/>
          <w:bCs/>
          <w:i w:val="0"/>
          <w:lang w:val="en-US"/>
        </w:rPr>
        <w:t xml:space="preserve"> the </w:t>
      </w:r>
      <w:r w:rsidR="002B7F20" w:rsidRPr="00101A2A">
        <w:rPr>
          <w:b w:val="0"/>
          <w:bCs/>
          <w:i w:val="0"/>
          <w:lang w:val="en-US"/>
        </w:rPr>
        <w:t>SE</w:t>
      </w:r>
      <w:r w:rsidR="00DB69B7" w:rsidRPr="00101A2A">
        <w:rPr>
          <w:b w:val="0"/>
          <w:bCs/>
          <w:i w:val="0"/>
          <w:lang w:val="en-US"/>
        </w:rPr>
        <w:t xml:space="preserve"> category from other categories in the industry</w:t>
      </w:r>
      <w:r w:rsidR="00C87183" w:rsidRPr="00101A2A">
        <w:rPr>
          <w:b w:val="0"/>
          <w:bCs/>
          <w:i w:val="0"/>
          <w:lang w:val="en-US"/>
        </w:rPr>
        <w:t>: Austin</w:t>
      </w:r>
      <w:r w:rsidR="00894B2B" w:rsidRPr="00101A2A">
        <w:rPr>
          <w:b w:val="0"/>
          <w:bCs/>
          <w:i w:val="0"/>
          <w:lang w:val="en-US"/>
        </w:rPr>
        <w:t xml:space="preserve">, </w:t>
      </w:r>
      <w:r w:rsidR="001B21D1" w:rsidRPr="00101A2A">
        <w:rPr>
          <w:b w:val="0"/>
          <w:bCs/>
          <w:i w:val="0"/>
          <w:lang w:val="en-US"/>
        </w:rPr>
        <w:t>Nashville</w:t>
      </w:r>
      <w:r w:rsidR="00C87183" w:rsidRPr="00101A2A">
        <w:rPr>
          <w:b w:val="0"/>
          <w:bCs/>
          <w:i w:val="0"/>
          <w:lang w:val="en-US"/>
        </w:rPr>
        <w:t>, and Portland</w:t>
      </w:r>
      <w:r w:rsidR="001B21D1" w:rsidRPr="00101A2A">
        <w:rPr>
          <w:b w:val="0"/>
          <w:bCs/>
          <w:i w:val="0"/>
          <w:lang w:val="en-US"/>
        </w:rPr>
        <w:t>.</w:t>
      </w:r>
      <w:r w:rsidR="00E40AAA" w:rsidRPr="00101A2A">
        <w:rPr>
          <w:b w:val="0"/>
          <w:bCs/>
          <w:i w:val="0"/>
          <w:lang w:val="en-US"/>
        </w:rPr>
        <w:t xml:space="preserve"> </w:t>
      </w:r>
      <w:r w:rsidR="00915BDC">
        <w:rPr>
          <w:b w:val="0"/>
          <w:bCs/>
          <w:i w:val="0"/>
          <w:lang w:val="en-US"/>
        </w:rPr>
        <w:t>The</w:t>
      </w:r>
      <w:r w:rsidR="00A63327" w:rsidRPr="00101A2A">
        <w:rPr>
          <w:b w:val="0"/>
          <w:bCs/>
          <w:i w:val="0"/>
          <w:lang w:val="en-US"/>
        </w:rPr>
        <w:t xml:space="preserve"> interaction between</w:t>
      </w:r>
      <w:r w:rsidR="00055A42" w:rsidRPr="00101A2A">
        <w:rPr>
          <w:b w:val="0"/>
          <w:bCs/>
          <w:i w:val="0"/>
          <w:lang w:val="en-US"/>
        </w:rPr>
        <w:t xml:space="preserve"> </w:t>
      </w:r>
      <w:r w:rsidR="0070597B">
        <w:rPr>
          <w:b w:val="0"/>
          <w:bCs/>
          <w:i w:val="0"/>
          <w:lang w:val="en-US"/>
        </w:rPr>
        <w:t xml:space="preserve">the </w:t>
      </w:r>
      <w:r w:rsidR="00B82E77" w:rsidRPr="00101A2A">
        <w:rPr>
          <w:b w:val="0"/>
          <w:bCs/>
          <w:i w:val="0"/>
          <w:lang w:val="en-US"/>
        </w:rPr>
        <w:t>r</w:t>
      </w:r>
      <w:r w:rsidRPr="00101A2A">
        <w:rPr>
          <w:b w:val="0"/>
          <w:bCs/>
          <w:i w:val="0"/>
          <w:lang w:val="en-US"/>
        </w:rPr>
        <w:t>egulated market</w:t>
      </w:r>
      <w:r w:rsidR="00164522" w:rsidRPr="00101A2A">
        <w:rPr>
          <w:b w:val="0"/>
          <w:bCs/>
          <w:i w:val="0"/>
          <w:lang w:val="en-US"/>
        </w:rPr>
        <w:t xml:space="preserve"> </w:t>
      </w:r>
      <w:bookmarkStart w:id="0" w:name="OLE_LINK1"/>
      <w:r w:rsidR="00A63327" w:rsidRPr="00101A2A">
        <w:rPr>
          <w:b w:val="0"/>
          <w:bCs/>
          <w:i w:val="0"/>
          <w:lang w:val="en-US"/>
        </w:rPr>
        <w:t xml:space="preserve">and </w:t>
      </w:r>
      <w:r w:rsidR="00B82E77" w:rsidRPr="00101A2A">
        <w:rPr>
          <w:b w:val="0"/>
          <w:bCs/>
          <w:i w:val="0"/>
          <w:lang w:val="en-US"/>
        </w:rPr>
        <w:t>s</w:t>
      </w:r>
      <w:r w:rsidR="00263B0E" w:rsidRPr="00101A2A">
        <w:rPr>
          <w:b w:val="0"/>
          <w:bCs/>
          <w:i w:val="0"/>
          <w:lang w:val="en-US"/>
        </w:rPr>
        <w:t>panner proportion</w:t>
      </w:r>
      <w:r w:rsidR="00164522" w:rsidRPr="00101A2A">
        <w:rPr>
          <w:b w:val="0"/>
          <w:bCs/>
          <w:i w:val="0"/>
          <w:lang w:val="en-US"/>
        </w:rPr>
        <w:t xml:space="preserve"> </w:t>
      </w:r>
      <w:r w:rsidR="0070597B">
        <w:rPr>
          <w:b w:val="0"/>
          <w:bCs/>
          <w:i w:val="0"/>
          <w:lang w:val="en-US"/>
        </w:rPr>
        <w:t>negatively and significantly affects</w:t>
      </w:r>
      <w:r w:rsidR="00E40AAA" w:rsidRPr="00101A2A">
        <w:rPr>
          <w:b w:val="0"/>
          <w:bCs/>
          <w:i w:val="0"/>
          <w:lang w:val="en-US"/>
        </w:rPr>
        <w:t xml:space="preserve"> </w:t>
      </w:r>
      <w:r w:rsidR="00A901E1" w:rsidRPr="00101A2A">
        <w:rPr>
          <w:b w:val="0"/>
          <w:bCs/>
          <w:i w:val="0"/>
          <w:lang w:val="en-US"/>
        </w:rPr>
        <w:t>real estate prices</w:t>
      </w:r>
      <w:r w:rsidR="00343A4D" w:rsidRPr="00101A2A">
        <w:rPr>
          <w:b w:val="0"/>
          <w:bCs/>
          <w:i w:val="0"/>
          <w:lang w:val="en-US"/>
        </w:rPr>
        <w:t xml:space="preserve"> </w:t>
      </w:r>
      <w:r w:rsidR="00E40AAA" w:rsidRPr="00101A2A">
        <w:rPr>
          <w:b w:val="0"/>
          <w:bCs/>
          <w:i w:val="0"/>
          <w:lang w:val="en-US"/>
        </w:rPr>
        <w:t>(</w:t>
      </w:r>
      <w:r w:rsidR="00CF23FD" w:rsidRPr="00101A2A">
        <w:rPr>
          <w:b w:val="0"/>
          <w:bCs/>
          <w:i w:val="0"/>
          <w:lang w:val="en-US"/>
        </w:rPr>
        <w:t>β = -0.00</w:t>
      </w:r>
      <w:r w:rsidR="00E75865">
        <w:rPr>
          <w:b w:val="0"/>
          <w:bCs/>
          <w:i w:val="0"/>
          <w:lang w:val="en-US"/>
        </w:rPr>
        <w:t>9</w:t>
      </w:r>
      <w:r w:rsidR="00CF23FD" w:rsidRPr="00101A2A">
        <w:rPr>
          <w:b w:val="0"/>
          <w:bCs/>
          <w:i w:val="0"/>
          <w:lang w:val="en-US"/>
        </w:rPr>
        <w:t xml:space="preserve">, p </w:t>
      </w:r>
      <w:r w:rsidR="00647BEF" w:rsidRPr="00101A2A">
        <w:rPr>
          <w:b w:val="0"/>
          <w:bCs/>
          <w:i w:val="0"/>
          <w:lang w:val="en-US"/>
        </w:rPr>
        <w:t>&lt;</w:t>
      </w:r>
      <w:r w:rsidR="00CF23FD" w:rsidRPr="00101A2A">
        <w:rPr>
          <w:b w:val="0"/>
          <w:bCs/>
          <w:i w:val="0"/>
          <w:lang w:val="en-US"/>
        </w:rPr>
        <w:t xml:space="preserve"> .</w:t>
      </w:r>
      <w:r w:rsidR="00647BEF" w:rsidRPr="00101A2A">
        <w:rPr>
          <w:b w:val="0"/>
          <w:bCs/>
          <w:i w:val="0"/>
          <w:lang w:val="en-US"/>
        </w:rPr>
        <w:t>0</w:t>
      </w:r>
      <w:r w:rsidR="00E75865">
        <w:rPr>
          <w:b w:val="0"/>
          <w:bCs/>
          <w:i w:val="0"/>
          <w:lang w:val="en-US"/>
        </w:rPr>
        <w:t>1</w:t>
      </w:r>
      <w:r w:rsidR="003910D1">
        <w:rPr>
          <w:b w:val="0"/>
          <w:bCs/>
          <w:i w:val="0"/>
          <w:lang w:val="en-US"/>
        </w:rPr>
        <w:t>0</w:t>
      </w:r>
      <w:r w:rsidR="00E40AAA" w:rsidRPr="00101A2A">
        <w:rPr>
          <w:b w:val="0"/>
          <w:bCs/>
          <w:i w:val="0"/>
          <w:lang w:val="en-US"/>
        </w:rPr>
        <w:t>).</w:t>
      </w:r>
      <w:r w:rsidR="00867E73" w:rsidRPr="00101A2A">
        <w:rPr>
          <w:b w:val="0"/>
          <w:bCs/>
          <w:i w:val="0"/>
          <w:lang w:val="en-US"/>
        </w:rPr>
        <w:t xml:space="preserve"> </w:t>
      </w:r>
      <w:bookmarkEnd w:id="0"/>
    </w:p>
    <w:p w14:paraId="03668760" w14:textId="3374E626" w:rsidR="00E40AAA" w:rsidRPr="00101A2A" w:rsidRDefault="00B738FA" w:rsidP="001F626A">
      <w:r w:rsidRPr="00101A2A">
        <w:t xml:space="preserve">Figure </w:t>
      </w:r>
      <w:r w:rsidR="008367E2" w:rsidRPr="00101A2A">
        <w:t>3</w:t>
      </w:r>
      <w:r w:rsidR="0059016C" w:rsidRPr="00101A2A">
        <w:t xml:space="preserve"> </w:t>
      </w:r>
      <w:r w:rsidRPr="00101A2A">
        <w:t xml:space="preserve">shows the predicted margins of </w:t>
      </w:r>
      <w:r w:rsidR="00A901E1" w:rsidRPr="00101A2A">
        <w:t>real estate prices</w:t>
      </w:r>
      <w:r w:rsidR="007B5101" w:rsidRPr="00101A2A">
        <w:t xml:space="preserve"> </w:t>
      </w:r>
      <w:r w:rsidRPr="00101A2A">
        <w:t xml:space="preserve">at different levels of </w:t>
      </w:r>
      <w:r w:rsidR="00263B0E" w:rsidRPr="00101A2A">
        <w:t>spanner proportion</w:t>
      </w:r>
      <w:r w:rsidRPr="00101A2A">
        <w:t xml:space="preserve"> </w:t>
      </w:r>
      <w:r w:rsidR="00B54310" w:rsidRPr="00101A2A">
        <w:t xml:space="preserve">before and </w:t>
      </w:r>
      <w:r w:rsidRPr="00101A2A">
        <w:t xml:space="preserve">after the </w:t>
      </w:r>
      <w:r w:rsidR="0070597B">
        <w:t>law's approval</w:t>
      </w:r>
      <w:r w:rsidRPr="00101A2A">
        <w:t xml:space="preserve">. </w:t>
      </w:r>
      <w:r w:rsidR="003E1EB8">
        <w:t>W</w:t>
      </w:r>
      <w:r w:rsidR="00E93288" w:rsidRPr="00101A2A">
        <w:t xml:space="preserve">hen </w:t>
      </w:r>
      <w:r w:rsidR="00CD615A" w:rsidRPr="00101A2A">
        <w:t>the market is unregulated</w:t>
      </w:r>
      <w:r w:rsidRPr="00101A2A">
        <w:t xml:space="preserve">, the effect of </w:t>
      </w:r>
      <w:r w:rsidR="00263B0E" w:rsidRPr="00101A2A">
        <w:t>spanner proportion</w:t>
      </w:r>
      <w:r w:rsidRPr="00101A2A">
        <w:t xml:space="preserve"> is positive: the higher the </w:t>
      </w:r>
      <w:r w:rsidR="00CD615A" w:rsidRPr="00101A2A">
        <w:t>proportion of spanners</w:t>
      </w:r>
      <w:r w:rsidRPr="00101A2A">
        <w:t xml:space="preserve">, the higher the </w:t>
      </w:r>
      <w:r w:rsidR="00A901E1" w:rsidRPr="00101A2A">
        <w:t>real estate prices</w:t>
      </w:r>
      <w:r w:rsidRPr="00101A2A">
        <w:t xml:space="preserve">. However, after the new law </w:t>
      </w:r>
      <w:r w:rsidR="00915BDC">
        <w:t>was passed, the effect of spanner proportion on real estate prices became</w:t>
      </w:r>
      <w:r w:rsidRPr="00101A2A">
        <w:t xml:space="preserve"> negative: the higher the </w:t>
      </w:r>
      <w:r w:rsidR="00CD615A" w:rsidRPr="00101A2A">
        <w:t>proportion of spanners</w:t>
      </w:r>
      <w:r w:rsidRPr="00101A2A">
        <w:t xml:space="preserve">, the lower the </w:t>
      </w:r>
      <w:r w:rsidR="00A901E1" w:rsidRPr="00101A2A">
        <w:t>real estate prices</w:t>
      </w:r>
      <w:r w:rsidRPr="00101A2A">
        <w:t xml:space="preserve">. </w:t>
      </w:r>
    </w:p>
    <w:p w14:paraId="038429CB" w14:textId="6D62F8E5" w:rsidR="00B738FA" w:rsidRPr="00101A2A" w:rsidRDefault="00B738FA" w:rsidP="009359E1">
      <w:r w:rsidRPr="00101A2A">
        <w:t xml:space="preserve">========= INSERT FIGURES </w:t>
      </w:r>
      <w:r w:rsidR="008367E2" w:rsidRPr="00101A2A">
        <w:t>2</w:t>
      </w:r>
      <w:r w:rsidR="008038EB" w:rsidRPr="00101A2A">
        <w:t xml:space="preserve"> AND</w:t>
      </w:r>
      <w:r w:rsidR="00D61C8E" w:rsidRPr="00101A2A">
        <w:t xml:space="preserve"> </w:t>
      </w:r>
      <w:r w:rsidR="008367E2" w:rsidRPr="00101A2A">
        <w:t>3</w:t>
      </w:r>
      <w:r w:rsidR="0059016C" w:rsidRPr="00101A2A">
        <w:t xml:space="preserve"> </w:t>
      </w:r>
      <w:r w:rsidRPr="00101A2A">
        <w:t>ABOUT HERE =========</w:t>
      </w:r>
    </w:p>
    <w:p w14:paraId="0F642314" w14:textId="52EF6B1F" w:rsidR="00E40AAA" w:rsidRPr="00101A2A" w:rsidRDefault="00A43DF7" w:rsidP="00DE1E3E">
      <w:pPr>
        <w:pStyle w:val="Heading2"/>
      </w:pPr>
      <w:r w:rsidRPr="00101A2A">
        <w:t>E</w:t>
      </w:r>
      <w:r w:rsidR="00E40AAA" w:rsidRPr="00101A2A">
        <w:t>ffect</w:t>
      </w:r>
      <w:r w:rsidR="00074350" w:rsidRPr="00101A2A">
        <w:t xml:space="preserve"> </w:t>
      </w:r>
      <w:proofErr w:type="gramStart"/>
      <w:r w:rsidR="00074350" w:rsidRPr="00101A2A">
        <w:t>sizes</w:t>
      </w:r>
      <w:proofErr w:type="gramEnd"/>
    </w:p>
    <w:p w14:paraId="2EA45B0E" w14:textId="6B49855E" w:rsidR="00801F8E" w:rsidRPr="00101A2A" w:rsidRDefault="00801F8E" w:rsidP="00801F8E">
      <w:pPr>
        <w:rPr>
          <w:bCs/>
          <w:iCs/>
        </w:rPr>
      </w:pPr>
      <w:r w:rsidRPr="00101A2A">
        <w:t xml:space="preserve">To understand the size of our effects, we </w:t>
      </w:r>
      <w:r w:rsidR="00F83437">
        <w:t>examine</w:t>
      </w:r>
      <w:r w:rsidRPr="00101A2A">
        <w:t xml:space="preserve"> the change of values for </w:t>
      </w:r>
      <w:r w:rsidR="00915BDC">
        <w:t>increased</w:t>
      </w:r>
      <w:r w:rsidRPr="00101A2A">
        <w:t xml:space="preserve"> </w:t>
      </w:r>
      <w:r w:rsidR="00787A67" w:rsidRPr="00101A2A">
        <w:t>consumer</w:t>
      </w:r>
      <w:r w:rsidRPr="00101A2A">
        <w:t xml:space="preserve"> attention and </w:t>
      </w:r>
      <w:r w:rsidR="00A75025">
        <w:t xml:space="preserve">the passage to a </w:t>
      </w:r>
      <w:r w:rsidRPr="00101A2A">
        <w:t>regulated market</w:t>
      </w:r>
      <w:r w:rsidR="00A75025">
        <w:t xml:space="preserve"> as moderators of </w:t>
      </w:r>
      <w:r w:rsidR="00915BDC">
        <w:t xml:space="preserve">the </w:t>
      </w:r>
      <w:r w:rsidR="00A75025">
        <w:t>spanner proportion</w:t>
      </w:r>
      <w:r w:rsidRPr="00101A2A">
        <w:t xml:space="preserve"> </w:t>
      </w:r>
      <w:r w:rsidRPr="00101A2A">
        <w:fldChar w:fldCharType="begin" w:fldLock="1"/>
      </w:r>
      <w:r w:rsidR="003749C2">
        <w:instrText>ADDIN CSL_CITATION {"citationItems":[{"id":"ITEM-1","itemData":{"DOI":"10.1080/00036846.2018.1540854","ISSN":"14664283","abstract":"The Arellano-Bond estimator is widely used among applied researchers when estimating dynamic panels with fixed effects and predetermined regressors. This estimator might behave poorly in finite samples when the cross-section dimension of the data is small (i.e. small N), especially if the variables under analysis are persistent over time. This paper discusses a maximum likelihood estimator that is asymptotically equivalent to Arellano and Bond (1991) but presents better finite sample behaviour. The estimator is based on an alternative parametrization of the likelihood function introduced in Moral-Benito (2013). Moreover, it is easy to implement in Stata using the xtdpdml command as described in a companion paper published in the Stata Journal, which also discusses further advantages of the proposed estimator for practitioners.","author":[{"dropping-particle":"","family":"Moral-Benito","given":"Enrique","non-dropping-particle":"","parse-names":false,"suffix":""},{"dropping-particle":"","family":"Allison","given":"Paul","non-dropping-particle":"","parse-names":false,"suffix":""},{"dropping-particle":"","family":"Williams","given":"Richard","non-dropping-particle":"","parse-names":false,"suffix":""}],"container-title":"Applied Economics","id":"ITEM-1","issue":"20","issued":{"date-parts":[["2019"]]},"page":"2221-2232","title":"Dynamic panel data modelling using maximum likelihood: an alternative to Arellano-Bond","type":"article-journal","volume":"51"},"uris":["http://www.mendeley.com/documents/?uuid=7f137696-a610-44d9-8f9e-bbf18fdbecd4"]}],"mendeley":{"formattedCitation":"(Moral-Benito, Allison, &amp; Williams, 2019)","manualFormatting":"(Moral-Benito, Allison, &amp; Williams, 2019)","plainTextFormattedCitation":"(Moral-Benito, Allison, &amp; Williams, 2019)","previouslyFormattedCitation":"(Moral-Benito, Allison, &amp; Williams, 2019)"},"properties":{"noteIndex":0},"schema":"https://github.com/citation-style-language/schema/raw/master/csl-citation.json"}</w:instrText>
      </w:r>
      <w:r w:rsidRPr="00101A2A">
        <w:fldChar w:fldCharType="separate"/>
      </w:r>
      <w:r w:rsidR="00D73341" w:rsidRPr="00101A2A">
        <w:rPr>
          <w:noProof/>
        </w:rPr>
        <w:t>(Moral-Benito</w:t>
      </w:r>
      <w:r w:rsidR="0049328D" w:rsidRPr="00101A2A">
        <w:rPr>
          <w:noProof/>
        </w:rPr>
        <w:t>, Allison, &amp; Williams,</w:t>
      </w:r>
      <w:r w:rsidR="00D73341" w:rsidRPr="00101A2A">
        <w:rPr>
          <w:noProof/>
        </w:rPr>
        <w:t xml:space="preserve"> 2019)</w:t>
      </w:r>
      <w:r w:rsidRPr="00101A2A">
        <w:fldChar w:fldCharType="end"/>
      </w:r>
      <w:r w:rsidRPr="00101A2A">
        <w:t xml:space="preserve">. </w:t>
      </w:r>
    </w:p>
    <w:p w14:paraId="72460286" w14:textId="2174E8D0" w:rsidR="00801F8E" w:rsidRPr="00101A2A" w:rsidRDefault="00801F8E" w:rsidP="00801F8E">
      <w:pPr>
        <w:pStyle w:val="Heading3"/>
        <w:rPr>
          <w:b w:val="0"/>
          <w:bCs/>
          <w:i w:val="0"/>
          <w:iCs/>
          <w:lang w:val="en-US"/>
        </w:rPr>
      </w:pPr>
      <w:r w:rsidRPr="00101A2A">
        <w:rPr>
          <w:b w:val="0"/>
          <w:bCs/>
          <w:i w:val="0"/>
          <w:iCs/>
          <w:lang w:val="en-US"/>
        </w:rPr>
        <w:lastRenderedPageBreak/>
        <w:t xml:space="preserve">Using the values from Model 3 in Table </w:t>
      </w:r>
      <w:r w:rsidR="00E75865">
        <w:rPr>
          <w:b w:val="0"/>
          <w:bCs/>
          <w:i w:val="0"/>
          <w:iCs/>
          <w:lang w:val="en-US"/>
        </w:rPr>
        <w:t>4</w:t>
      </w:r>
      <w:r w:rsidRPr="00101A2A">
        <w:rPr>
          <w:b w:val="0"/>
          <w:bCs/>
          <w:i w:val="0"/>
          <w:iCs/>
          <w:lang w:val="en-US"/>
        </w:rPr>
        <w:t xml:space="preserve"> (10-city sample), we calculate that</w:t>
      </w:r>
      <w:r w:rsidR="00F53555" w:rsidRPr="00101A2A">
        <w:rPr>
          <w:b w:val="0"/>
          <w:bCs/>
          <w:i w:val="0"/>
          <w:iCs/>
          <w:lang w:val="en-US"/>
        </w:rPr>
        <w:t xml:space="preserve">, in the long run, </w:t>
      </w:r>
      <w:r w:rsidRPr="00101A2A">
        <w:rPr>
          <w:b w:val="0"/>
          <w:bCs/>
          <w:i w:val="0"/>
          <w:iCs/>
          <w:lang w:val="en-US"/>
        </w:rPr>
        <w:t xml:space="preserve">an increase </w:t>
      </w:r>
      <w:r w:rsidR="00E24B59" w:rsidRPr="00101A2A">
        <w:rPr>
          <w:b w:val="0"/>
          <w:bCs/>
          <w:i w:val="0"/>
          <w:iCs/>
          <w:lang w:val="en-US"/>
        </w:rPr>
        <w:t>of</w:t>
      </w:r>
      <w:r w:rsidRPr="00101A2A">
        <w:rPr>
          <w:b w:val="0"/>
          <w:bCs/>
          <w:i w:val="0"/>
          <w:iCs/>
          <w:lang w:val="en-US"/>
        </w:rPr>
        <w:t xml:space="preserve"> one s</w:t>
      </w:r>
      <w:r w:rsidR="00B54310" w:rsidRPr="00101A2A">
        <w:rPr>
          <w:b w:val="0"/>
          <w:bCs/>
          <w:i w:val="0"/>
          <w:iCs/>
          <w:lang w:val="en-US"/>
        </w:rPr>
        <w:t xml:space="preserve">tandard </w:t>
      </w:r>
      <w:r w:rsidRPr="00101A2A">
        <w:rPr>
          <w:b w:val="0"/>
          <w:bCs/>
          <w:i w:val="0"/>
          <w:iCs/>
          <w:lang w:val="en-US"/>
        </w:rPr>
        <w:t>d</w:t>
      </w:r>
      <w:r w:rsidR="00B54310" w:rsidRPr="00101A2A">
        <w:rPr>
          <w:b w:val="0"/>
          <w:bCs/>
          <w:i w:val="0"/>
          <w:iCs/>
          <w:lang w:val="en-US"/>
        </w:rPr>
        <w:t>eviation</w:t>
      </w:r>
      <w:r w:rsidRPr="00101A2A">
        <w:rPr>
          <w:b w:val="0"/>
          <w:bCs/>
          <w:i w:val="0"/>
          <w:iCs/>
          <w:lang w:val="en-US"/>
        </w:rPr>
        <w:t xml:space="preserve"> in </w:t>
      </w:r>
      <w:r w:rsidR="00787A67" w:rsidRPr="00101A2A">
        <w:rPr>
          <w:b w:val="0"/>
          <w:bCs/>
          <w:i w:val="0"/>
          <w:iCs/>
          <w:lang w:val="en-US"/>
        </w:rPr>
        <w:t>consumer</w:t>
      </w:r>
      <w:r w:rsidRPr="00101A2A">
        <w:rPr>
          <w:b w:val="0"/>
          <w:bCs/>
          <w:i w:val="0"/>
          <w:iCs/>
          <w:lang w:val="en-US"/>
        </w:rPr>
        <w:t xml:space="preserve"> attention (interacted with the average proportion of spanners) </w:t>
      </w:r>
      <w:r w:rsidR="00622C6D" w:rsidRPr="00101A2A">
        <w:rPr>
          <w:b w:val="0"/>
          <w:bCs/>
          <w:i w:val="0"/>
          <w:iCs/>
          <w:lang w:val="en-US"/>
        </w:rPr>
        <w:t xml:space="preserve">corresponds to a </w:t>
      </w:r>
      <w:r w:rsidR="00DC0D45">
        <w:rPr>
          <w:b w:val="0"/>
          <w:bCs/>
          <w:i w:val="0"/>
          <w:iCs/>
          <w:lang w:val="en-US"/>
        </w:rPr>
        <w:t>0.</w:t>
      </w:r>
      <w:r w:rsidR="00622C6D" w:rsidRPr="00101A2A">
        <w:rPr>
          <w:b w:val="0"/>
          <w:bCs/>
          <w:i w:val="0"/>
          <w:iCs/>
          <w:lang w:val="en-US"/>
        </w:rPr>
        <w:t>2% decrease in the log of real estate prices (that is, -0.</w:t>
      </w:r>
      <w:r w:rsidR="00DC0D45" w:rsidRPr="00101A2A">
        <w:rPr>
          <w:b w:val="0"/>
          <w:bCs/>
          <w:i w:val="0"/>
          <w:iCs/>
          <w:lang w:val="en-US"/>
        </w:rPr>
        <w:t>0</w:t>
      </w:r>
      <w:r w:rsidR="00DC0D45">
        <w:rPr>
          <w:b w:val="0"/>
          <w:bCs/>
          <w:i w:val="0"/>
          <w:iCs/>
          <w:lang w:val="en-US"/>
        </w:rPr>
        <w:t>02</w:t>
      </w:r>
      <w:r w:rsidR="00DC0D45" w:rsidRPr="00101A2A">
        <w:rPr>
          <w:b w:val="0"/>
          <w:bCs/>
          <w:i w:val="0"/>
          <w:iCs/>
          <w:lang w:val="en-US"/>
        </w:rPr>
        <w:t xml:space="preserve"> </w:t>
      </w:r>
      <w:r w:rsidR="00622C6D" w:rsidRPr="00101A2A">
        <w:rPr>
          <w:b w:val="0"/>
          <w:bCs/>
          <w:i w:val="0"/>
          <w:iCs/>
          <w:lang w:val="en-US"/>
        </w:rPr>
        <w:t xml:space="preserve">= </w:t>
      </w:r>
      <w:r w:rsidR="003910D1" w:rsidRPr="00101A2A">
        <w:rPr>
          <w:b w:val="0"/>
          <w:bCs/>
          <w:i w:val="0"/>
          <w:iCs/>
          <w:lang w:val="en-US"/>
        </w:rPr>
        <w:t>0.</w:t>
      </w:r>
      <w:r w:rsidR="003910D1">
        <w:rPr>
          <w:b w:val="0"/>
          <w:bCs/>
          <w:i w:val="0"/>
          <w:iCs/>
          <w:lang w:val="en-US"/>
        </w:rPr>
        <w:t>277*</w:t>
      </w:r>
      <w:r w:rsidR="003910D1" w:rsidRPr="00101A2A">
        <w:rPr>
          <w:b w:val="0"/>
          <w:bCs/>
          <w:i w:val="0"/>
          <w:iCs/>
          <w:lang w:val="en-US"/>
        </w:rPr>
        <w:t>0.1</w:t>
      </w:r>
      <w:r w:rsidR="003910D1">
        <w:rPr>
          <w:b w:val="0"/>
          <w:bCs/>
          <w:i w:val="0"/>
          <w:iCs/>
          <w:lang w:val="en-US"/>
        </w:rPr>
        <w:t>75*(</w:t>
      </w:r>
      <w:r w:rsidR="00622C6D" w:rsidRPr="00101A2A">
        <w:rPr>
          <w:b w:val="0"/>
          <w:bCs/>
          <w:i w:val="0"/>
          <w:iCs/>
          <w:lang w:val="en-US"/>
        </w:rPr>
        <w:t>-0.00</w:t>
      </w:r>
      <w:r w:rsidR="00E75865">
        <w:rPr>
          <w:b w:val="0"/>
          <w:bCs/>
          <w:i w:val="0"/>
          <w:iCs/>
          <w:lang w:val="en-US"/>
        </w:rPr>
        <w:t>1</w:t>
      </w:r>
      <w:r w:rsidR="00622C6D" w:rsidRPr="00101A2A">
        <w:rPr>
          <w:b w:val="0"/>
          <w:bCs/>
          <w:i w:val="0"/>
          <w:iCs/>
          <w:lang w:val="en-US"/>
        </w:rPr>
        <w:t>/(1-0.9</w:t>
      </w:r>
      <w:r w:rsidR="00E75865">
        <w:rPr>
          <w:b w:val="0"/>
          <w:bCs/>
          <w:i w:val="0"/>
          <w:iCs/>
          <w:lang w:val="en-US"/>
        </w:rPr>
        <w:t>7</w:t>
      </w:r>
      <w:r w:rsidR="00622C6D" w:rsidRPr="00101A2A">
        <w:rPr>
          <w:b w:val="0"/>
          <w:bCs/>
          <w:i w:val="0"/>
          <w:iCs/>
          <w:lang w:val="en-US"/>
        </w:rPr>
        <w:t xml:space="preserve">8))). In other words, it </w:t>
      </w:r>
      <w:r w:rsidRPr="00101A2A">
        <w:rPr>
          <w:b w:val="0"/>
          <w:bCs/>
          <w:i w:val="0"/>
          <w:iCs/>
          <w:lang w:val="en-US"/>
        </w:rPr>
        <w:t>decreases</w:t>
      </w:r>
      <w:r w:rsidR="00F53555" w:rsidRPr="00101A2A">
        <w:rPr>
          <w:b w:val="0"/>
          <w:bCs/>
          <w:i w:val="0"/>
          <w:iCs/>
          <w:lang w:val="en-US"/>
        </w:rPr>
        <w:t xml:space="preserve"> </w:t>
      </w:r>
      <w:r w:rsidRPr="00101A2A">
        <w:rPr>
          <w:b w:val="0"/>
          <w:bCs/>
          <w:i w:val="0"/>
          <w:iCs/>
          <w:lang w:val="en-US"/>
        </w:rPr>
        <w:t xml:space="preserve">the average real estate price </w:t>
      </w:r>
      <w:r w:rsidR="00B54310" w:rsidRPr="00101A2A">
        <w:rPr>
          <w:b w:val="0"/>
          <w:bCs/>
          <w:i w:val="0"/>
          <w:iCs/>
          <w:lang w:val="en-US"/>
        </w:rPr>
        <w:t>by</w:t>
      </w:r>
      <w:r w:rsidRPr="00101A2A">
        <w:rPr>
          <w:b w:val="0"/>
          <w:bCs/>
          <w:i w:val="0"/>
          <w:iCs/>
          <w:lang w:val="en-US"/>
        </w:rPr>
        <w:t xml:space="preserve"> about $</w:t>
      </w:r>
      <w:r w:rsidR="00DC0D45">
        <w:rPr>
          <w:b w:val="0"/>
          <w:bCs/>
          <w:i w:val="0"/>
          <w:iCs/>
          <w:lang w:val="en-US"/>
        </w:rPr>
        <w:t>800</w:t>
      </w:r>
      <w:r w:rsidRPr="00101A2A">
        <w:rPr>
          <w:b w:val="0"/>
          <w:bCs/>
          <w:i w:val="0"/>
          <w:iCs/>
          <w:lang w:val="en-US"/>
        </w:rPr>
        <w:t xml:space="preserve"> (that is, -</w:t>
      </w:r>
      <w:r w:rsidR="00DC0D45">
        <w:rPr>
          <w:b w:val="0"/>
          <w:bCs/>
          <w:i w:val="0"/>
          <w:iCs/>
          <w:lang w:val="en-US"/>
        </w:rPr>
        <w:t>819.371</w:t>
      </w:r>
      <w:r w:rsidRPr="00101A2A">
        <w:rPr>
          <w:b w:val="0"/>
          <w:bCs/>
          <w:i w:val="0"/>
          <w:iCs/>
          <w:lang w:val="en-US"/>
        </w:rPr>
        <w:t xml:space="preserve"> = </w:t>
      </w:r>
      <w:r w:rsidR="00DC0D45" w:rsidRPr="00FA0B1F">
        <w:rPr>
          <w:b w:val="0"/>
          <w:bCs/>
          <w:i w:val="0"/>
          <w:iCs/>
          <w:lang w:val="en-US"/>
        </w:rPr>
        <w:t>372,275</w:t>
      </w:r>
      <w:r w:rsidRPr="00101A2A">
        <w:rPr>
          <w:b w:val="0"/>
          <w:bCs/>
          <w:i w:val="0"/>
          <w:iCs/>
          <w:lang w:val="en-US"/>
        </w:rPr>
        <w:t>*e^(</w:t>
      </w:r>
      <w:r w:rsidR="003910D1">
        <w:rPr>
          <w:b w:val="0"/>
          <w:bCs/>
          <w:i w:val="0"/>
          <w:iCs/>
          <w:lang w:val="en-US"/>
        </w:rPr>
        <w:t>0.002</w:t>
      </w:r>
      <w:r w:rsidRPr="00101A2A">
        <w:rPr>
          <w:b w:val="0"/>
          <w:bCs/>
          <w:i w:val="0"/>
          <w:iCs/>
          <w:lang w:val="en-US"/>
        </w:rPr>
        <w:t>)-</w:t>
      </w:r>
      <w:r w:rsidRPr="00101A2A">
        <w:rPr>
          <w:lang w:val="en-US"/>
        </w:rPr>
        <w:t xml:space="preserve"> </w:t>
      </w:r>
      <w:r w:rsidR="00DC0D45" w:rsidRPr="00DC0D45">
        <w:rPr>
          <w:b w:val="0"/>
          <w:bCs/>
          <w:i w:val="0"/>
          <w:iCs/>
          <w:lang w:val="en-US"/>
        </w:rPr>
        <w:t>372,275</w:t>
      </w:r>
      <w:r w:rsidRPr="00101A2A">
        <w:rPr>
          <w:b w:val="0"/>
          <w:bCs/>
          <w:i w:val="0"/>
          <w:iCs/>
          <w:lang w:val="en-US"/>
        </w:rPr>
        <w:t xml:space="preserve">). </w:t>
      </w:r>
    </w:p>
    <w:p w14:paraId="76D8AEBD" w14:textId="13BE8A32" w:rsidR="00D92323" w:rsidRPr="00101A2A" w:rsidRDefault="00801F8E" w:rsidP="00B85857">
      <w:r w:rsidRPr="00101A2A">
        <w:t xml:space="preserve">Finally, using the values of Model 5 in Table </w:t>
      </w:r>
      <w:r w:rsidR="00DC0D45">
        <w:t>4</w:t>
      </w:r>
      <w:r w:rsidRPr="00101A2A">
        <w:t xml:space="preserve"> (</w:t>
      </w:r>
      <w:r w:rsidR="00FA54EB" w:rsidRPr="00101A2A">
        <w:t>three</w:t>
      </w:r>
      <w:r w:rsidRPr="00101A2A">
        <w:t>-city sample</w:t>
      </w:r>
      <w:r w:rsidR="00FA54EB" w:rsidRPr="00101A2A">
        <w:t xml:space="preserve"> of Austin, Nashville, </w:t>
      </w:r>
      <w:r w:rsidR="00B54310" w:rsidRPr="00101A2A">
        <w:t xml:space="preserve">and </w:t>
      </w:r>
      <w:r w:rsidR="00FA54EB" w:rsidRPr="00101A2A">
        <w:t>Portland</w:t>
      </w:r>
      <w:r w:rsidRPr="00101A2A">
        <w:t>), we estimate the effect of the approval of a regulation interacted with spanner proportion on real estate prices. We find that</w:t>
      </w:r>
      <w:r w:rsidR="007A7DF1">
        <w:t>,</w:t>
      </w:r>
      <w:r w:rsidRPr="00101A2A">
        <w:t xml:space="preserve"> </w:t>
      </w:r>
      <w:r w:rsidR="00F53555" w:rsidRPr="00101A2A">
        <w:t>in the long run</w:t>
      </w:r>
      <w:r w:rsidR="007A7DF1">
        <w:t>,</w:t>
      </w:r>
      <w:r w:rsidR="00F53555" w:rsidRPr="00101A2A">
        <w:t xml:space="preserve"> </w:t>
      </w:r>
      <w:r w:rsidRPr="00101A2A">
        <w:t xml:space="preserve">regulated market interacted with the mean </w:t>
      </w:r>
      <w:r w:rsidR="00B54310" w:rsidRPr="00101A2A">
        <w:t>proportion</w:t>
      </w:r>
      <w:r w:rsidRPr="00101A2A">
        <w:t xml:space="preserve"> of spanners </w:t>
      </w:r>
      <w:r w:rsidR="00915BDC">
        <w:t>decreas</w:t>
      </w:r>
      <w:r w:rsidR="007A7DF1">
        <w:t>es</w:t>
      </w:r>
      <w:r w:rsidRPr="00101A2A">
        <w:t xml:space="preserve"> the log </w:t>
      </w:r>
      <w:r w:rsidR="00392FBA" w:rsidRPr="00101A2A">
        <w:t xml:space="preserve">of </w:t>
      </w:r>
      <w:r w:rsidRPr="00101A2A">
        <w:t>real estate prices</w:t>
      </w:r>
      <w:r w:rsidR="00F53555" w:rsidRPr="00101A2A">
        <w:t xml:space="preserve"> on average</w:t>
      </w:r>
      <w:r w:rsidR="00AD2A22">
        <w:t xml:space="preserve"> </w:t>
      </w:r>
      <w:r w:rsidR="00AD2A22" w:rsidRPr="00101A2A">
        <w:t>by</w:t>
      </w:r>
      <w:r w:rsidRPr="00101A2A">
        <w:t xml:space="preserve"> 3.</w:t>
      </w:r>
      <w:r w:rsidR="00DC0D45">
        <w:t>8</w:t>
      </w:r>
      <w:r w:rsidRPr="00101A2A">
        <w:t>% per zip code (that is, -0.03</w:t>
      </w:r>
      <w:r w:rsidR="00DC0D45">
        <w:t>8</w:t>
      </w:r>
      <w:r w:rsidRPr="00101A2A">
        <w:t xml:space="preserve"> = </w:t>
      </w:r>
      <w:r w:rsidR="003910D1">
        <w:t>1</w:t>
      </w:r>
      <w:r w:rsidR="003910D1" w:rsidRPr="00101A2A">
        <w:t>*0.1</w:t>
      </w:r>
      <w:r w:rsidR="003910D1">
        <w:t>38</w:t>
      </w:r>
      <w:r w:rsidR="003910D1" w:rsidRPr="00101A2A">
        <w:t xml:space="preserve"> </w:t>
      </w:r>
      <w:r w:rsidR="003910D1">
        <w:t>*</w:t>
      </w:r>
      <w:r w:rsidRPr="00101A2A">
        <w:t>(-0.00</w:t>
      </w:r>
      <w:r w:rsidR="00DC0D45">
        <w:t>9</w:t>
      </w:r>
      <w:r w:rsidRPr="00101A2A">
        <w:t>/(1-0.9</w:t>
      </w:r>
      <w:r w:rsidR="00DC0D45">
        <w:t>6</w:t>
      </w:r>
      <w:r w:rsidRPr="00101A2A">
        <w:t>7</w:t>
      </w:r>
      <w:r w:rsidR="003910D1">
        <w:t>))</w:t>
      </w:r>
      <w:r w:rsidRPr="00101A2A">
        <w:t>)</w:t>
      </w:r>
      <w:r w:rsidR="007A7DF1">
        <w:rPr>
          <w:bCs/>
          <w:iCs/>
        </w:rPr>
        <w:t>. I</w:t>
      </w:r>
      <w:r w:rsidR="00F53555" w:rsidRPr="00101A2A">
        <w:rPr>
          <w:bCs/>
          <w:iCs/>
        </w:rPr>
        <w:t xml:space="preserve">t </w:t>
      </w:r>
      <w:r w:rsidRPr="00101A2A">
        <w:rPr>
          <w:bCs/>
          <w:iCs/>
        </w:rPr>
        <w:t>decrease</w:t>
      </w:r>
      <w:r w:rsidR="00F53555" w:rsidRPr="00101A2A">
        <w:rPr>
          <w:bCs/>
          <w:iCs/>
        </w:rPr>
        <w:t>s</w:t>
      </w:r>
      <w:r w:rsidRPr="00101A2A">
        <w:rPr>
          <w:bCs/>
          <w:iCs/>
        </w:rPr>
        <w:t xml:space="preserve"> the price of the average property </w:t>
      </w:r>
      <w:r w:rsidR="00F53555" w:rsidRPr="00101A2A">
        <w:rPr>
          <w:bCs/>
          <w:iCs/>
        </w:rPr>
        <w:t>by $8,</w:t>
      </w:r>
      <w:r w:rsidR="00DC0D45">
        <w:rPr>
          <w:bCs/>
          <w:iCs/>
        </w:rPr>
        <w:t>5</w:t>
      </w:r>
      <w:r w:rsidR="00F53555" w:rsidRPr="00101A2A">
        <w:rPr>
          <w:bCs/>
          <w:iCs/>
        </w:rPr>
        <w:t xml:space="preserve">00 </w:t>
      </w:r>
      <w:r w:rsidRPr="00101A2A">
        <w:rPr>
          <w:bCs/>
          <w:iCs/>
        </w:rPr>
        <w:t>(that is, -8,</w:t>
      </w:r>
      <w:r w:rsidR="00DC0D45">
        <w:rPr>
          <w:bCs/>
          <w:iCs/>
        </w:rPr>
        <w:t>669.13</w:t>
      </w:r>
      <w:r w:rsidRPr="00101A2A">
        <w:rPr>
          <w:bCs/>
          <w:iCs/>
        </w:rPr>
        <w:t xml:space="preserve"> = 23</w:t>
      </w:r>
      <w:r w:rsidR="00DC0D45">
        <w:rPr>
          <w:bCs/>
          <w:iCs/>
        </w:rPr>
        <w:t>4</w:t>
      </w:r>
      <w:r w:rsidRPr="00101A2A">
        <w:rPr>
          <w:bCs/>
          <w:iCs/>
        </w:rPr>
        <w:t>,</w:t>
      </w:r>
      <w:r w:rsidR="00DC0D45">
        <w:rPr>
          <w:bCs/>
          <w:iCs/>
        </w:rPr>
        <w:t>701</w:t>
      </w:r>
      <w:r w:rsidRPr="00101A2A">
        <w:rPr>
          <w:bCs/>
          <w:iCs/>
        </w:rPr>
        <w:t>*e^(</w:t>
      </w:r>
      <w:r w:rsidR="003910D1">
        <w:rPr>
          <w:bCs/>
          <w:iCs/>
        </w:rPr>
        <w:t>-0.038</w:t>
      </w:r>
      <w:r w:rsidRPr="00101A2A">
        <w:rPr>
          <w:bCs/>
          <w:iCs/>
        </w:rPr>
        <w:t>) – 23</w:t>
      </w:r>
      <w:r w:rsidR="00DC0D45">
        <w:rPr>
          <w:bCs/>
          <w:iCs/>
        </w:rPr>
        <w:t>4,701</w:t>
      </w:r>
      <w:r w:rsidRPr="00101A2A">
        <w:rPr>
          <w:bCs/>
          <w:iCs/>
        </w:rPr>
        <w:t>).</w:t>
      </w:r>
      <w:r w:rsidR="00FA54EB" w:rsidRPr="00101A2A">
        <w:t xml:space="preserve"> This effect is sizeable, as </w:t>
      </w:r>
      <w:r w:rsidR="00915BDC">
        <w:t xml:space="preserve">the monthly average spanner proportion in these three cities </w:t>
      </w:r>
      <w:r w:rsidR="00FA54EB" w:rsidRPr="00101A2A">
        <w:t>is 0.1</w:t>
      </w:r>
      <w:r w:rsidR="00DC0D45">
        <w:t>38</w:t>
      </w:r>
      <w:r w:rsidR="00915BDC">
        <w:t>,</w:t>
      </w:r>
      <w:r w:rsidR="00FA54EB" w:rsidRPr="00101A2A">
        <w:t xml:space="preserve"> and the average real estate price is $</w:t>
      </w:r>
      <w:r w:rsidR="00DC0D45" w:rsidRPr="00101A2A">
        <w:rPr>
          <w:bCs/>
          <w:iCs/>
        </w:rPr>
        <w:t>23</w:t>
      </w:r>
      <w:r w:rsidR="00DC0D45">
        <w:rPr>
          <w:bCs/>
          <w:iCs/>
        </w:rPr>
        <w:t>4</w:t>
      </w:r>
      <w:r w:rsidR="00DC0D45" w:rsidRPr="00101A2A">
        <w:rPr>
          <w:bCs/>
          <w:iCs/>
        </w:rPr>
        <w:t>,</w:t>
      </w:r>
      <w:r w:rsidR="00DC0D45">
        <w:rPr>
          <w:bCs/>
          <w:iCs/>
        </w:rPr>
        <w:t>701</w:t>
      </w:r>
      <w:r w:rsidR="00FA54EB" w:rsidRPr="00101A2A">
        <w:t>.</w:t>
      </w:r>
      <w:r w:rsidR="00B85857" w:rsidRPr="00101A2A" w:rsidDel="00B85857">
        <w:rPr>
          <w:bCs/>
          <w:iCs/>
        </w:rPr>
        <w:t xml:space="preserve"> </w:t>
      </w:r>
    </w:p>
    <w:p w14:paraId="7409F2A5" w14:textId="77777777" w:rsidR="00281C6E" w:rsidRPr="00101A2A" w:rsidRDefault="00C329CB" w:rsidP="001D04B8">
      <w:pPr>
        <w:pStyle w:val="Heading1"/>
        <w:jc w:val="left"/>
        <w:rPr>
          <w:lang w:val="en-US"/>
        </w:rPr>
      </w:pPr>
      <w:r w:rsidRPr="00101A2A">
        <w:rPr>
          <w:lang w:val="en-US"/>
        </w:rPr>
        <w:t>Post-hoc analyses</w:t>
      </w:r>
    </w:p>
    <w:p w14:paraId="6170010F" w14:textId="15B51484" w:rsidR="00F6702E" w:rsidRPr="00101A2A" w:rsidRDefault="00DF5BD9" w:rsidP="00D74569">
      <w:pPr>
        <w:pStyle w:val="Heading2"/>
      </w:pPr>
      <w:r w:rsidRPr="00101A2A">
        <w:t>Exploring the</w:t>
      </w:r>
      <w:r w:rsidR="00F6702E" w:rsidRPr="00101A2A">
        <w:t xml:space="preserve"> </w:t>
      </w:r>
      <w:r w:rsidR="00A43DF7" w:rsidRPr="00101A2A">
        <w:t>E</w:t>
      </w:r>
      <w:r w:rsidR="00F6702E" w:rsidRPr="00101A2A">
        <w:t xml:space="preserve">ffect of </w:t>
      </w:r>
      <w:r w:rsidR="00A43DF7" w:rsidRPr="00101A2A">
        <w:t>A</w:t>
      </w:r>
      <w:r w:rsidR="00A9655B" w:rsidRPr="00101A2A">
        <w:t>udiences</w:t>
      </w:r>
      <w:r w:rsidR="00F6702E" w:rsidRPr="00101A2A">
        <w:t xml:space="preserve"> </w:t>
      </w:r>
    </w:p>
    <w:p w14:paraId="38536FDD" w14:textId="01CA513F" w:rsidR="004D7193" w:rsidRPr="00101A2A" w:rsidRDefault="00BC081C" w:rsidP="00031840">
      <w:r w:rsidRPr="00101A2A">
        <w:rPr>
          <w:b/>
          <w:bCs/>
          <w:i/>
        </w:rPr>
        <w:t>E</w:t>
      </w:r>
      <w:r w:rsidR="004D7193" w:rsidRPr="00101A2A">
        <w:rPr>
          <w:b/>
          <w:bCs/>
          <w:i/>
        </w:rPr>
        <w:t>xistence of two categories</w:t>
      </w:r>
      <w:r w:rsidR="004D7193" w:rsidRPr="00101A2A">
        <w:rPr>
          <w:b/>
          <w:bCs/>
        </w:rPr>
        <w:t>.</w:t>
      </w:r>
      <w:r w:rsidR="004D7193" w:rsidRPr="00101A2A">
        <w:t xml:space="preserve"> To </w:t>
      </w:r>
      <w:r w:rsidR="00DF5BD9" w:rsidRPr="00101A2A">
        <w:t>understand the role of</w:t>
      </w:r>
      <w:r w:rsidR="004D7193" w:rsidRPr="00101A2A">
        <w:t xml:space="preserve"> </w:t>
      </w:r>
      <w:r w:rsidR="00930E29" w:rsidRPr="00101A2A">
        <w:t>audiences’</w:t>
      </w:r>
      <w:r w:rsidR="00ED5B32" w:rsidRPr="00101A2A">
        <w:t xml:space="preserve"> </w:t>
      </w:r>
      <w:r w:rsidR="00772B00" w:rsidRPr="00101A2A">
        <w:t xml:space="preserve">attention </w:t>
      </w:r>
      <w:r w:rsidR="00DF5BD9" w:rsidRPr="00101A2A">
        <w:t xml:space="preserve">as a </w:t>
      </w:r>
      <w:r w:rsidR="00ED5B32" w:rsidRPr="00101A2A">
        <w:t>moderat</w:t>
      </w:r>
      <w:r w:rsidR="00DF5BD9" w:rsidRPr="00101A2A">
        <w:t>or of</w:t>
      </w:r>
      <w:r w:rsidR="00ED5B32" w:rsidRPr="00101A2A">
        <w:t xml:space="preserve"> </w:t>
      </w:r>
      <w:r w:rsidR="006260AB" w:rsidRPr="00101A2A">
        <w:t xml:space="preserve">the effect of </w:t>
      </w:r>
      <w:r w:rsidR="00ED5B32" w:rsidRPr="00101A2A">
        <w:t>spanners</w:t>
      </w:r>
      <w:r w:rsidR="004D7193" w:rsidRPr="00101A2A">
        <w:t xml:space="preserve"> on </w:t>
      </w:r>
      <w:r w:rsidR="00277256" w:rsidRPr="00101A2A">
        <w:t>real estate prices</w:t>
      </w:r>
      <w:r w:rsidR="004D7193" w:rsidRPr="00101A2A">
        <w:t>, we need</w:t>
      </w:r>
      <w:r w:rsidR="00710456">
        <w:t>ed</w:t>
      </w:r>
      <w:r w:rsidR="004D7193" w:rsidRPr="00101A2A">
        <w:t xml:space="preserve"> to ensure that the two </w:t>
      </w:r>
      <w:r w:rsidR="00ED5B32" w:rsidRPr="00101A2A">
        <w:t>types of hosts</w:t>
      </w:r>
      <w:r w:rsidR="00892C4D">
        <w:t xml:space="preserve"> (spanners and single-listing hosts)</w:t>
      </w:r>
      <w:r w:rsidR="004D7193" w:rsidRPr="00101A2A">
        <w:t xml:space="preserve"> </w:t>
      </w:r>
      <w:r w:rsidR="00ED5B32" w:rsidRPr="00101A2A">
        <w:t xml:space="preserve">differ </w:t>
      </w:r>
      <w:r w:rsidR="004D7193" w:rsidRPr="00101A2A">
        <w:t xml:space="preserve">in the eyes of consumers. </w:t>
      </w:r>
      <w:r w:rsidR="006260AB" w:rsidRPr="00101A2A">
        <w:t>W</w:t>
      </w:r>
      <w:r w:rsidR="004D7193" w:rsidRPr="00101A2A">
        <w:t>e use</w:t>
      </w:r>
      <w:r w:rsidR="00710456">
        <w:t>d</w:t>
      </w:r>
      <w:r w:rsidR="004D7193" w:rsidRPr="00101A2A">
        <w:t xml:space="preserve"> </w:t>
      </w:r>
      <w:r w:rsidR="00CA7889" w:rsidRPr="00101A2A">
        <w:t xml:space="preserve">an </w:t>
      </w:r>
      <w:r w:rsidR="004D7193" w:rsidRPr="00101A2A">
        <w:t xml:space="preserve">automated textual analysis </w:t>
      </w:r>
      <w:r w:rsidR="00CA7889" w:rsidRPr="00101A2A">
        <w:t>and</w:t>
      </w:r>
      <w:r w:rsidR="004D7193" w:rsidRPr="00101A2A">
        <w:t xml:space="preserve"> </w:t>
      </w:r>
      <w:r w:rsidR="00915BDC">
        <w:t>performed</w:t>
      </w:r>
      <w:r w:rsidR="004D7193" w:rsidRPr="00101A2A">
        <w:t xml:space="preserve"> a simple frequency count of the words in consumer reviews to identify the top 100 words used to describe each type of host</w:t>
      </w:r>
      <w:r w:rsidR="00277256" w:rsidRPr="00101A2A">
        <w:t>.</w:t>
      </w:r>
      <w:r w:rsidR="004D7193" w:rsidRPr="00101A2A">
        <w:t xml:space="preserve"> </w:t>
      </w:r>
      <w:r w:rsidR="00CA7889" w:rsidRPr="00101A2A">
        <w:t>When</w:t>
      </w:r>
      <w:r w:rsidR="004D7193" w:rsidRPr="00101A2A">
        <w:t xml:space="preserve"> we look at words that are unique to either spanners or </w:t>
      </w:r>
      <w:r w:rsidR="00915BDC">
        <w:t>single-listing hosts</w:t>
      </w:r>
      <w:r w:rsidR="00031840" w:rsidRPr="00101A2A">
        <w:t xml:space="preserve"> (i.e., </w:t>
      </w:r>
      <w:r w:rsidR="008F73E9" w:rsidRPr="00101A2A">
        <w:t xml:space="preserve">words that </w:t>
      </w:r>
      <w:r w:rsidR="00031840" w:rsidRPr="00101A2A">
        <w:t>appear in one list but not the other)</w:t>
      </w:r>
      <w:r w:rsidR="00CA7889" w:rsidRPr="00101A2A">
        <w:t>, we see that t</w:t>
      </w:r>
      <w:r w:rsidR="004879B8" w:rsidRPr="00101A2A">
        <w:t>he</w:t>
      </w:r>
      <w:r w:rsidR="00281C6E" w:rsidRPr="00101A2A">
        <w:t xml:space="preserve"> </w:t>
      </w:r>
      <w:r w:rsidR="004D7193" w:rsidRPr="00101A2A">
        <w:t xml:space="preserve">words </w:t>
      </w:r>
      <w:r w:rsidR="004879B8" w:rsidRPr="00101A2A">
        <w:t xml:space="preserve">that </w:t>
      </w:r>
      <w:r w:rsidR="004D7193" w:rsidRPr="00101A2A">
        <w:t>are unique to single-listing hosts refer</w:t>
      </w:r>
      <w:r w:rsidR="00ED5B32" w:rsidRPr="00101A2A">
        <w:t xml:space="preserve"> </w:t>
      </w:r>
      <w:r w:rsidR="00915BDC">
        <w:t>primarily</w:t>
      </w:r>
      <w:r w:rsidR="004D7193" w:rsidRPr="00101A2A">
        <w:t xml:space="preserve"> to the rental experience (e.g., </w:t>
      </w:r>
      <w:r w:rsidR="00B66F5B" w:rsidRPr="00101A2A">
        <w:t>“</w:t>
      </w:r>
      <w:r w:rsidR="004D7193" w:rsidRPr="00101A2A">
        <w:t>friendly,</w:t>
      </w:r>
      <w:r w:rsidR="00B66F5B" w:rsidRPr="00101A2A">
        <w:t>”</w:t>
      </w:r>
      <w:r w:rsidR="004D7193" w:rsidRPr="00101A2A">
        <w:t xml:space="preserve"> </w:t>
      </w:r>
      <w:r w:rsidR="00B66F5B" w:rsidRPr="00101A2A">
        <w:t>“</w:t>
      </w:r>
      <w:r w:rsidR="004D7193" w:rsidRPr="00101A2A">
        <w:t>lovely,</w:t>
      </w:r>
      <w:r w:rsidR="00B66F5B" w:rsidRPr="00101A2A">
        <w:t>”</w:t>
      </w:r>
      <w:r w:rsidR="004D7193" w:rsidRPr="00101A2A">
        <w:t xml:space="preserve"> </w:t>
      </w:r>
      <w:r w:rsidR="00B66F5B" w:rsidRPr="00101A2A">
        <w:t>“</w:t>
      </w:r>
      <w:r w:rsidR="004D7193" w:rsidRPr="00101A2A">
        <w:t>feel,</w:t>
      </w:r>
      <w:r w:rsidR="00B66F5B" w:rsidRPr="00101A2A">
        <w:t>”</w:t>
      </w:r>
      <w:r w:rsidR="004D7193" w:rsidRPr="00101A2A">
        <w:t xml:space="preserve"> </w:t>
      </w:r>
      <w:r w:rsidR="00B66F5B" w:rsidRPr="00101A2A">
        <w:t>“</w:t>
      </w:r>
      <w:r w:rsidR="004D7193" w:rsidRPr="00101A2A">
        <w:t>cozy,</w:t>
      </w:r>
      <w:r w:rsidR="00B66F5B" w:rsidRPr="00101A2A">
        <w:t>”</w:t>
      </w:r>
      <w:r w:rsidR="004D7193" w:rsidRPr="00101A2A">
        <w:t xml:space="preserve"> </w:t>
      </w:r>
      <w:r w:rsidR="00B66F5B" w:rsidRPr="00101A2A">
        <w:t>“</w:t>
      </w:r>
      <w:r w:rsidR="004D7193" w:rsidRPr="00101A2A">
        <w:t>accommodating</w:t>
      </w:r>
      <w:r w:rsidR="00B66F5B" w:rsidRPr="00101A2A">
        <w:t>”</w:t>
      </w:r>
      <w:r w:rsidR="004D7193" w:rsidRPr="00101A2A">
        <w:t>)</w:t>
      </w:r>
      <w:r w:rsidR="00915BDC">
        <w:t>. In contrast,</w:t>
      </w:r>
      <w:r w:rsidR="00CA7889" w:rsidRPr="00101A2A">
        <w:t xml:space="preserve"> the </w:t>
      </w:r>
      <w:r w:rsidR="00CA7889" w:rsidRPr="00101A2A">
        <w:lastRenderedPageBreak/>
        <w:t>w</w:t>
      </w:r>
      <w:r w:rsidR="004D7193" w:rsidRPr="00101A2A">
        <w:t xml:space="preserve">ords </w:t>
      </w:r>
      <w:r w:rsidR="00ED5B32" w:rsidRPr="00101A2A">
        <w:t xml:space="preserve">that </w:t>
      </w:r>
      <w:r w:rsidR="004879B8" w:rsidRPr="00101A2A">
        <w:t>a</w:t>
      </w:r>
      <w:r w:rsidR="004D7193" w:rsidRPr="00101A2A">
        <w:t xml:space="preserve">re unique to spanners </w:t>
      </w:r>
      <w:r w:rsidR="00281C6E" w:rsidRPr="00101A2A">
        <w:t xml:space="preserve">typically </w:t>
      </w:r>
      <w:r w:rsidR="004D7193" w:rsidRPr="00101A2A">
        <w:t xml:space="preserve">refer to the rental place (e.g., </w:t>
      </w:r>
      <w:r w:rsidR="00B66F5B" w:rsidRPr="00101A2A">
        <w:t>“</w:t>
      </w:r>
      <w:r w:rsidR="004D7193" w:rsidRPr="00101A2A">
        <w:t>bathroom,</w:t>
      </w:r>
      <w:r w:rsidR="00B66F5B" w:rsidRPr="00101A2A">
        <w:t>”</w:t>
      </w:r>
      <w:r w:rsidR="004D7193" w:rsidRPr="00101A2A">
        <w:t xml:space="preserve"> </w:t>
      </w:r>
      <w:r w:rsidR="00B66F5B" w:rsidRPr="00101A2A">
        <w:t>“</w:t>
      </w:r>
      <w:r w:rsidR="004D7193" w:rsidRPr="00101A2A">
        <w:t>beds,</w:t>
      </w:r>
      <w:r w:rsidR="00B66F5B" w:rsidRPr="00101A2A">
        <w:t>”</w:t>
      </w:r>
      <w:r w:rsidR="004D7193" w:rsidRPr="00101A2A">
        <w:t xml:space="preserve"> </w:t>
      </w:r>
      <w:r w:rsidR="00B66F5B" w:rsidRPr="00101A2A">
        <w:t>“</w:t>
      </w:r>
      <w:r w:rsidR="004D7193" w:rsidRPr="00101A2A">
        <w:t>property,</w:t>
      </w:r>
      <w:r w:rsidR="00B66F5B" w:rsidRPr="00101A2A">
        <w:t>”</w:t>
      </w:r>
      <w:r w:rsidR="004D7193" w:rsidRPr="00101A2A">
        <w:t xml:space="preserve"> </w:t>
      </w:r>
      <w:r w:rsidR="00B66F5B" w:rsidRPr="00101A2A">
        <w:t>“</w:t>
      </w:r>
      <w:r w:rsidR="004D7193" w:rsidRPr="00101A2A">
        <w:t>shower</w:t>
      </w:r>
      <w:r w:rsidR="00B66F5B" w:rsidRPr="00101A2A">
        <w:t>”</w:t>
      </w:r>
      <w:r w:rsidR="004D7193" w:rsidRPr="00101A2A">
        <w:t xml:space="preserve">). </w:t>
      </w:r>
      <w:r w:rsidR="00CA7889" w:rsidRPr="00101A2A">
        <w:t>W</w:t>
      </w:r>
      <w:r w:rsidR="00B80B55" w:rsidRPr="00101A2A">
        <w:t xml:space="preserve">e </w:t>
      </w:r>
      <w:r w:rsidR="00AE4669" w:rsidRPr="00101A2A">
        <w:t>then</w:t>
      </w:r>
      <w:r w:rsidR="0062564D" w:rsidRPr="00101A2A">
        <w:t xml:space="preserve"> </w:t>
      </w:r>
      <w:r w:rsidR="004D7193" w:rsidRPr="00101A2A">
        <w:t>create</w:t>
      </w:r>
      <w:r w:rsidR="00710456">
        <w:t>d</w:t>
      </w:r>
      <w:r w:rsidR="004D7193" w:rsidRPr="00101A2A">
        <w:t xml:space="preserve"> a </w:t>
      </w:r>
      <w:proofErr w:type="spellStart"/>
      <w:r w:rsidR="004D7193" w:rsidRPr="00101A2A">
        <w:t>ScatterText</w:t>
      </w:r>
      <w:proofErr w:type="spellEnd"/>
      <w:r w:rsidR="004D7193" w:rsidRPr="00101A2A">
        <w:t xml:space="preserve"> plot </w:t>
      </w:r>
      <w:r w:rsidR="004D7193" w:rsidRPr="00101A2A">
        <w:fldChar w:fldCharType="begin" w:fldLock="1"/>
      </w:r>
      <w:r w:rsidR="003749C2">
        <w:instrText>ADDIN CSL_CITATION {"citationItems":[{"id":"ITEM-1","itemData":{"DOI":"10.18653/v1/P17-4015","ISBN":"9781945626715","abstract":"Scattertext is an open source tool for visualizing linguistic variation between document categories in a language-independent way. The tool presents a scatterplot, where each axis corresponds to the rank-frequency a term occurs in a category of documents. Through a tie-breaking strategy, the tool is able to display thousands of visible term-representing points and find space to legibly label hundreds of them. Scattertext also lends itself to a query-based visualization of how the use of terms with similar embeddings differs between document categories, as well as a visualization for comparing the importance scores of bag-of-words features to univariate metrics.","author":[{"dropping-particle":"","family":"Kessler","given":"Jason S.","non-dropping-particle":"","parse-names":false,"suffix":""}],"container-title":"ACL 2017 - 55th Annual Meeting of the Association for Computational Linguistics, Proceedings of System Demonstrations","id":"ITEM-1","issued":{"date-parts":[["2017"]]},"page":"85-90","title":"ScatterText: A browser-based tool for visualizing how corpora differ","type":"article-journal"},"uris":["http://www.mendeley.com/documents/?uuid=10e320e8-c80f-45be-b563-c23c0105a9da"]}],"mendeley":{"formattedCitation":"(Kessler, 2017)","manualFormatting":"(Kessler, 2017)","plainTextFormattedCitation":"(Kessler, 2017)","previouslyFormattedCitation":"(Kessler, 2017)"},"properties":{"noteIndex":0},"schema":"https://github.com/citation-style-language/schema/raw/master/csl-citation.json"}</w:instrText>
      </w:r>
      <w:r w:rsidR="004D7193" w:rsidRPr="00101A2A">
        <w:fldChar w:fldCharType="separate"/>
      </w:r>
      <w:r w:rsidR="00F8644E" w:rsidRPr="00101A2A">
        <w:rPr>
          <w:noProof/>
        </w:rPr>
        <w:t>(Kessler</w:t>
      </w:r>
      <w:r w:rsidR="0049328D" w:rsidRPr="00101A2A">
        <w:rPr>
          <w:noProof/>
        </w:rPr>
        <w:t>,</w:t>
      </w:r>
      <w:r w:rsidR="00F8644E" w:rsidRPr="00101A2A">
        <w:rPr>
          <w:noProof/>
        </w:rPr>
        <w:t xml:space="preserve"> 2017)</w:t>
      </w:r>
      <w:r w:rsidR="004D7193" w:rsidRPr="00101A2A">
        <w:fldChar w:fldCharType="end"/>
      </w:r>
      <w:r w:rsidR="004D7193" w:rsidRPr="00101A2A">
        <w:t xml:space="preserve"> (Figure </w:t>
      </w:r>
      <w:r w:rsidR="00183B1F" w:rsidRPr="00101A2A">
        <w:t>2</w:t>
      </w:r>
      <w:r w:rsidR="004D7193" w:rsidRPr="00101A2A">
        <w:t>A</w:t>
      </w:r>
      <w:r w:rsidR="00281C6E" w:rsidRPr="00101A2A">
        <w:t xml:space="preserve"> in the </w:t>
      </w:r>
      <w:r w:rsidR="00CA7889" w:rsidRPr="00101A2A">
        <w:t>Appendix</w:t>
      </w:r>
      <w:r w:rsidR="004D7193" w:rsidRPr="00101A2A">
        <w:t>)</w:t>
      </w:r>
      <w:r w:rsidR="004879B8" w:rsidRPr="00101A2A">
        <w:t xml:space="preserve"> to </w:t>
      </w:r>
      <w:r w:rsidR="004D7193" w:rsidRPr="00101A2A">
        <w:t>identif</w:t>
      </w:r>
      <w:r w:rsidR="004879B8" w:rsidRPr="00101A2A">
        <w:t>y</w:t>
      </w:r>
      <w:r w:rsidR="004D7193" w:rsidRPr="00101A2A">
        <w:t xml:space="preserve"> the </w:t>
      </w:r>
      <w:r w:rsidR="00B66F5B" w:rsidRPr="00101A2A">
        <w:t xml:space="preserve">words </w:t>
      </w:r>
      <w:r w:rsidR="004D7193" w:rsidRPr="00101A2A">
        <w:t>most frequent</w:t>
      </w:r>
      <w:r w:rsidR="00B66F5B" w:rsidRPr="00101A2A">
        <w:t>ly</w:t>
      </w:r>
      <w:r w:rsidR="004D7193" w:rsidRPr="00101A2A">
        <w:t xml:space="preserve"> used to review spanners </w:t>
      </w:r>
      <w:r w:rsidR="004879B8" w:rsidRPr="00101A2A">
        <w:t xml:space="preserve">and </w:t>
      </w:r>
      <w:r w:rsidR="004D7193" w:rsidRPr="00101A2A">
        <w:t xml:space="preserve">rarely used to </w:t>
      </w:r>
      <w:r w:rsidR="00132379">
        <w:t>describe</w:t>
      </w:r>
      <w:r w:rsidR="004D7193" w:rsidRPr="00101A2A">
        <w:t xml:space="preserve"> single-listing hosts</w:t>
      </w:r>
      <w:r w:rsidR="00ED5B32" w:rsidRPr="00101A2A">
        <w:t xml:space="preserve"> (and vice versa)</w:t>
      </w:r>
      <w:r w:rsidR="004D7193" w:rsidRPr="00101A2A">
        <w:t>.</w:t>
      </w:r>
      <w:r w:rsidR="00031840" w:rsidRPr="00101A2A">
        <w:t xml:space="preserve"> For spanners</w:t>
      </w:r>
      <w:r w:rsidR="004D7193" w:rsidRPr="00101A2A">
        <w:t xml:space="preserve">, these words </w:t>
      </w:r>
      <w:r w:rsidR="00031840" w:rsidRPr="00101A2A">
        <w:t>include</w:t>
      </w:r>
      <w:r w:rsidR="004D7193" w:rsidRPr="00101A2A">
        <w:t xml:space="preserve"> “hostel</w:t>
      </w:r>
      <w:r w:rsidR="00B66F5B" w:rsidRPr="00101A2A">
        <w:t>,</w:t>
      </w:r>
      <w:r w:rsidR="004D7193" w:rsidRPr="00101A2A">
        <w:t>” “staff</w:t>
      </w:r>
      <w:r w:rsidR="00B66F5B" w:rsidRPr="00101A2A">
        <w:t>,</w:t>
      </w:r>
      <w:r w:rsidR="004D7193" w:rsidRPr="00101A2A">
        <w:t>” and “turnkey</w:t>
      </w:r>
      <w:r w:rsidR="00B66F5B" w:rsidRPr="00101A2A">
        <w:t>,</w:t>
      </w:r>
      <w:r w:rsidR="004D7193" w:rsidRPr="00101A2A">
        <w:t xml:space="preserve">” which refer to professional services in either the hospitality or the real estate industry. </w:t>
      </w:r>
      <w:r w:rsidR="00031840" w:rsidRPr="00101A2A">
        <w:t xml:space="preserve">For </w:t>
      </w:r>
      <w:r w:rsidR="004D7193" w:rsidRPr="00101A2A">
        <w:t>single-listing hosts</w:t>
      </w:r>
      <w:r w:rsidR="00ED5B32" w:rsidRPr="00101A2A">
        <w:t>,</w:t>
      </w:r>
      <w:r w:rsidR="004D7193" w:rsidRPr="00101A2A">
        <w:t xml:space="preserve"> we find people</w:t>
      </w:r>
      <w:r w:rsidR="00B66F5B" w:rsidRPr="00101A2A">
        <w:t>’s</w:t>
      </w:r>
      <w:r w:rsidR="004D7193" w:rsidRPr="00101A2A">
        <w:t xml:space="preserve"> first names</w:t>
      </w:r>
      <w:r w:rsidR="004879B8" w:rsidRPr="00101A2A">
        <w:t>,</w:t>
      </w:r>
      <w:r w:rsidR="004D7193" w:rsidRPr="00101A2A">
        <w:t xml:space="preserve"> presumably the name</w:t>
      </w:r>
      <w:r w:rsidR="00A9655B" w:rsidRPr="00101A2A">
        <w:t>s</w:t>
      </w:r>
      <w:r w:rsidR="004D7193" w:rsidRPr="00101A2A">
        <w:t xml:space="preserve"> of hosts. </w:t>
      </w:r>
      <w:r w:rsidR="00DE0799">
        <w:t>T</w:t>
      </w:r>
      <w:r w:rsidR="006260AB" w:rsidRPr="00101A2A">
        <w:t xml:space="preserve">his finding </w:t>
      </w:r>
      <w:r w:rsidR="00DB68CB" w:rsidRPr="00101A2A">
        <w:t>suggests</w:t>
      </w:r>
      <w:r w:rsidR="001D6A3D" w:rsidRPr="00101A2A">
        <w:t xml:space="preserve"> that</w:t>
      </w:r>
      <w:r w:rsidR="00277256" w:rsidRPr="00101A2A">
        <w:t xml:space="preserve"> consumers</w:t>
      </w:r>
      <w:r w:rsidR="001D6A3D" w:rsidRPr="00101A2A">
        <w:t xml:space="preserve"> recognize spanners</w:t>
      </w:r>
      <w:r w:rsidR="00277256" w:rsidRPr="00101A2A">
        <w:t xml:space="preserve"> as differ</w:t>
      </w:r>
      <w:r w:rsidR="003E1EB8">
        <w:t>ent</w:t>
      </w:r>
      <w:r w:rsidR="00277256" w:rsidRPr="00101A2A">
        <w:t xml:space="preserve"> from single-listing hosts in the type</w:t>
      </w:r>
      <w:r w:rsidR="00B66F5B" w:rsidRPr="00101A2A">
        <w:t>s</w:t>
      </w:r>
      <w:r w:rsidR="00277256" w:rsidRPr="00101A2A">
        <w:t xml:space="preserve"> of service </w:t>
      </w:r>
      <w:r w:rsidR="00031840" w:rsidRPr="00101A2A">
        <w:t xml:space="preserve">provided </w:t>
      </w:r>
      <w:r w:rsidR="00277256" w:rsidRPr="00101A2A">
        <w:t xml:space="preserve">and </w:t>
      </w:r>
      <w:r w:rsidR="00031840" w:rsidRPr="00101A2A">
        <w:t xml:space="preserve">in </w:t>
      </w:r>
      <w:r w:rsidR="00277256" w:rsidRPr="00101A2A">
        <w:t>interpersonal interactions.</w:t>
      </w:r>
    </w:p>
    <w:p w14:paraId="67574161" w14:textId="6EEF7C42" w:rsidR="001D35E7" w:rsidRPr="00101A2A" w:rsidRDefault="00BC081C" w:rsidP="00DE1E3E">
      <w:r w:rsidRPr="00101A2A">
        <w:rPr>
          <w:b/>
          <w:bCs/>
          <w:i/>
          <w:iCs/>
        </w:rPr>
        <w:t>C</w:t>
      </w:r>
      <w:r w:rsidR="004D7193" w:rsidRPr="00101A2A">
        <w:rPr>
          <w:b/>
          <w:bCs/>
          <w:i/>
          <w:iCs/>
        </w:rPr>
        <w:t>hange in consumers</w:t>
      </w:r>
      <w:r w:rsidR="00A43DF7" w:rsidRPr="00101A2A">
        <w:rPr>
          <w:b/>
          <w:bCs/>
          <w:i/>
          <w:iCs/>
        </w:rPr>
        <w:t>’</w:t>
      </w:r>
      <w:r w:rsidR="004D7193" w:rsidRPr="00101A2A">
        <w:rPr>
          <w:b/>
          <w:bCs/>
          <w:i/>
          <w:iCs/>
        </w:rPr>
        <w:t xml:space="preserve"> perceptions of the two </w:t>
      </w:r>
      <w:r w:rsidR="008240B1" w:rsidRPr="00101A2A">
        <w:rPr>
          <w:b/>
          <w:bCs/>
          <w:i/>
          <w:iCs/>
        </w:rPr>
        <w:t xml:space="preserve">types of </w:t>
      </w:r>
      <w:r w:rsidR="004D7193" w:rsidRPr="00101A2A">
        <w:rPr>
          <w:b/>
          <w:bCs/>
          <w:i/>
          <w:iCs/>
        </w:rPr>
        <w:t>hosts.</w:t>
      </w:r>
      <w:r w:rsidR="004D7193" w:rsidRPr="00101A2A">
        <w:t xml:space="preserve"> </w:t>
      </w:r>
      <w:r w:rsidRPr="00101A2A">
        <w:t>O</w:t>
      </w:r>
      <w:r w:rsidR="00E0057B" w:rsidRPr="00101A2A">
        <w:t xml:space="preserve">ur </w:t>
      </w:r>
      <w:r w:rsidR="00915BDC">
        <w:t>primary</w:t>
      </w:r>
      <w:r w:rsidR="00E0057B" w:rsidRPr="00101A2A">
        <w:t xml:space="preserve"> analyses show that after a regulatory change that stresses the atypicality of spanners in the Airbnb platform, </w:t>
      </w:r>
      <w:r w:rsidRPr="00101A2A">
        <w:t xml:space="preserve">the effect of </w:t>
      </w:r>
      <w:r w:rsidR="00E0057B" w:rsidRPr="00101A2A">
        <w:t xml:space="preserve">spanners on real estate prices decreases. To understand the </w:t>
      </w:r>
      <w:r w:rsidR="003E1EB8">
        <w:t>mechanism</w:t>
      </w:r>
      <w:r w:rsidR="003E1EB8" w:rsidRPr="00101A2A">
        <w:t xml:space="preserve"> </w:t>
      </w:r>
      <w:r w:rsidR="00E0057B" w:rsidRPr="00101A2A">
        <w:t xml:space="preserve">behind this effect, we further inspect the consumer reviews </w:t>
      </w:r>
      <w:r w:rsidR="0062342B" w:rsidRPr="00101A2A">
        <w:t>(Table A</w:t>
      </w:r>
      <w:r w:rsidR="00D302EE" w:rsidRPr="00101A2A">
        <w:t>4</w:t>
      </w:r>
      <w:r w:rsidR="0062342B" w:rsidRPr="00101A2A">
        <w:t xml:space="preserve"> in the </w:t>
      </w:r>
      <w:r w:rsidR="00CA7889" w:rsidRPr="00101A2A">
        <w:t>Appendix</w:t>
      </w:r>
      <w:r w:rsidR="0062342B" w:rsidRPr="00101A2A">
        <w:t xml:space="preserve"> reports </w:t>
      </w:r>
      <w:r w:rsidR="00B66F5B" w:rsidRPr="00101A2A">
        <w:t xml:space="preserve">sample </w:t>
      </w:r>
      <w:r w:rsidR="0062342B" w:rsidRPr="00101A2A">
        <w:t>reviews mentioning the new regulation)</w:t>
      </w:r>
      <w:r w:rsidR="00E0057B" w:rsidRPr="00101A2A">
        <w:t xml:space="preserve">. </w:t>
      </w:r>
      <w:r w:rsidR="00121C19" w:rsidRPr="00101A2A">
        <w:t>U</w:t>
      </w:r>
      <w:r w:rsidR="004D7193" w:rsidRPr="00101A2A">
        <w:t xml:space="preserve">sing all reviews published about any host during the </w:t>
      </w:r>
      <w:r w:rsidR="00BF3201" w:rsidRPr="00101A2A">
        <w:t xml:space="preserve">entire </w:t>
      </w:r>
      <w:r w:rsidR="004D7193" w:rsidRPr="00101A2A">
        <w:t>period of analysis, we create a</w:t>
      </w:r>
      <w:r w:rsidR="00B80B55" w:rsidRPr="00101A2A">
        <w:t xml:space="preserve"> multidimensional</w:t>
      </w:r>
      <w:r w:rsidR="004D7193" w:rsidRPr="00101A2A">
        <w:t xml:space="preserve"> space with </w:t>
      </w:r>
      <w:r w:rsidR="004D7193" w:rsidRPr="00101A2A">
        <w:rPr>
          <w:i/>
          <w:iCs/>
        </w:rPr>
        <w:t>word2vec</w:t>
      </w:r>
      <w:r w:rsidR="004D7193" w:rsidRPr="00101A2A">
        <w:t>, where each word represents one dimension of the space</w:t>
      </w:r>
      <w:r w:rsidR="00EB51F1" w:rsidRPr="00101A2A">
        <w:t xml:space="preserve"> </w:t>
      </w:r>
      <w:r w:rsidR="00EB51F1" w:rsidRPr="00101A2A">
        <w:fldChar w:fldCharType="begin" w:fldLock="1"/>
      </w:r>
      <w:r w:rsidR="003749C2">
        <w:instrText>ADDIN CSL_CITATION {"citationItems":[{"id":"ITEM-1","itemData":{"DOI":"10.1073/pnas.1720347115","ISBN":"1720347115","ISSN":"0027-8424","PMID":"29615513","abstract":"Word embeddings use vectors to represent words such that the geometry between vectors captures semantic relationship between the words. In this paper, we develop a framework to demonstrate how the temporal dynamics of the embedding can be leveraged to quantify changes in stereotypes and attitudes toward women and ethnic minorities in the 20th and 21st centuries in the United States. We integrate word embeddings trained on 100 years of text data with the U.S. Census to show that changes in the embedding track closely with demographic and occupation shifts over time. The embedding captures global social shifts -- e.g., the women's movement in the 1960s and Asian immigration into the U.S -- and also illuminates how specific adjectives and occupations became more closely associated with certain populations over time. Our framework for temporal analysis of word embedding opens up a powerful new intersection between machine learning and quantitative social science.","author":[{"dropping-particle":"","family":"Garg","given":"Nikhil","non-dropping-particle":"","parse-names":false,"suffix":""},{"dropping-particle":"","family":"Schiebinger","given":"Londa","non-dropping-particle":"","parse-names":false,"suffix":""},{"dropping-particle":"","family":"Jurafsky","given":"Dan","non-dropping-particle":"","parse-names":false,"suffix":""},{"dropping-particle":"","family":"Zou","given":"James","non-dropping-particle":"","parse-names":false,"suffix":""}],"container-title":"Proceedings of the National Academy of Sciences","id":"ITEM-1","issue":"16","issued":{"date-parts":[["2018"]]},"page":"E3635-E3644","title":"Word Embeddings Quantify 100 Years of Gender and Ethnic Stereotypes","type":"article-journal","volume":"115"},"uris":["http://www.mendeley.com/documents/?uuid=3d1db740-f777-4764-93fe-a81f761be0b7"]},{"id":"ITEM-2","itemData":{"DOI":"10.1002/smj.3023","ISSN":"10970266","abstract":"Research Summary: We introduce to the upper echelons literature a novel, linguistic measure of CEOs' Big Five personality traits that we specifically developed and validated using a sample of CEOs. We then provide a predictive test of the measure by applying it to a sample of more than 3,000 CEOs of S&amp;P 1500 firms to explore the direct and interactive effects of CEOs' Big Five personality traits and firm performance on strategic change. Our validated, unobtrusive measure of CEOs' Big Five traits provides a strong foundation for future theory development on the firm-level effects of CEOs' personality traits. Our specific findings also extend our understanding of how CEO personality influences firm-level change and how both person and situation-based factors interact to jointly influence firm strategy. Managerial Summary: This paper introduces a language-based tool we developed to measure the Big Five personality traits (i.e., openness, conscientiousness, extraversion, agreeableness, and neuroticism) of more than 3,000 CEOs of S&amp;P 1500 firms. After describing our process to develop and validate the tool, we test it by examining how CEOs' Big Five traits influence strategic change, both in isolation and in combination with recent firm performance. Our results suggest that CEOs' personality traits have a meaningful impact on strategic change, but that the nature of these effects differs based on their firms' recent performance. Our tool also provides a strong basis for scholars seeking to measure the personality traits of large samples of public-company executives.","author":[{"dropping-particle":"","family":"Harrison","given":"Joseph S.","non-dropping-particle":"","parse-names":false,"suffix":""},{"dropping-particle":"","family":"Thurgood","given":"Gary R.","non-dropping-particle":"","parse-names":false,"suffix":""},{"dropping-particle":"","family":"Boivie","given":"Steven","non-dropping-particle":"","parse-names":false,"suffix":""},{"dropping-particle":"","family":"Pfarrer","given":"Michael D.","non-dropping-particle":"","parse-names":false,"suffix":""}],"container-title":"Strategic Management Journal","id":"ITEM-2","issue":"8","issued":{"date-parts":[["2019"]]},"page":"1316-1330","title":"Measuring CEO personality: Developing, validating, and testing a linguistic tool","type":"article-journal","volume":"40"},"uris":["http://www.mendeley.com/documents/?uuid=42c1a453-333a-4559-93e0-7738b2bf8d56"]}],"mendeley":{"formattedCitation":"(Garg, Schiebinger, Jurafsky, &amp; Zou, 2018; Harrison, Thurgood, Boivie, &amp; Pfarrer, 2019)","manualFormatting":"(Garg, Schiebinger, Jurafsky, &amp; Zou, 2018; Harrison, Thurgood, Boivie, &amp; Pfarrer, 2019)","plainTextFormattedCitation":"(Garg, Schiebinger, Jurafsky, &amp; Zou, 2018; Harrison, Thurgood, Boivie, &amp; Pfarrer, 2019)","previouslyFormattedCitation":"(Garg, Schiebinger, Jurafsky, &amp; Zou, 2018; Harrison, Thurgood, Boivie, &amp; Pfarrer, 2019)"},"properties":{"noteIndex":0},"schema":"https://github.com/citation-style-language/schema/raw/master/csl-citation.json"}</w:instrText>
      </w:r>
      <w:r w:rsidR="00EB51F1" w:rsidRPr="00101A2A">
        <w:fldChar w:fldCharType="separate"/>
      </w:r>
      <w:r w:rsidR="00EB51F1" w:rsidRPr="00101A2A">
        <w:rPr>
          <w:noProof/>
        </w:rPr>
        <w:t>(Garg</w:t>
      </w:r>
      <w:r w:rsidR="0049328D" w:rsidRPr="00101A2A">
        <w:rPr>
          <w:noProof/>
        </w:rPr>
        <w:t>, Schiebinger, Jurafsky, &amp; Zou,</w:t>
      </w:r>
      <w:r w:rsidR="00EB51F1" w:rsidRPr="00101A2A">
        <w:rPr>
          <w:noProof/>
        </w:rPr>
        <w:t xml:space="preserve"> 2018</w:t>
      </w:r>
      <w:r w:rsidR="0049328D" w:rsidRPr="00101A2A">
        <w:rPr>
          <w:noProof/>
        </w:rPr>
        <w:t>;</w:t>
      </w:r>
      <w:r w:rsidR="00EB51F1" w:rsidRPr="00101A2A">
        <w:rPr>
          <w:noProof/>
        </w:rPr>
        <w:t xml:space="preserve"> Harrison</w:t>
      </w:r>
      <w:r w:rsidR="0049328D" w:rsidRPr="00101A2A">
        <w:rPr>
          <w:noProof/>
        </w:rPr>
        <w:t>, Thurgood, Boivie, &amp; Pfarrer,</w:t>
      </w:r>
      <w:r w:rsidR="00EB51F1" w:rsidRPr="00101A2A">
        <w:rPr>
          <w:noProof/>
        </w:rPr>
        <w:t xml:space="preserve"> 2019)</w:t>
      </w:r>
      <w:r w:rsidR="00EB51F1" w:rsidRPr="00101A2A">
        <w:fldChar w:fldCharType="end"/>
      </w:r>
      <w:r w:rsidR="004D7193" w:rsidRPr="00101A2A">
        <w:t xml:space="preserve">. </w:t>
      </w:r>
      <w:r w:rsidR="0062342B" w:rsidRPr="00101A2A">
        <w:t>W</w:t>
      </w:r>
      <w:r w:rsidR="004D7193" w:rsidRPr="00101A2A">
        <w:t xml:space="preserve">e want to </w:t>
      </w:r>
      <w:r w:rsidRPr="00101A2A">
        <w:t xml:space="preserve">explore </w:t>
      </w:r>
      <w:r w:rsidR="004D7193" w:rsidRPr="00101A2A">
        <w:t>how the</w:t>
      </w:r>
      <w:r w:rsidR="00892C4D">
        <w:t xml:space="preserve"> relationship between</w:t>
      </w:r>
      <w:r w:rsidR="004D7193" w:rsidRPr="00101A2A">
        <w:t xml:space="preserve"> </w:t>
      </w:r>
      <w:r w:rsidR="00915BDC">
        <w:t xml:space="preserve">keyword “host” </w:t>
      </w:r>
      <w:r w:rsidR="00892C4D">
        <w:t xml:space="preserve">and </w:t>
      </w:r>
      <w:r w:rsidR="004D7193" w:rsidRPr="00101A2A">
        <w:t xml:space="preserve">the </w:t>
      </w:r>
      <w:r w:rsidR="00EE0DA3" w:rsidRPr="00101A2A">
        <w:t xml:space="preserve">most frequently used </w:t>
      </w:r>
      <w:r w:rsidR="004D7193" w:rsidRPr="00101A2A">
        <w:t>negative words</w:t>
      </w:r>
      <w:r w:rsidR="008F73E9" w:rsidRPr="00101A2A">
        <w:t xml:space="preserve"> differs</w:t>
      </w:r>
      <w:r w:rsidR="004D7193" w:rsidRPr="00101A2A">
        <w:t xml:space="preserve"> </w:t>
      </w:r>
      <w:r w:rsidR="004D7193" w:rsidRPr="00101A2A">
        <w:rPr>
          <w:i/>
          <w:iCs/>
        </w:rPr>
        <w:t xml:space="preserve">before </w:t>
      </w:r>
      <w:r w:rsidR="008F73E9" w:rsidRPr="00101A2A">
        <w:t>and</w:t>
      </w:r>
      <w:r w:rsidR="004D7193" w:rsidRPr="00101A2A">
        <w:rPr>
          <w:i/>
          <w:iCs/>
        </w:rPr>
        <w:t xml:space="preserve"> after </w:t>
      </w:r>
      <w:r w:rsidR="004D7193" w:rsidRPr="00892C4D">
        <w:t>the regulatory change</w:t>
      </w:r>
      <w:r w:rsidR="004D7193" w:rsidRPr="00101A2A">
        <w:t xml:space="preserve">. </w:t>
      </w:r>
      <w:r w:rsidR="00B22998">
        <w:t xml:space="preserve">Therefore, we compute a cosine similarity, which provides a measure </w:t>
      </w:r>
      <w:r w:rsidR="00B22998" w:rsidRPr="00101A2A">
        <w:t xml:space="preserve">interpretable </w:t>
      </w:r>
      <w:r w:rsidR="00B22998">
        <w:t>similarly to</w:t>
      </w:r>
      <w:r w:rsidR="00B22998" w:rsidRPr="00101A2A">
        <w:t xml:space="preserve"> a Pearson correlation index</w:t>
      </w:r>
      <w:r w:rsidR="00652181">
        <w:t xml:space="preserve"> </w:t>
      </w:r>
      <w:r w:rsidR="00652181">
        <w:fldChar w:fldCharType="begin" w:fldLock="1"/>
      </w:r>
      <w:r w:rsidR="003749C2">
        <w:instrText>ADDIN CSL_CITATION {"citationItems":[{"id":"ITEM-1","itemData":{"DOI":"10.18653/v1/n19-1100","ISBN":"9781950737130","abstract":"A large body of research into semantic textual similarity has focused on constructing state-of-the-art embeddings using sophisticated modelling, careful choice of learning signals and many clever tricks. By contrast, little attention has been devoted to similarity measures between these embeddings, with cosine similarity being used unquestionably in the majority of cases. In this work, we illustrate that for all common word vectors, cosine similarity is essentially equivalent to the Pearson correlation coefficient, which provides some justification for its use. We thoroughly characterise cases where Pearson correlation (and thus cosine similarity) is unfit as similarity measure. Importantly, we show that Pearson correlation is appropriate for some word vectors but not others. When it is not appropriate, we illustrate how common nonparametric rank correlation coefficients can be used instead to significantly improve performance. We support our analysis with a series of evaluations on word-level and sentence-level semantic textual similarity benchmarks. On the latter, we show that even the simplest averaged word vectors compared by rank correlation easily rival the strongest deep representations compared by cosine similarity.","author":[{"dropping-particle":"","family":"Zhelezniak","given":"Vitalii","non-dropping-particle":"","parse-names":false,"suffix":""},{"dropping-particle":"","family":"Savkov","given":"Aleksandar","non-dropping-particle":"","parse-names":false,"suffix":""},{"dropping-particle":"","family":"Shen","given":"April","non-dropping-particle":"","parse-names":false,"suffix":""},{"dropping-particle":"","family":"Hammerla","given":"Nils Y.","non-dropping-particle":"","parse-names":false,"suffix":""}],"container-title":"NAACL HLT","id":"ITEM-1","issued":{"date-parts":[["2019"]]},"page":"951-962","title":"Correlation coefficients and semantic textual similarity","type":"article-journal"},"uris":["http://www.mendeley.com/documents/?uuid=4fca132f-d94b-45fc-a1f2-c3782c4300d0"]}],"mendeley":{"formattedCitation":"(Zhelezniak, Savkov, Shen, &amp; Hammerla, 2019)","plainTextFormattedCitation":"(Zhelezniak, Savkov, Shen, &amp; Hammerla, 2019)","previouslyFormattedCitation":"(Zhelezniak, Savkov, Shen, &amp; Hammerla, 2019)"},"properties":{"noteIndex":0},"schema":"https://github.com/citation-style-language/schema/raw/master/csl-citation.json"}</w:instrText>
      </w:r>
      <w:r w:rsidR="00652181">
        <w:fldChar w:fldCharType="separate"/>
      </w:r>
      <w:r w:rsidR="006A7A22" w:rsidRPr="006A7A22">
        <w:rPr>
          <w:noProof/>
        </w:rPr>
        <w:t>(Zhelezniak, Savkov, Shen, &amp; Hammerla, 2019)</w:t>
      </w:r>
      <w:r w:rsidR="00652181">
        <w:fldChar w:fldCharType="end"/>
      </w:r>
      <w:r w:rsidR="00B22998">
        <w:t>.</w:t>
      </w:r>
      <w:r w:rsidR="00B22998" w:rsidRPr="00101A2A">
        <w:t xml:space="preserve"> </w:t>
      </w:r>
      <w:r w:rsidR="004D7193" w:rsidRPr="00101A2A">
        <w:t xml:space="preserve">We see that </w:t>
      </w:r>
      <w:r w:rsidR="0062342B" w:rsidRPr="00101A2A">
        <w:t xml:space="preserve">after the </w:t>
      </w:r>
      <w:r w:rsidR="007F352A" w:rsidRPr="00101A2A">
        <w:t xml:space="preserve">regulatory </w:t>
      </w:r>
      <w:r w:rsidR="0062342B" w:rsidRPr="00101A2A">
        <w:t>change</w:t>
      </w:r>
      <w:r w:rsidR="00915BDC">
        <w:t>,</w:t>
      </w:r>
      <w:r w:rsidR="0062342B" w:rsidRPr="00101A2A">
        <w:t xml:space="preserve"> </w:t>
      </w:r>
      <w:r w:rsidR="004D7193" w:rsidRPr="00101A2A">
        <w:t xml:space="preserve">the </w:t>
      </w:r>
      <w:r w:rsidR="00DF6C81" w:rsidRPr="00101A2A">
        <w:t xml:space="preserve">distance between </w:t>
      </w:r>
      <w:r w:rsidR="00BF3201" w:rsidRPr="00101A2A">
        <w:t xml:space="preserve">“host” </w:t>
      </w:r>
      <w:r w:rsidR="00DF6C81" w:rsidRPr="00101A2A">
        <w:t xml:space="preserve">and </w:t>
      </w:r>
      <w:r w:rsidR="004D7193" w:rsidRPr="00101A2A">
        <w:t xml:space="preserve">negative words about the listing’s space (i.e., </w:t>
      </w:r>
      <w:r w:rsidR="00D44688" w:rsidRPr="00101A2A">
        <w:t>“</w:t>
      </w:r>
      <w:r w:rsidR="004D7193" w:rsidRPr="00101A2A">
        <w:t>noise,</w:t>
      </w:r>
      <w:r w:rsidR="00D44688" w:rsidRPr="00101A2A">
        <w:t>”</w:t>
      </w:r>
      <w:r w:rsidR="004D7193" w:rsidRPr="00101A2A">
        <w:t xml:space="preserve"> </w:t>
      </w:r>
      <w:r w:rsidR="00D44688" w:rsidRPr="00101A2A">
        <w:t>“</w:t>
      </w:r>
      <w:r w:rsidR="004D7193" w:rsidRPr="00101A2A">
        <w:t>hang,</w:t>
      </w:r>
      <w:r w:rsidR="00D44688" w:rsidRPr="00101A2A">
        <w:t>”</w:t>
      </w:r>
      <w:r w:rsidR="004D7193" w:rsidRPr="00101A2A">
        <w:t xml:space="preserve"> </w:t>
      </w:r>
      <w:r w:rsidR="00D44688" w:rsidRPr="00101A2A">
        <w:t>“</w:t>
      </w:r>
      <w:r w:rsidR="004D7193" w:rsidRPr="00101A2A">
        <w:t>cold,</w:t>
      </w:r>
      <w:r w:rsidR="00D44688" w:rsidRPr="00101A2A">
        <w:t>”</w:t>
      </w:r>
      <w:r w:rsidR="004D7193" w:rsidRPr="00101A2A">
        <w:t xml:space="preserve"> </w:t>
      </w:r>
      <w:r w:rsidR="00D44688" w:rsidRPr="00101A2A">
        <w:t>“</w:t>
      </w:r>
      <w:r w:rsidR="004D7193" w:rsidRPr="00101A2A">
        <w:t>hard,</w:t>
      </w:r>
      <w:r w:rsidR="00D44688" w:rsidRPr="00101A2A">
        <w:t>”</w:t>
      </w:r>
      <w:r w:rsidR="004D7193" w:rsidRPr="00101A2A">
        <w:t xml:space="preserve"> </w:t>
      </w:r>
      <w:r w:rsidR="00D44688" w:rsidRPr="00101A2A">
        <w:t>“</w:t>
      </w:r>
      <w:r w:rsidR="004D7193" w:rsidRPr="00101A2A">
        <w:t>loud</w:t>
      </w:r>
      <w:r w:rsidR="00D44688" w:rsidRPr="00101A2A">
        <w:t>”</w:t>
      </w:r>
      <w:r w:rsidR="004D7193" w:rsidRPr="00101A2A">
        <w:t>) remains negative (indicat</w:t>
      </w:r>
      <w:r w:rsidR="00DF6C81" w:rsidRPr="00101A2A">
        <w:t>ing</w:t>
      </w:r>
      <w:r w:rsidR="004D7193" w:rsidRPr="00101A2A">
        <w:t xml:space="preserve"> a negative correlation)</w:t>
      </w:r>
      <w:r w:rsidR="007F352A" w:rsidRPr="00101A2A">
        <w:t>, both for spanners and single-listing hosts</w:t>
      </w:r>
      <w:r w:rsidR="00412331" w:rsidRPr="00101A2A">
        <w:t>. In contrast</w:t>
      </w:r>
      <w:r w:rsidR="004D7193" w:rsidRPr="00101A2A">
        <w:t xml:space="preserve">, the </w:t>
      </w:r>
      <w:r w:rsidR="00DF6C81" w:rsidRPr="00101A2A">
        <w:t xml:space="preserve">distance between </w:t>
      </w:r>
      <w:r w:rsidR="00BF3201" w:rsidRPr="00101A2A">
        <w:t xml:space="preserve">“host” </w:t>
      </w:r>
      <w:r w:rsidR="00DF6C81" w:rsidRPr="00101A2A">
        <w:t xml:space="preserve">and </w:t>
      </w:r>
      <w:r w:rsidR="004D7193" w:rsidRPr="00101A2A">
        <w:t>negative words about the overall experience</w:t>
      </w:r>
      <w:r w:rsidR="00D44688" w:rsidRPr="00101A2A">
        <w:t xml:space="preserve"> of the stay</w:t>
      </w:r>
      <w:r w:rsidR="004D7193" w:rsidRPr="00101A2A">
        <w:t xml:space="preserve"> (i.e., </w:t>
      </w:r>
      <w:r w:rsidR="00D44688" w:rsidRPr="00101A2A">
        <w:t>“</w:t>
      </w:r>
      <w:r w:rsidR="004D7193" w:rsidRPr="00101A2A">
        <w:t>issues,</w:t>
      </w:r>
      <w:r w:rsidR="00D44688" w:rsidRPr="00101A2A">
        <w:t>”</w:t>
      </w:r>
      <w:r w:rsidR="004D7193" w:rsidRPr="00101A2A">
        <w:t xml:space="preserve"> </w:t>
      </w:r>
      <w:r w:rsidR="00D44688" w:rsidRPr="00101A2A">
        <w:t>“</w:t>
      </w:r>
      <w:r w:rsidR="004D7193" w:rsidRPr="00101A2A">
        <w:t>issue,</w:t>
      </w:r>
      <w:r w:rsidR="00D44688" w:rsidRPr="00101A2A">
        <w:t>”</w:t>
      </w:r>
      <w:r w:rsidR="004D7193" w:rsidRPr="00101A2A">
        <w:t xml:space="preserve"> </w:t>
      </w:r>
      <w:r w:rsidR="00D44688" w:rsidRPr="00101A2A">
        <w:lastRenderedPageBreak/>
        <w:t>“</w:t>
      </w:r>
      <w:r w:rsidR="004D7193" w:rsidRPr="00101A2A">
        <w:t>problem,</w:t>
      </w:r>
      <w:r w:rsidR="00D44688" w:rsidRPr="00101A2A">
        <w:t>”</w:t>
      </w:r>
      <w:r w:rsidR="004D7193" w:rsidRPr="00101A2A">
        <w:t xml:space="preserve"> </w:t>
      </w:r>
      <w:r w:rsidR="00D44688" w:rsidRPr="00101A2A">
        <w:t>“</w:t>
      </w:r>
      <w:r w:rsidR="004D7193" w:rsidRPr="00101A2A">
        <w:t>complex,</w:t>
      </w:r>
      <w:r w:rsidR="00D44688" w:rsidRPr="00101A2A">
        <w:t>”</w:t>
      </w:r>
      <w:r w:rsidR="004D7193" w:rsidRPr="00101A2A">
        <w:t xml:space="preserve"> </w:t>
      </w:r>
      <w:r w:rsidR="00915BDC">
        <w:t xml:space="preserve">and </w:t>
      </w:r>
      <w:r w:rsidR="00D44688" w:rsidRPr="00101A2A">
        <w:t>“</w:t>
      </w:r>
      <w:r w:rsidR="004D7193" w:rsidRPr="00101A2A">
        <w:t>bad</w:t>
      </w:r>
      <w:r w:rsidR="00D44688" w:rsidRPr="00101A2A">
        <w:t>”</w:t>
      </w:r>
      <w:r w:rsidR="004D7193" w:rsidRPr="00101A2A">
        <w:t xml:space="preserve">) is </w:t>
      </w:r>
      <w:r w:rsidR="00915BDC">
        <w:t>primarily</w:t>
      </w:r>
      <w:r w:rsidR="004D7193" w:rsidRPr="00101A2A">
        <w:t xml:space="preserve"> positive and </w:t>
      </w:r>
      <w:r w:rsidR="00BF3839" w:rsidRPr="00101A2A">
        <w:t xml:space="preserve">increasing for spanners (but not for single-listing hosts) </w:t>
      </w:r>
      <w:r w:rsidR="00A03651" w:rsidRPr="00101A2A">
        <w:t xml:space="preserve">(Table </w:t>
      </w:r>
      <w:r w:rsidR="002C6332" w:rsidRPr="00101A2A">
        <w:t>A</w:t>
      </w:r>
      <w:r w:rsidR="00D302EE" w:rsidRPr="00101A2A">
        <w:t>5</w:t>
      </w:r>
      <w:r w:rsidR="00DE1E3E" w:rsidRPr="00101A2A">
        <w:t xml:space="preserve"> in the </w:t>
      </w:r>
      <w:r w:rsidR="00CA7889" w:rsidRPr="00101A2A">
        <w:t>Appendix</w:t>
      </w:r>
      <w:r w:rsidR="00A03651" w:rsidRPr="00101A2A">
        <w:t>)</w:t>
      </w:r>
      <w:r w:rsidR="004D7193" w:rsidRPr="00101A2A">
        <w:t>.</w:t>
      </w:r>
      <w:r w:rsidR="00DE1E3E" w:rsidRPr="00101A2A">
        <w:t xml:space="preserve"> </w:t>
      </w:r>
      <w:r w:rsidR="00F8413A" w:rsidRPr="00101A2A">
        <w:t xml:space="preserve">We interpret this as </w:t>
      </w:r>
      <w:r w:rsidR="00412331" w:rsidRPr="00101A2A">
        <w:t>evidence</w:t>
      </w:r>
      <w:r w:rsidR="00F8413A" w:rsidRPr="00101A2A">
        <w:t xml:space="preserve"> that consumers are more attentive to differences between spanners and single-listing hosts after regulators </w:t>
      </w:r>
      <w:r w:rsidR="00412331" w:rsidRPr="00101A2A">
        <w:t>define spanners</w:t>
      </w:r>
      <w:r w:rsidR="00F8413A" w:rsidRPr="00101A2A">
        <w:t>.</w:t>
      </w:r>
    </w:p>
    <w:p w14:paraId="4371F4F7" w14:textId="39D95158" w:rsidR="000E264C" w:rsidRPr="00101A2A" w:rsidRDefault="00A03651" w:rsidP="00CF04AA">
      <w:r w:rsidRPr="00101A2A">
        <w:t>Finally</w:t>
      </w:r>
      <w:r w:rsidR="001D35E7" w:rsidRPr="00101A2A">
        <w:t xml:space="preserve">, we </w:t>
      </w:r>
      <w:r w:rsidR="006616D5" w:rsidRPr="00101A2A">
        <w:t xml:space="preserve">check whether </w:t>
      </w:r>
      <w:r w:rsidR="00915BDC">
        <w:t xml:space="preserve">the </w:t>
      </w:r>
      <w:r w:rsidR="00756D62" w:rsidRPr="00101A2A">
        <w:rPr>
          <w:i/>
          <w:iCs/>
        </w:rPr>
        <w:t>Regulated market</w:t>
      </w:r>
      <w:r w:rsidR="001D35E7" w:rsidRPr="00101A2A">
        <w:t xml:space="preserve"> leads to a decrease in spanners</w:t>
      </w:r>
      <w:r w:rsidR="00D44688" w:rsidRPr="00101A2A">
        <w:t>’</w:t>
      </w:r>
      <w:r w:rsidR="001D35E7" w:rsidRPr="00101A2A">
        <w:t xml:space="preserve"> appeal in the eyes of consumers. </w:t>
      </w:r>
      <w:r w:rsidR="00412331" w:rsidRPr="00101A2A">
        <w:t>The new</w:t>
      </w:r>
      <w:r w:rsidR="00124231" w:rsidRPr="00101A2A">
        <w:t xml:space="preserve"> regulation significantly decreases the sentiment of </w:t>
      </w:r>
      <w:r w:rsidR="00D44688" w:rsidRPr="00101A2A">
        <w:t xml:space="preserve">consumers’ </w:t>
      </w:r>
      <w:r w:rsidR="00124231" w:rsidRPr="00101A2A">
        <w:t>reviews</w:t>
      </w:r>
      <w:r w:rsidR="00A61959" w:rsidRPr="00101A2A">
        <w:t xml:space="preserve"> </w:t>
      </w:r>
      <w:r w:rsidR="00D44688" w:rsidRPr="00101A2A">
        <w:t xml:space="preserve">of </w:t>
      </w:r>
      <w:r w:rsidR="00124231" w:rsidRPr="00101A2A">
        <w:t>spanners (β = -</w:t>
      </w:r>
      <w:r w:rsidR="001A4395" w:rsidRPr="00101A2A">
        <w:t>0.0</w:t>
      </w:r>
      <w:r w:rsidR="00306968">
        <w:t>35</w:t>
      </w:r>
      <w:r w:rsidR="00124231" w:rsidRPr="00101A2A">
        <w:t xml:space="preserve">, p </w:t>
      </w:r>
      <w:r w:rsidR="00647BEF" w:rsidRPr="00101A2A">
        <w:t>&lt;</w:t>
      </w:r>
      <w:r w:rsidR="001A4395" w:rsidRPr="00101A2A">
        <w:t xml:space="preserve"> .00</w:t>
      </w:r>
      <w:r w:rsidR="00647BEF" w:rsidRPr="00101A2A">
        <w:t>1</w:t>
      </w:r>
      <w:r w:rsidR="005D3B7F" w:rsidRPr="00101A2A">
        <w:t xml:space="preserve">; </w:t>
      </w:r>
      <w:r w:rsidR="00F85D40">
        <w:t xml:space="preserve">Model 1 in </w:t>
      </w:r>
      <w:r w:rsidR="005D3B7F" w:rsidRPr="00101A2A">
        <w:t xml:space="preserve">Table </w:t>
      </w:r>
      <w:r w:rsidR="00B23561" w:rsidRPr="00101A2A">
        <w:t>A</w:t>
      </w:r>
      <w:r w:rsidR="00D302EE" w:rsidRPr="00101A2A">
        <w:t>6</w:t>
      </w:r>
      <w:r w:rsidR="00B23561" w:rsidRPr="00101A2A">
        <w:t xml:space="preserve"> in the </w:t>
      </w:r>
      <w:r w:rsidR="00CA7889" w:rsidRPr="00101A2A">
        <w:t>Appendix</w:t>
      </w:r>
      <w:r w:rsidR="006616D5" w:rsidRPr="00101A2A">
        <w:t>)</w:t>
      </w:r>
      <w:r w:rsidR="00124231" w:rsidRPr="00101A2A">
        <w:t xml:space="preserve">. In line with our overall </w:t>
      </w:r>
      <w:r w:rsidR="00BF3201" w:rsidRPr="00101A2A">
        <w:t>findings</w:t>
      </w:r>
      <w:r w:rsidR="00124231" w:rsidRPr="00101A2A">
        <w:t xml:space="preserve">, the change in regulation decreases the reviews’ sentiment for spanners but increases the reviews’ sentiment for single-listing hosts (Figure </w:t>
      </w:r>
      <w:r w:rsidR="00183B1F" w:rsidRPr="00101A2A">
        <w:t>3</w:t>
      </w:r>
      <w:r w:rsidR="00B23561" w:rsidRPr="00101A2A">
        <w:t xml:space="preserve">A in the </w:t>
      </w:r>
      <w:r w:rsidR="00CA7889" w:rsidRPr="00101A2A">
        <w:t>Appendix</w:t>
      </w:r>
      <w:r w:rsidR="00124231" w:rsidRPr="00101A2A">
        <w:t xml:space="preserve">). </w:t>
      </w:r>
    </w:p>
    <w:p w14:paraId="08EF0B89" w14:textId="0BB62D1C" w:rsidR="006D0BE3" w:rsidRPr="00101A2A" w:rsidRDefault="00405A04" w:rsidP="00CF04AA">
      <w:r w:rsidRPr="00101A2A">
        <w:t xml:space="preserve">Overall, these </w:t>
      </w:r>
      <w:r w:rsidR="00915BDC">
        <w:t>post</w:t>
      </w:r>
      <w:r w:rsidR="00892C4D">
        <w:t>-</w:t>
      </w:r>
      <w:r w:rsidR="00915BDC">
        <w:t>hoc</w:t>
      </w:r>
      <w:r w:rsidRPr="00101A2A">
        <w:t xml:space="preserve"> analyses support our proposed mechanism</w:t>
      </w:r>
      <w:r w:rsidR="008240B1" w:rsidRPr="00101A2A">
        <w:t>s</w:t>
      </w:r>
      <w:r w:rsidRPr="00101A2A">
        <w:t xml:space="preserve"> that the two types of hosts differ in the eyes of consumers and that </w:t>
      </w:r>
      <w:r w:rsidR="008240B1" w:rsidRPr="00101A2A">
        <w:t>r</w:t>
      </w:r>
      <w:r w:rsidRPr="00101A2A">
        <w:t>egulat</w:t>
      </w:r>
      <w:r w:rsidR="008240B1" w:rsidRPr="00101A2A">
        <w:t>ing the</w:t>
      </w:r>
      <w:r w:rsidRPr="00101A2A">
        <w:t xml:space="preserve"> market leads to a decrease in spanners’ appeal in the eyes of consumers.</w:t>
      </w:r>
      <w:r w:rsidR="00124231" w:rsidRPr="00101A2A">
        <w:t xml:space="preserve"> </w:t>
      </w:r>
    </w:p>
    <w:p w14:paraId="631A9C16" w14:textId="676BDB88" w:rsidR="009C66EA" w:rsidRPr="00101A2A" w:rsidRDefault="008E5308" w:rsidP="0062342B">
      <w:pPr>
        <w:pStyle w:val="Heading2"/>
      </w:pPr>
      <w:r w:rsidRPr="00101A2A">
        <w:t xml:space="preserve">Exploring </w:t>
      </w:r>
      <w:r w:rsidR="00D44688" w:rsidRPr="00101A2A">
        <w:t>A</w:t>
      </w:r>
      <w:r w:rsidRPr="00101A2A">
        <w:t xml:space="preserve">lternative </w:t>
      </w:r>
      <w:r w:rsidR="00D44688" w:rsidRPr="00101A2A">
        <w:t>E</w:t>
      </w:r>
      <w:r w:rsidRPr="00101A2A">
        <w:t xml:space="preserve">xplanations and the </w:t>
      </w:r>
      <w:r w:rsidR="00D44688" w:rsidRPr="00101A2A">
        <w:t>R</w:t>
      </w:r>
      <w:r w:rsidRPr="00101A2A">
        <w:t xml:space="preserve">obustness of the </w:t>
      </w:r>
      <w:r w:rsidR="00D44688" w:rsidRPr="00101A2A">
        <w:t>E</w:t>
      </w:r>
      <w:r w:rsidRPr="00101A2A">
        <w:t xml:space="preserve">mpirical </w:t>
      </w:r>
      <w:r w:rsidR="00D44688" w:rsidRPr="00101A2A">
        <w:t>F</w:t>
      </w:r>
      <w:r w:rsidR="00FB0625" w:rsidRPr="00101A2A">
        <w:t>indings</w:t>
      </w:r>
    </w:p>
    <w:p w14:paraId="1968B813" w14:textId="157A1F93" w:rsidR="000648B9" w:rsidRPr="00101A2A" w:rsidRDefault="00DE1E3E" w:rsidP="008B1172">
      <w:pPr>
        <w:pStyle w:val="Heading3"/>
        <w:rPr>
          <w:bCs/>
          <w:iCs/>
          <w:lang w:val="en-US"/>
        </w:rPr>
      </w:pPr>
      <w:r w:rsidRPr="00101A2A">
        <w:rPr>
          <w:lang w:val="en-US"/>
        </w:rPr>
        <w:t>L</w:t>
      </w:r>
      <w:r w:rsidR="000648B9" w:rsidRPr="00101A2A">
        <w:rPr>
          <w:lang w:val="en-US"/>
        </w:rPr>
        <w:t>aw enforcemen</w:t>
      </w:r>
      <w:r w:rsidRPr="00101A2A">
        <w:rPr>
          <w:lang w:val="en-US"/>
        </w:rPr>
        <w:t>t</w:t>
      </w:r>
      <w:r w:rsidR="00A43DF7" w:rsidRPr="00101A2A">
        <w:rPr>
          <w:lang w:val="en-US"/>
        </w:rPr>
        <w:t>.</w:t>
      </w:r>
      <w:r w:rsidR="000648B9" w:rsidRPr="00101A2A">
        <w:rPr>
          <w:lang w:val="en-US"/>
        </w:rPr>
        <w:t xml:space="preserve"> </w:t>
      </w:r>
      <w:r w:rsidR="00915BDC" w:rsidRPr="00892C4D">
        <w:rPr>
          <w:b w:val="0"/>
          <w:bCs/>
          <w:i w:val="0"/>
          <w:iCs/>
          <w:lang w:val="en-US"/>
        </w:rPr>
        <w:t>The observed change in the effect of spanners on real estate prices may be</w:t>
      </w:r>
      <w:r w:rsidR="000648B9" w:rsidRPr="00892C4D">
        <w:rPr>
          <w:b w:val="0"/>
          <w:bCs/>
          <w:i w:val="0"/>
          <w:iCs/>
          <w:lang w:val="en-US"/>
        </w:rPr>
        <w:t xml:space="preserve"> due</w:t>
      </w:r>
      <w:r w:rsidR="000648B9" w:rsidRPr="00101A2A">
        <w:rPr>
          <w:b w:val="0"/>
          <w:bCs/>
          <w:i w:val="0"/>
          <w:iCs/>
          <w:lang w:val="en-US"/>
        </w:rPr>
        <w:t xml:space="preserve"> to the city’s ability to enforce the new law. </w:t>
      </w:r>
      <w:r w:rsidR="00D33BC9" w:rsidRPr="00101A2A">
        <w:rPr>
          <w:b w:val="0"/>
          <w:bCs/>
          <w:i w:val="0"/>
          <w:iCs/>
          <w:lang w:val="en-US"/>
        </w:rPr>
        <w:t>For</w:t>
      </w:r>
      <w:r w:rsidR="000648B9" w:rsidRPr="00101A2A">
        <w:rPr>
          <w:b w:val="0"/>
          <w:bCs/>
          <w:i w:val="0"/>
          <w:iCs/>
          <w:lang w:val="en-US"/>
        </w:rPr>
        <w:t xml:space="preserve"> Austin</w:t>
      </w:r>
      <w:r w:rsidR="00D33BC9" w:rsidRPr="00101A2A">
        <w:rPr>
          <w:b w:val="0"/>
          <w:bCs/>
          <w:i w:val="0"/>
          <w:iCs/>
          <w:lang w:val="en-US"/>
        </w:rPr>
        <w:t xml:space="preserve">, </w:t>
      </w:r>
      <w:r w:rsidR="000648B9" w:rsidRPr="00101A2A">
        <w:rPr>
          <w:b w:val="0"/>
          <w:bCs/>
          <w:i w:val="0"/>
          <w:iCs/>
          <w:lang w:val="en-US"/>
        </w:rPr>
        <w:t xml:space="preserve">we </w:t>
      </w:r>
      <w:r w:rsidR="00710456">
        <w:rPr>
          <w:b w:val="0"/>
          <w:bCs/>
          <w:i w:val="0"/>
          <w:iCs/>
          <w:lang w:val="en-US"/>
        </w:rPr>
        <w:t>collected</w:t>
      </w:r>
      <w:r w:rsidR="00710456" w:rsidRPr="00101A2A">
        <w:rPr>
          <w:b w:val="0"/>
          <w:bCs/>
          <w:i w:val="0"/>
          <w:iCs/>
          <w:lang w:val="en-US"/>
        </w:rPr>
        <w:t xml:space="preserve"> </w:t>
      </w:r>
      <w:r w:rsidR="008F73E9" w:rsidRPr="00101A2A">
        <w:rPr>
          <w:b w:val="0"/>
          <w:bCs/>
          <w:i w:val="0"/>
          <w:iCs/>
          <w:lang w:val="en-US"/>
        </w:rPr>
        <w:t xml:space="preserve">data on </w:t>
      </w:r>
      <w:r w:rsidR="000648B9" w:rsidRPr="00101A2A">
        <w:rPr>
          <w:b w:val="0"/>
          <w:bCs/>
          <w:i w:val="0"/>
          <w:iCs/>
          <w:lang w:val="en-US"/>
        </w:rPr>
        <w:t xml:space="preserve">all the short-term rental code infractions </w:t>
      </w:r>
      <w:r w:rsidR="00D44688" w:rsidRPr="00101A2A">
        <w:rPr>
          <w:b w:val="0"/>
          <w:bCs/>
          <w:i w:val="0"/>
          <w:iCs/>
          <w:lang w:val="en-US"/>
        </w:rPr>
        <w:t>after</w:t>
      </w:r>
      <w:r w:rsidR="000648B9" w:rsidRPr="00101A2A">
        <w:rPr>
          <w:b w:val="0"/>
          <w:bCs/>
          <w:i w:val="0"/>
          <w:iCs/>
          <w:lang w:val="en-US"/>
        </w:rPr>
        <w:t xml:space="preserve"> the city started enforcing the law (i.e., </w:t>
      </w:r>
      <w:r w:rsidR="00D44688" w:rsidRPr="00101A2A">
        <w:rPr>
          <w:b w:val="0"/>
          <w:bCs/>
          <w:i w:val="0"/>
          <w:iCs/>
          <w:lang w:val="en-US"/>
        </w:rPr>
        <w:t xml:space="preserve">after </w:t>
      </w:r>
      <w:r w:rsidR="000648B9" w:rsidRPr="00101A2A">
        <w:rPr>
          <w:b w:val="0"/>
          <w:bCs/>
          <w:i w:val="0"/>
          <w:iCs/>
          <w:lang w:val="en-US"/>
        </w:rPr>
        <w:t xml:space="preserve">July 2015). </w:t>
      </w:r>
      <w:r w:rsidR="00D33BC9" w:rsidRPr="00101A2A">
        <w:rPr>
          <w:b w:val="0"/>
          <w:bCs/>
          <w:i w:val="0"/>
          <w:iCs/>
          <w:lang w:val="en-US"/>
        </w:rPr>
        <w:t>C</w:t>
      </w:r>
      <w:r w:rsidR="000648B9" w:rsidRPr="00101A2A">
        <w:rPr>
          <w:b w:val="0"/>
          <w:bCs/>
          <w:i w:val="0"/>
          <w:iCs/>
          <w:lang w:val="en-US"/>
        </w:rPr>
        <w:t>ontrolling for enforcement</w:t>
      </w:r>
      <w:r w:rsidR="00D33BC9" w:rsidRPr="00101A2A">
        <w:rPr>
          <w:b w:val="0"/>
          <w:bCs/>
          <w:i w:val="0"/>
          <w:iCs/>
          <w:lang w:val="en-US"/>
        </w:rPr>
        <w:t>,</w:t>
      </w:r>
      <w:r w:rsidR="000648B9" w:rsidRPr="00101A2A">
        <w:rPr>
          <w:b w:val="0"/>
          <w:bCs/>
          <w:i w:val="0"/>
          <w:iCs/>
          <w:lang w:val="en-US"/>
        </w:rPr>
        <w:t xml:space="preserve"> </w:t>
      </w:r>
      <w:r w:rsidR="00D33BC9" w:rsidRPr="00101A2A">
        <w:rPr>
          <w:b w:val="0"/>
          <w:bCs/>
          <w:i w:val="0"/>
          <w:iCs/>
          <w:lang w:val="en-US"/>
        </w:rPr>
        <w:t>we obtain</w:t>
      </w:r>
      <w:r w:rsidR="00710456">
        <w:rPr>
          <w:b w:val="0"/>
          <w:bCs/>
          <w:i w:val="0"/>
          <w:iCs/>
          <w:lang w:val="en-US"/>
        </w:rPr>
        <w:t>ed</w:t>
      </w:r>
      <w:r w:rsidR="00D33BC9" w:rsidRPr="00101A2A">
        <w:rPr>
          <w:b w:val="0"/>
          <w:bCs/>
          <w:i w:val="0"/>
          <w:iCs/>
          <w:lang w:val="en-US"/>
        </w:rPr>
        <w:t xml:space="preserve"> results </w:t>
      </w:r>
      <w:proofErr w:type="gramStart"/>
      <w:r w:rsidR="00D33BC9" w:rsidRPr="00101A2A">
        <w:rPr>
          <w:b w:val="0"/>
          <w:bCs/>
          <w:i w:val="0"/>
          <w:iCs/>
          <w:lang w:val="en-US"/>
        </w:rPr>
        <w:t>similar to</w:t>
      </w:r>
      <w:proofErr w:type="gramEnd"/>
      <w:r w:rsidR="00D33BC9" w:rsidRPr="00101A2A">
        <w:rPr>
          <w:b w:val="0"/>
          <w:bCs/>
          <w:i w:val="0"/>
          <w:iCs/>
          <w:lang w:val="en-US"/>
        </w:rPr>
        <w:t xml:space="preserve"> our main analyses for </w:t>
      </w:r>
      <w:r w:rsidR="000648B9" w:rsidRPr="00101A2A">
        <w:rPr>
          <w:b w:val="0"/>
          <w:bCs/>
          <w:i w:val="0"/>
          <w:iCs/>
          <w:lang w:val="en-US"/>
        </w:rPr>
        <w:t>the interaction between spanner proportion and regulated market</w:t>
      </w:r>
      <w:r w:rsidR="00D33BC9" w:rsidRPr="00101A2A">
        <w:rPr>
          <w:b w:val="0"/>
          <w:bCs/>
          <w:i w:val="0"/>
          <w:iCs/>
          <w:lang w:val="en-US"/>
        </w:rPr>
        <w:t xml:space="preserve"> (Table </w:t>
      </w:r>
      <w:r w:rsidR="004C3CEB">
        <w:rPr>
          <w:b w:val="0"/>
          <w:bCs/>
          <w:i w:val="0"/>
          <w:iCs/>
          <w:lang w:val="en-US"/>
        </w:rPr>
        <w:t>A</w:t>
      </w:r>
      <w:r w:rsidR="00F85D40">
        <w:rPr>
          <w:b w:val="0"/>
          <w:bCs/>
          <w:i w:val="0"/>
          <w:iCs/>
          <w:lang w:val="en-US"/>
        </w:rPr>
        <w:t>9</w:t>
      </w:r>
      <w:r w:rsidR="00D33BC9" w:rsidRPr="00101A2A">
        <w:rPr>
          <w:b w:val="0"/>
          <w:bCs/>
          <w:i w:val="0"/>
          <w:iCs/>
          <w:lang w:val="en-US"/>
        </w:rPr>
        <w:t>, Model 2)</w:t>
      </w:r>
      <w:r w:rsidR="000648B9" w:rsidRPr="00101A2A">
        <w:rPr>
          <w:b w:val="0"/>
          <w:bCs/>
          <w:i w:val="0"/>
          <w:iCs/>
          <w:lang w:val="en-US"/>
        </w:rPr>
        <w:t>.</w:t>
      </w:r>
    </w:p>
    <w:p w14:paraId="7C92B113" w14:textId="4C16E8C0" w:rsidR="000E264C" w:rsidRPr="00101A2A" w:rsidRDefault="00DE1E3E" w:rsidP="000A1D86">
      <w:r w:rsidRPr="00101A2A">
        <w:rPr>
          <w:b/>
          <w:bCs/>
          <w:i/>
          <w:iCs/>
        </w:rPr>
        <w:t>C</w:t>
      </w:r>
      <w:r w:rsidR="00562719" w:rsidRPr="00101A2A">
        <w:rPr>
          <w:b/>
          <w:bCs/>
          <w:i/>
          <w:iCs/>
        </w:rPr>
        <w:t xml:space="preserve">hange in quality of </w:t>
      </w:r>
      <w:r w:rsidR="004C0751">
        <w:rPr>
          <w:b/>
          <w:bCs/>
          <w:i/>
          <w:iCs/>
        </w:rPr>
        <w:t>spanner host</w:t>
      </w:r>
      <w:r w:rsidR="00562719" w:rsidRPr="00101A2A">
        <w:rPr>
          <w:b/>
          <w:bCs/>
          <w:i/>
          <w:iCs/>
        </w:rPr>
        <w:t>s</w:t>
      </w:r>
      <w:r w:rsidR="00A43DF7" w:rsidRPr="00101A2A">
        <w:rPr>
          <w:b/>
          <w:bCs/>
          <w:i/>
          <w:iCs/>
        </w:rPr>
        <w:t xml:space="preserve">. </w:t>
      </w:r>
      <w:r w:rsidR="00915BDC" w:rsidRPr="00892C4D">
        <w:t>The decrease in consumers’ appreciation for spanners may be</w:t>
      </w:r>
      <w:r w:rsidR="00950575" w:rsidRPr="00892C4D">
        <w:t xml:space="preserve"> drive</w:t>
      </w:r>
      <w:r w:rsidR="00950575" w:rsidRPr="00101A2A">
        <w:t xml:space="preserve">n by </w:t>
      </w:r>
      <w:r w:rsidR="00ED1F21" w:rsidRPr="00101A2A">
        <w:t>the fact that after the regulatory changes</w:t>
      </w:r>
      <w:r w:rsidR="00915BDC">
        <w:t>,</w:t>
      </w:r>
      <w:r w:rsidR="00ED1F21" w:rsidRPr="00101A2A">
        <w:t xml:space="preserve"> some hosts </w:t>
      </w:r>
      <w:r w:rsidR="00915BDC">
        <w:t>left</w:t>
      </w:r>
      <w:r w:rsidR="00ED1F21" w:rsidRPr="00101A2A">
        <w:t xml:space="preserve"> Airbnb </w:t>
      </w:r>
      <w:r w:rsidR="00ED1F21" w:rsidRPr="00101A2A">
        <w:fldChar w:fldCharType="begin" w:fldLock="1"/>
      </w:r>
      <w:r w:rsidR="003749C2">
        <w:instrText>ADDIN CSL_CITATION {"citationItems":[{"id":"ITEM-1","itemData":{"DOI":"10.1016/j.jue.2021.103356","ISSN":"00941190","abstract":"Online short-term rental (STR) platforms such as Airbnb have grown spectacularly. We study the effects of regulation of these platforms on the housing market using a quasi-experimental research design. 18 out of 88 cities in Los Angeles County have severely restricted short-term rentals by adopting Home Sharing Ordinances. We apply a panel regression-discontinuity design around the cities’ borders. Ordinances reduced listings by 50% and housing prices by 2%. Additional difference-in-differences estimates show that ordinances reduced rents also by 2%. These estimates imply large effects of Airbnb on property values in areas attractive to tourists (e.g. an increase in house prices of 15% within 2.5km of Hollywood's Walk of Fame).","author":[{"dropping-particle":"","family":"Koster","given":"Hans R A","non-dropping-particle":"","parse-names":false,"suffix":""},{"dropping-particle":"","family":"Ommeren","given":"Jos","non-dropping-particle":"van","parse-names":false,"suffix":""},{"dropping-particle":"","family":"Volkhausen","given":"Nicolas","non-dropping-particle":"","parse-names":false,"suffix":""}],"container-title":"Journal of Urban Economics","id":"ITEM-1","issue":"April","issued":{"date-parts":[["2021"]]},"page":"103356","publisher":"Elsevier Inc.","title":"Short-term rentals and the housing market: Quasi-experimental evidence from Airbnb in Los Angeles","type":"article-journal","volume":"124"},"uris":["http://www.mendeley.com/documents/?uuid=ccc263f0-2500-4cb9-a083-cbf2188831a7"]}],"mendeley":{"formattedCitation":"(H. R. A. Koster et al., 2021)","manualFormatting":"(Koster et al., 2021)","plainTextFormattedCitation":"(H. R. A. Koster et al., 2021)","previouslyFormattedCitation":"(H. R. A. Koster et al., 2021)"},"properties":{"noteIndex":0},"schema":"https://github.com/citation-style-language/schema/raw/master/csl-citation.json"}</w:instrText>
      </w:r>
      <w:r w:rsidR="00ED1F21" w:rsidRPr="00101A2A">
        <w:fldChar w:fldCharType="separate"/>
      </w:r>
      <w:r w:rsidR="00ED1F21" w:rsidRPr="00101A2A">
        <w:rPr>
          <w:noProof/>
        </w:rPr>
        <w:t>(Koster et al.</w:t>
      </w:r>
      <w:r w:rsidR="0049328D" w:rsidRPr="00101A2A">
        <w:rPr>
          <w:noProof/>
        </w:rPr>
        <w:t>,</w:t>
      </w:r>
      <w:r w:rsidR="00ED1F21" w:rsidRPr="00101A2A">
        <w:rPr>
          <w:noProof/>
        </w:rPr>
        <w:t xml:space="preserve"> 2021)</w:t>
      </w:r>
      <w:r w:rsidR="00ED1F21" w:rsidRPr="00101A2A">
        <w:fldChar w:fldCharType="end"/>
      </w:r>
      <w:r w:rsidR="00210387" w:rsidRPr="00101A2A">
        <w:t>,</w:t>
      </w:r>
      <w:r w:rsidR="00ED1F21" w:rsidRPr="00101A2A">
        <w:t xml:space="preserve"> </w:t>
      </w:r>
      <w:r w:rsidR="00210387" w:rsidRPr="00101A2A">
        <w:t xml:space="preserve">reducing </w:t>
      </w:r>
      <w:r w:rsidR="005D3B7F" w:rsidRPr="00101A2A">
        <w:t xml:space="preserve">the </w:t>
      </w:r>
      <w:r w:rsidR="00210387" w:rsidRPr="00101A2A">
        <w:t xml:space="preserve">average </w:t>
      </w:r>
      <w:r w:rsidR="007E449B" w:rsidRPr="00101A2A">
        <w:t xml:space="preserve">“objective” </w:t>
      </w:r>
      <w:r w:rsidR="00950575" w:rsidRPr="00101A2A">
        <w:t xml:space="preserve">quality </w:t>
      </w:r>
      <w:r w:rsidR="000A3B74" w:rsidRPr="00101A2A">
        <w:t xml:space="preserve">specifically </w:t>
      </w:r>
      <w:r w:rsidR="00950575" w:rsidRPr="00101A2A">
        <w:t xml:space="preserve">of </w:t>
      </w:r>
      <w:r w:rsidR="002027F0" w:rsidRPr="00101A2A">
        <w:t xml:space="preserve">those </w:t>
      </w:r>
      <w:r w:rsidR="00915BDC">
        <w:t>remaining spanners</w:t>
      </w:r>
      <w:r w:rsidR="00950575" w:rsidRPr="00101A2A">
        <w:t>.</w:t>
      </w:r>
      <w:r w:rsidR="000A3B74" w:rsidRPr="00101A2A">
        <w:t xml:space="preserve"> T</w:t>
      </w:r>
      <w:r w:rsidR="00950575" w:rsidRPr="00101A2A">
        <w:t>o investigate this alternative explanation</w:t>
      </w:r>
      <w:r w:rsidR="000A3B74" w:rsidRPr="00101A2A">
        <w:t>,</w:t>
      </w:r>
      <w:r w:rsidR="00950575" w:rsidRPr="00101A2A">
        <w:t xml:space="preserve"> </w:t>
      </w:r>
      <w:r w:rsidR="000A3B74" w:rsidRPr="00101A2A">
        <w:t>w</w:t>
      </w:r>
      <w:r w:rsidR="00950575" w:rsidRPr="00101A2A">
        <w:t xml:space="preserve">e </w:t>
      </w:r>
      <w:r w:rsidR="00B96253" w:rsidRPr="00101A2A">
        <w:t>look at</w:t>
      </w:r>
      <w:r w:rsidR="00950575" w:rsidRPr="00101A2A">
        <w:t xml:space="preserve"> </w:t>
      </w:r>
      <w:r w:rsidR="00845B37" w:rsidRPr="00101A2A">
        <w:t>the change</w:t>
      </w:r>
      <w:r w:rsidR="00950575" w:rsidRPr="00101A2A">
        <w:t xml:space="preserve"> in </w:t>
      </w:r>
      <w:r w:rsidR="00915BDC">
        <w:t xml:space="preserve">the </w:t>
      </w:r>
      <w:r w:rsidR="00950575" w:rsidRPr="00101A2A">
        <w:t xml:space="preserve">number of </w:t>
      </w:r>
      <w:r w:rsidR="00950575" w:rsidRPr="00101A2A">
        <w:lastRenderedPageBreak/>
        <w:t xml:space="preserve">reviews </w:t>
      </w:r>
      <w:r w:rsidR="008C604C" w:rsidRPr="00101A2A">
        <w:t>of</w:t>
      </w:r>
      <w:r w:rsidR="00950575" w:rsidRPr="00101A2A">
        <w:t xml:space="preserve"> spanners</w:t>
      </w:r>
      <w:r w:rsidR="000A3B74" w:rsidRPr="00101A2A">
        <w:t xml:space="preserve"> as a proxy for the number of bookings</w:t>
      </w:r>
      <w:r w:rsidR="000A3B74" w:rsidRPr="00101A2A">
        <w:rPr>
          <w:rStyle w:val="FootnoteReference"/>
        </w:rPr>
        <w:footnoteReference w:id="6"/>
      </w:r>
      <w:r w:rsidR="00950575" w:rsidRPr="00101A2A">
        <w:t>.</w:t>
      </w:r>
      <w:r w:rsidR="00B96253" w:rsidRPr="00101A2A">
        <w:t xml:space="preserve"> </w:t>
      </w:r>
      <w:r w:rsidR="000A3B74" w:rsidRPr="00101A2A">
        <w:t>It is plausible that a</w:t>
      </w:r>
      <w:r w:rsidR="00950575" w:rsidRPr="00101A2A">
        <w:t xml:space="preserve"> decrease in </w:t>
      </w:r>
      <w:r w:rsidR="00BC57A3" w:rsidRPr="00101A2A">
        <w:t xml:space="preserve">the </w:t>
      </w:r>
      <w:r w:rsidR="00845B37" w:rsidRPr="00101A2A">
        <w:t>number</w:t>
      </w:r>
      <w:r w:rsidR="00BC57A3" w:rsidRPr="00101A2A">
        <w:t xml:space="preserve"> of reviews</w:t>
      </w:r>
      <w:r w:rsidR="00547E55" w:rsidRPr="00101A2A">
        <w:t xml:space="preserve"> for </w:t>
      </w:r>
      <w:r w:rsidR="00915BDC">
        <w:t>spanner</w:t>
      </w:r>
      <w:r w:rsidR="00547E55" w:rsidRPr="00101A2A">
        <w:t xml:space="preserve"> listings</w:t>
      </w:r>
      <w:r w:rsidR="00BC57A3" w:rsidRPr="00101A2A">
        <w:t xml:space="preserve"> </w:t>
      </w:r>
      <w:r w:rsidR="00BF3116" w:rsidRPr="00101A2A">
        <w:t xml:space="preserve">after the regulatory change </w:t>
      </w:r>
      <w:r w:rsidR="00950575" w:rsidRPr="00101A2A">
        <w:t>indicate</w:t>
      </w:r>
      <w:r w:rsidR="000A3B74" w:rsidRPr="00101A2A">
        <w:t>s</w:t>
      </w:r>
      <w:r w:rsidR="00950575" w:rsidRPr="00101A2A">
        <w:t xml:space="preserve"> </w:t>
      </w:r>
      <w:r w:rsidR="00915BDC">
        <w:t>an objective reduction in</w:t>
      </w:r>
      <w:r w:rsidR="00950575" w:rsidRPr="00101A2A">
        <w:t xml:space="preserve"> spanners’ quality</w:t>
      </w:r>
      <w:r w:rsidR="00C9682F" w:rsidRPr="00101A2A">
        <w:t xml:space="preserve"> </w:t>
      </w:r>
      <w:r w:rsidR="00847F86" w:rsidRPr="00101A2A">
        <w:t xml:space="preserve">that consumers </w:t>
      </w:r>
      <w:r w:rsidR="00915BDC">
        <w:t>can</w:t>
      </w:r>
      <w:r w:rsidR="00847F86" w:rsidRPr="00101A2A">
        <w:t xml:space="preserve"> observe before the booking</w:t>
      </w:r>
      <w:r w:rsidR="000A3B74" w:rsidRPr="00101A2A">
        <w:t>, causing a</w:t>
      </w:r>
      <w:r w:rsidR="00B723BA" w:rsidRPr="00101A2A">
        <w:t xml:space="preserve"> decrease in demand </w:t>
      </w:r>
      <w:r w:rsidR="0082643E">
        <w:t>and</w:t>
      </w:r>
      <w:r w:rsidR="00915BDC">
        <w:t>,</w:t>
      </w:r>
      <w:r w:rsidR="0082643E">
        <w:t xml:space="preserve"> thus</w:t>
      </w:r>
      <w:r w:rsidR="00EC42B1">
        <w:t>,</w:t>
      </w:r>
      <w:r w:rsidR="00B723BA" w:rsidRPr="00101A2A">
        <w:t xml:space="preserve"> a</w:t>
      </w:r>
      <w:r w:rsidR="000A3B74" w:rsidRPr="00101A2A">
        <w:t xml:space="preserve"> lower number of bookings for these properties</w:t>
      </w:r>
      <w:r w:rsidR="00847F86" w:rsidRPr="00101A2A">
        <w:t>.</w:t>
      </w:r>
      <w:r w:rsidR="00B96253" w:rsidRPr="00101A2A">
        <w:t xml:space="preserve"> Our analyses show </w:t>
      </w:r>
      <w:r w:rsidR="00F85D40">
        <w:t>a</w:t>
      </w:r>
      <w:r w:rsidR="00F85D40" w:rsidRPr="00101A2A">
        <w:t xml:space="preserve"> </w:t>
      </w:r>
      <w:r w:rsidR="00B96253" w:rsidRPr="00101A2A">
        <w:t xml:space="preserve">significant </w:t>
      </w:r>
      <w:r w:rsidR="00F85D40">
        <w:t>increase in the number of reviews of spanners</w:t>
      </w:r>
      <w:r w:rsidR="00F85D40" w:rsidRPr="00101A2A">
        <w:t xml:space="preserve"> </w:t>
      </w:r>
      <w:r w:rsidR="000A3B74" w:rsidRPr="00101A2A">
        <w:t xml:space="preserve">after the new regulation is introduced </w:t>
      </w:r>
      <w:r w:rsidR="00B96253" w:rsidRPr="00101A2A">
        <w:t>(</w:t>
      </w:r>
      <w:r w:rsidR="00F85D40">
        <w:t xml:space="preserve">Model 2 in </w:t>
      </w:r>
      <w:r w:rsidRPr="00101A2A">
        <w:t>Table A</w:t>
      </w:r>
      <w:r w:rsidR="00F85D40">
        <w:t>6</w:t>
      </w:r>
      <w:r w:rsidRPr="00101A2A">
        <w:t xml:space="preserve"> in the </w:t>
      </w:r>
      <w:r w:rsidR="00CA7889" w:rsidRPr="00101A2A">
        <w:t>Appendix</w:t>
      </w:r>
      <w:r w:rsidR="00B96253" w:rsidRPr="00101A2A">
        <w:t>)</w:t>
      </w:r>
      <w:r w:rsidR="005D3B7F" w:rsidRPr="00101A2A">
        <w:t>.</w:t>
      </w:r>
      <w:r w:rsidR="00F85D40">
        <w:t xml:space="preserve"> </w:t>
      </w:r>
      <w:r w:rsidR="00847F86" w:rsidRPr="00101A2A">
        <w:t xml:space="preserve"> </w:t>
      </w:r>
    </w:p>
    <w:p w14:paraId="5878EBB4" w14:textId="668E76FE" w:rsidR="00363E65" w:rsidRPr="00FB15C1" w:rsidRDefault="00C61304" w:rsidP="00FA0B1F">
      <w:pPr>
        <w:pStyle w:val="Heading3"/>
        <w:rPr>
          <w:bCs/>
          <w:iCs/>
        </w:rPr>
      </w:pPr>
      <w:r>
        <w:rPr>
          <w:lang w:val="en-US"/>
        </w:rPr>
        <w:t>Different estimation methods</w:t>
      </w:r>
      <w:r w:rsidR="00A43DF7" w:rsidRPr="00101A2A">
        <w:rPr>
          <w:lang w:val="en-US"/>
        </w:rPr>
        <w:t>.</w:t>
      </w:r>
      <w:r w:rsidR="00A43DF7" w:rsidRPr="00FA0B1F">
        <w:rPr>
          <w:b w:val="0"/>
          <w:bCs/>
          <w:i w:val="0"/>
          <w:iCs/>
          <w:lang w:val="en-US"/>
        </w:rPr>
        <w:t xml:space="preserve"> </w:t>
      </w:r>
      <w:r w:rsidR="00710456">
        <w:rPr>
          <w:b w:val="0"/>
          <w:bCs/>
          <w:i w:val="0"/>
          <w:iCs/>
          <w:lang w:val="en-US"/>
        </w:rPr>
        <w:t>For t</w:t>
      </w:r>
      <w:r w:rsidRPr="00FA0B1F">
        <w:rPr>
          <w:b w:val="0"/>
          <w:bCs/>
          <w:i w:val="0"/>
          <w:iCs/>
          <w:lang w:val="en-US"/>
        </w:rPr>
        <w:t>he main results of this paper</w:t>
      </w:r>
      <w:r w:rsidR="00915BDC">
        <w:rPr>
          <w:b w:val="0"/>
          <w:bCs/>
          <w:i w:val="0"/>
          <w:iCs/>
          <w:lang w:val="en-US"/>
        </w:rPr>
        <w:t>,</w:t>
      </w:r>
      <w:r w:rsidRPr="00FA0B1F">
        <w:rPr>
          <w:b w:val="0"/>
          <w:bCs/>
          <w:i w:val="0"/>
          <w:iCs/>
          <w:lang w:val="en-US"/>
        </w:rPr>
        <w:t xml:space="preserve"> </w:t>
      </w:r>
      <w:r w:rsidR="00710456">
        <w:rPr>
          <w:b w:val="0"/>
          <w:bCs/>
          <w:i w:val="0"/>
          <w:iCs/>
          <w:lang w:val="en-US"/>
        </w:rPr>
        <w:t>we</w:t>
      </w:r>
      <w:r w:rsidR="00710456" w:rsidRPr="00FA0B1F">
        <w:rPr>
          <w:b w:val="0"/>
          <w:bCs/>
          <w:i w:val="0"/>
          <w:iCs/>
          <w:lang w:val="en-US"/>
        </w:rPr>
        <w:t xml:space="preserve"> </w:t>
      </w:r>
      <w:r w:rsidR="00710456">
        <w:rPr>
          <w:b w:val="0"/>
          <w:bCs/>
          <w:i w:val="0"/>
          <w:iCs/>
          <w:lang w:val="en-US"/>
        </w:rPr>
        <w:t xml:space="preserve">use </w:t>
      </w:r>
      <w:r w:rsidRPr="00FA0B1F">
        <w:rPr>
          <w:b w:val="0"/>
          <w:bCs/>
          <w:i w:val="0"/>
          <w:iCs/>
          <w:lang w:val="en-US"/>
        </w:rPr>
        <w:t>the Arellano</w:t>
      </w:r>
      <w:r w:rsidR="004B3D34">
        <w:rPr>
          <w:b w:val="0"/>
          <w:bCs/>
          <w:i w:val="0"/>
          <w:iCs/>
          <w:lang w:val="en-US"/>
        </w:rPr>
        <w:t>-</w:t>
      </w:r>
      <w:r w:rsidRPr="00FA0B1F">
        <w:rPr>
          <w:b w:val="0"/>
          <w:bCs/>
          <w:i w:val="0"/>
          <w:iCs/>
          <w:lang w:val="en-US"/>
        </w:rPr>
        <w:t>Bond estimator</w:t>
      </w:r>
      <w:r w:rsidR="00D521F7">
        <w:rPr>
          <w:b w:val="0"/>
          <w:bCs/>
          <w:i w:val="0"/>
          <w:iCs/>
          <w:lang w:val="en-US"/>
        </w:rPr>
        <w:t xml:space="preserve"> </w:t>
      </w:r>
      <w:r w:rsidR="00D521F7">
        <w:rPr>
          <w:b w:val="0"/>
          <w:bCs/>
          <w:i w:val="0"/>
          <w:iCs/>
          <w:lang w:val="en-US"/>
        </w:rPr>
        <w:fldChar w:fldCharType="begin" w:fldLock="1"/>
      </w:r>
      <w:r w:rsidR="003749C2">
        <w:rPr>
          <w:b w:val="0"/>
          <w:bCs/>
          <w:i w:val="0"/>
          <w:iCs/>
          <w:lang w:val="en-US"/>
        </w:rPr>
        <w:instrText>ADDIN CSL_CITATION {"citationItems":[{"id":"ITEM-1","itemData":{"abstract":"JSTOR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This paper presents specification tests that are applicable after estimating a dynamic model from panel data by the generalized method of moments (GMM), and studies the practical performance of these procedures using both generated and real data. Our GMM estimator optimally exploits all the linear moment restrictions that follow from the assumption of no serial correlation in the errors, in an equation which contains individual effects, lagged dependent variables and no strictly exogenous variables. We propose a test of serial correlation based on the GMM residuals and compare this with Sargan tests of over-identifying restrictions and Hausman specification tests.","author":[{"dropping-particle":"","family":"Arellano","given":"Manuel","non-dropping-particle":"","parse-names":false,"suffix":""},{"dropping-particle":"","family":"Bond","given":"Stephen","non-dropping-particle":"","parse-names":false,"suffix":""}],"container-title":"Review of Economic Studies","id":"ITEM-1","issue":"58","issued":{"date-parts":[["1991"]]},"page":"277-297","title":"The Review of Economic Studies, Ltd. Some Tests of Specification for Panel Data: Monte Carlo Evidence and an Application to Employment Equations Some Tests of Specification for Panel Data: Monte Carlo Evidence and an Application t o Employment Equations","type":"article-journal","volume":"58"},"uris":["http://www.mendeley.com/documents/?uuid=ce90bd4b-65e3-4766-83d9-00570fb3031e"]}],"mendeley":{"formattedCitation":"(Arellano &amp; Bond, 1991)","plainTextFormattedCitation":"(Arellano &amp; Bond, 1991)","previouslyFormattedCitation":"(Arellano &amp; Bond, 1991)"},"properties":{"noteIndex":0},"schema":"https://github.com/citation-style-language/schema/raw/master/csl-citation.json"}</w:instrText>
      </w:r>
      <w:r w:rsidR="00D521F7">
        <w:rPr>
          <w:b w:val="0"/>
          <w:bCs/>
          <w:i w:val="0"/>
          <w:iCs/>
          <w:lang w:val="en-US"/>
        </w:rPr>
        <w:fldChar w:fldCharType="separate"/>
      </w:r>
      <w:r w:rsidR="006A7A22" w:rsidRPr="006A7A22">
        <w:rPr>
          <w:b w:val="0"/>
          <w:bCs/>
          <w:i w:val="0"/>
          <w:iCs/>
          <w:noProof/>
          <w:lang w:val="en-US"/>
        </w:rPr>
        <w:t>(Arellano &amp; Bond, 1991)</w:t>
      </w:r>
      <w:r w:rsidR="00D521F7">
        <w:rPr>
          <w:b w:val="0"/>
          <w:bCs/>
          <w:i w:val="0"/>
          <w:iCs/>
          <w:lang w:val="en-US"/>
        </w:rPr>
        <w:fldChar w:fldCharType="end"/>
      </w:r>
      <w:r w:rsidRPr="00FA0B1F">
        <w:rPr>
          <w:b w:val="0"/>
          <w:bCs/>
          <w:i w:val="0"/>
          <w:iCs/>
          <w:lang w:val="en-US"/>
        </w:rPr>
        <w:t xml:space="preserve">, </w:t>
      </w:r>
      <w:r w:rsidR="004B3D34">
        <w:rPr>
          <w:b w:val="0"/>
          <w:bCs/>
          <w:i w:val="0"/>
          <w:iCs/>
          <w:lang w:val="en-US"/>
        </w:rPr>
        <w:t>which</w:t>
      </w:r>
      <w:r w:rsidRPr="00FA0B1F">
        <w:rPr>
          <w:b w:val="0"/>
          <w:bCs/>
          <w:i w:val="0"/>
          <w:iCs/>
          <w:lang w:val="en-US"/>
        </w:rPr>
        <w:t xml:space="preserve"> provides consistent results </w:t>
      </w:r>
      <w:r w:rsidRPr="00363E65">
        <w:rPr>
          <w:b w:val="0"/>
          <w:bCs/>
          <w:i w:val="0"/>
          <w:iCs/>
          <w:lang w:val="en-US"/>
        </w:rPr>
        <w:t xml:space="preserve">for dynamic panel models, i.e., models where one or more lags of the dependent variable are included among the predictors. This estimator is </w:t>
      </w:r>
      <w:r w:rsidR="00915BDC">
        <w:rPr>
          <w:b w:val="0"/>
          <w:bCs/>
          <w:i w:val="0"/>
          <w:iCs/>
          <w:lang w:val="en-US"/>
        </w:rPr>
        <w:t>compatible</w:t>
      </w:r>
      <w:r w:rsidRPr="00363E65">
        <w:rPr>
          <w:b w:val="0"/>
          <w:bCs/>
          <w:i w:val="0"/>
          <w:iCs/>
          <w:lang w:val="en-US"/>
        </w:rPr>
        <w:t xml:space="preserve"> </w:t>
      </w:r>
      <w:r w:rsidR="00EC42B1">
        <w:rPr>
          <w:b w:val="0"/>
          <w:bCs/>
          <w:i w:val="0"/>
          <w:iCs/>
          <w:lang w:val="en-US"/>
        </w:rPr>
        <w:t>with</w:t>
      </w:r>
      <w:r w:rsidRPr="00363E65">
        <w:rPr>
          <w:b w:val="0"/>
          <w:bCs/>
          <w:i w:val="0"/>
          <w:iCs/>
          <w:lang w:val="en-US"/>
        </w:rPr>
        <w:t xml:space="preserve"> large </w:t>
      </w:r>
      <w:r w:rsidR="00363E65" w:rsidRPr="00363E65">
        <w:rPr>
          <w:b w:val="0"/>
          <w:bCs/>
          <w:i w:val="0"/>
          <w:iCs/>
          <w:lang w:val="en-US"/>
        </w:rPr>
        <w:t>samples</w:t>
      </w:r>
      <w:r w:rsidRPr="00363E65">
        <w:rPr>
          <w:b w:val="0"/>
          <w:bCs/>
          <w:i w:val="0"/>
          <w:iCs/>
          <w:lang w:val="en-US"/>
        </w:rPr>
        <w:t xml:space="preserve"> </w:t>
      </w:r>
      <w:r w:rsidR="006101C1">
        <w:rPr>
          <w:b w:val="0"/>
          <w:bCs/>
          <w:i w:val="0"/>
          <w:iCs/>
          <w:lang w:val="en-US"/>
        </w:rPr>
        <w:t>of</w:t>
      </w:r>
      <w:r w:rsidR="00363E65" w:rsidRPr="00363E65">
        <w:rPr>
          <w:b w:val="0"/>
          <w:bCs/>
          <w:i w:val="0"/>
          <w:iCs/>
          <w:lang w:val="en-US"/>
        </w:rPr>
        <w:t xml:space="preserve"> short </w:t>
      </w:r>
      <w:r w:rsidR="00915BDC">
        <w:rPr>
          <w:b w:val="0"/>
          <w:bCs/>
          <w:i w:val="0"/>
          <w:iCs/>
          <w:lang w:val="en-US"/>
        </w:rPr>
        <w:t>time series</w:t>
      </w:r>
      <w:r w:rsidR="00363E65" w:rsidRPr="00363E65">
        <w:rPr>
          <w:b w:val="0"/>
          <w:bCs/>
          <w:i w:val="0"/>
          <w:iCs/>
          <w:lang w:val="en-US"/>
        </w:rPr>
        <w:t xml:space="preserve">, but it might suffer </w:t>
      </w:r>
      <w:r w:rsidR="00915BDC">
        <w:rPr>
          <w:b w:val="0"/>
          <w:bCs/>
          <w:i w:val="0"/>
          <w:iCs/>
          <w:lang w:val="en-US"/>
        </w:rPr>
        <w:t>from</w:t>
      </w:r>
      <w:r w:rsidR="00363E65" w:rsidRPr="00363E65">
        <w:rPr>
          <w:b w:val="0"/>
          <w:bCs/>
          <w:i w:val="0"/>
          <w:iCs/>
          <w:lang w:val="en-US"/>
        </w:rPr>
        <w:t xml:space="preserve"> instrument proliferation bias as the time series </w:t>
      </w:r>
      <w:r w:rsidR="00915BDC">
        <w:rPr>
          <w:b w:val="0"/>
          <w:bCs/>
          <w:i w:val="0"/>
          <w:iCs/>
          <w:lang w:val="en-US"/>
        </w:rPr>
        <w:t>becomes</w:t>
      </w:r>
      <w:r w:rsidR="00363E65" w:rsidRPr="00363E65">
        <w:rPr>
          <w:b w:val="0"/>
          <w:bCs/>
          <w:i w:val="0"/>
          <w:iCs/>
          <w:lang w:val="en-US"/>
        </w:rPr>
        <w:t xml:space="preserve"> </w:t>
      </w:r>
      <w:r w:rsidR="00EC42B1">
        <w:rPr>
          <w:b w:val="0"/>
          <w:bCs/>
          <w:i w:val="0"/>
          <w:iCs/>
          <w:lang w:val="en-US"/>
        </w:rPr>
        <w:t>more extended</w:t>
      </w:r>
      <w:r w:rsidR="00D521F7">
        <w:rPr>
          <w:b w:val="0"/>
          <w:bCs/>
          <w:i w:val="0"/>
          <w:iCs/>
          <w:lang w:val="en-US"/>
        </w:rPr>
        <w:t xml:space="preserve"> </w:t>
      </w:r>
      <w:r w:rsidR="00D521F7">
        <w:rPr>
          <w:b w:val="0"/>
          <w:bCs/>
          <w:i w:val="0"/>
          <w:iCs/>
          <w:lang w:val="en-US"/>
        </w:rPr>
        <w:fldChar w:fldCharType="begin" w:fldLock="1"/>
      </w:r>
      <w:r w:rsidR="003749C2">
        <w:rPr>
          <w:b w:val="0"/>
          <w:bCs/>
          <w:i w:val="0"/>
          <w:iCs/>
          <w:lang w:val="en-US"/>
        </w:rPr>
        <w:instrText>ADDIN CSL_CITATION {"citationItems":[{"id":"ITEM-1","itemData":{"DOI":"10.1111/j.1468-0084.2008.00542.x","ISSN":"03059049","abstract":"The difference and system generalized method of moments (GMM) estimators are growing in popularity. As implemented in popular software, the estimators easily generate instruments that are numerous and, in system GMM, potentially suspect. A large instrument collection overfits endogenous variables even as it weakens the Hansen test of the instruments' joint validity. This paper reviews the evidence on the effects of instrument proliferation, and describes and simulates simple ways to control it. It illustrates the dangers by replicating Forbes [American Economic Review (2000) Vol. 90, pp. 869-887] on income inequality and Levine et al. [Journal of Monetary Economics] (2000) Vol. 46, pp. 31-77] on financial sector development. Results in both papers appear driven by previously undetected endogeneity. © Center for Global Development 2009.","author":[{"dropping-particle":"","family":"Roodman","given":"David","non-dropping-particle":"","parse-names":false,"suffix":""}],"container-title":"Oxford Bulletin of Economics and Statistics","id":"ITEM-1","issue":"1","issued":{"date-parts":[["2009"]]},"page":"135-158","title":"Practitioners' corner: A note on the theme of too many instruments","type":"article-journal","volume":"71"},"uris":["http://www.mendeley.com/documents/?uuid=8b4e33a6-ec56-4fb8-8723-2b295e0fc618"]}],"mendeley":{"formattedCitation":"(Roodman, 2009)","plainTextFormattedCitation":"(Roodman, 2009)","previouslyFormattedCitation":"(Roodman, 2009)"},"properties":{"noteIndex":0},"schema":"https://github.com/citation-style-language/schema/raw/master/csl-citation.json"}</w:instrText>
      </w:r>
      <w:r w:rsidR="00D521F7">
        <w:rPr>
          <w:b w:val="0"/>
          <w:bCs/>
          <w:i w:val="0"/>
          <w:iCs/>
          <w:lang w:val="en-US"/>
        </w:rPr>
        <w:fldChar w:fldCharType="separate"/>
      </w:r>
      <w:r w:rsidR="006A7A22" w:rsidRPr="006A7A22">
        <w:rPr>
          <w:b w:val="0"/>
          <w:bCs/>
          <w:i w:val="0"/>
          <w:iCs/>
          <w:noProof/>
          <w:lang w:val="en-US"/>
        </w:rPr>
        <w:t>(Roodman, 2009)</w:t>
      </w:r>
      <w:r w:rsidR="00D521F7">
        <w:rPr>
          <w:b w:val="0"/>
          <w:bCs/>
          <w:i w:val="0"/>
          <w:iCs/>
          <w:lang w:val="en-US"/>
        </w:rPr>
        <w:fldChar w:fldCharType="end"/>
      </w:r>
      <w:r w:rsidR="00363E65" w:rsidRPr="00363E65">
        <w:rPr>
          <w:b w:val="0"/>
          <w:bCs/>
          <w:i w:val="0"/>
          <w:iCs/>
          <w:lang w:val="en-US"/>
        </w:rPr>
        <w:t>.</w:t>
      </w:r>
      <w:r w:rsidR="00F85D40">
        <w:rPr>
          <w:b w:val="0"/>
          <w:bCs/>
          <w:i w:val="0"/>
          <w:iCs/>
          <w:lang w:val="en-US"/>
        </w:rPr>
        <w:t xml:space="preserve"> Indeed, the </w:t>
      </w:r>
      <w:proofErr w:type="spellStart"/>
      <w:r w:rsidR="00F85D40">
        <w:rPr>
          <w:b w:val="0"/>
          <w:bCs/>
          <w:i w:val="0"/>
          <w:iCs/>
          <w:lang w:val="en-US"/>
        </w:rPr>
        <w:t>Sargan</w:t>
      </w:r>
      <w:proofErr w:type="spellEnd"/>
      <w:r w:rsidR="00F85D40">
        <w:rPr>
          <w:b w:val="0"/>
          <w:bCs/>
          <w:i w:val="0"/>
          <w:iCs/>
          <w:lang w:val="en-US"/>
        </w:rPr>
        <w:t xml:space="preserve"> test shows evidence of model overidentification (</w:t>
      </w:r>
      <w:r w:rsidR="0082643E">
        <w:rPr>
          <w:b w:val="0"/>
          <w:bCs/>
          <w:i w:val="0"/>
          <w:iCs/>
          <w:lang w:val="en-US"/>
        </w:rPr>
        <w:t>f</w:t>
      </w:r>
      <w:r w:rsidR="00F85D40">
        <w:rPr>
          <w:b w:val="0"/>
          <w:bCs/>
          <w:i w:val="0"/>
          <w:iCs/>
          <w:lang w:val="en-US"/>
        </w:rPr>
        <w:t>or Model 7 in Table 4</w:t>
      </w:r>
      <w:r w:rsidR="00915BDC">
        <w:rPr>
          <w:b w:val="0"/>
          <w:bCs/>
          <w:i w:val="0"/>
          <w:iCs/>
          <w:lang w:val="en-US"/>
        </w:rPr>
        <w:t>,</w:t>
      </w:r>
      <w:r w:rsidR="00F85D40">
        <w:rPr>
          <w:b w:val="0"/>
          <w:bCs/>
          <w:i w:val="0"/>
          <w:iCs/>
          <w:lang w:val="en-US"/>
        </w:rPr>
        <w:t xml:space="preserve"> the </w:t>
      </w:r>
      <w:proofErr w:type="spellStart"/>
      <w:r w:rsidR="00F85D40">
        <w:rPr>
          <w:b w:val="0"/>
          <w:bCs/>
          <w:i w:val="0"/>
          <w:iCs/>
          <w:lang w:val="en-US"/>
        </w:rPr>
        <w:t>Sargan</w:t>
      </w:r>
      <w:proofErr w:type="spellEnd"/>
      <w:r w:rsidR="00F85D40">
        <w:rPr>
          <w:b w:val="0"/>
          <w:bCs/>
          <w:i w:val="0"/>
          <w:iCs/>
          <w:lang w:val="en-US"/>
        </w:rPr>
        <w:t xml:space="preserve"> overidentification test result is 10,327.69</w:t>
      </w:r>
      <w:r w:rsidR="004958A1">
        <w:rPr>
          <w:b w:val="0"/>
          <w:bCs/>
          <w:i w:val="0"/>
          <w:iCs/>
          <w:lang w:val="en-US"/>
        </w:rPr>
        <w:t>, p &lt; .001</w:t>
      </w:r>
      <w:r w:rsidR="00F85D40">
        <w:rPr>
          <w:b w:val="0"/>
          <w:bCs/>
          <w:i w:val="0"/>
          <w:iCs/>
          <w:lang w:val="en-US"/>
        </w:rPr>
        <w:t>).</w:t>
      </w:r>
      <w:r w:rsidR="00363E65" w:rsidRPr="00363E65">
        <w:rPr>
          <w:b w:val="0"/>
          <w:bCs/>
          <w:i w:val="0"/>
          <w:iCs/>
          <w:lang w:val="en-US"/>
        </w:rPr>
        <w:t xml:space="preserve"> To check the robustness of the main results to the estimation method, we re-estimate the main models using the </w:t>
      </w:r>
      <w:r w:rsidR="00D521F7" w:rsidRPr="00363E65">
        <w:rPr>
          <w:b w:val="0"/>
          <w:bCs/>
          <w:i w:val="0"/>
          <w:iCs/>
          <w:lang w:val="en-US"/>
        </w:rPr>
        <w:t>Wit</w:t>
      </w:r>
      <w:r w:rsidR="005C675A">
        <w:rPr>
          <w:b w:val="0"/>
          <w:bCs/>
          <w:i w:val="0"/>
          <w:iCs/>
          <w:lang w:val="en-US"/>
        </w:rPr>
        <w:t>h</w:t>
      </w:r>
      <w:r w:rsidR="00D521F7" w:rsidRPr="00363E65">
        <w:rPr>
          <w:b w:val="0"/>
          <w:bCs/>
          <w:i w:val="0"/>
          <w:iCs/>
          <w:lang w:val="en-US"/>
        </w:rPr>
        <w:t>in</w:t>
      </w:r>
      <w:r w:rsidR="00363E65" w:rsidRPr="00363E65">
        <w:rPr>
          <w:b w:val="0"/>
          <w:bCs/>
          <w:i w:val="0"/>
          <w:iCs/>
          <w:lang w:val="en-US"/>
        </w:rPr>
        <w:t xml:space="preserve"> estimator with fixed effects at the zip code and month level</w:t>
      </w:r>
      <w:r w:rsidR="00363E65">
        <w:rPr>
          <w:b w:val="0"/>
          <w:bCs/>
          <w:i w:val="0"/>
          <w:iCs/>
          <w:lang w:val="en-US"/>
        </w:rPr>
        <w:t xml:space="preserve"> (Table A</w:t>
      </w:r>
      <w:r w:rsidR="00F85D40">
        <w:rPr>
          <w:b w:val="0"/>
          <w:bCs/>
          <w:i w:val="0"/>
          <w:iCs/>
          <w:lang w:val="en-US"/>
        </w:rPr>
        <w:t>8</w:t>
      </w:r>
      <w:r w:rsidR="00363E65">
        <w:rPr>
          <w:b w:val="0"/>
          <w:bCs/>
          <w:i w:val="0"/>
          <w:iCs/>
          <w:lang w:val="en-US"/>
        </w:rPr>
        <w:t>)</w:t>
      </w:r>
      <w:r w:rsidR="00363E65" w:rsidRPr="00363E65">
        <w:rPr>
          <w:b w:val="0"/>
          <w:bCs/>
          <w:i w:val="0"/>
          <w:iCs/>
          <w:lang w:val="en-US"/>
        </w:rPr>
        <w:t xml:space="preserve">. </w:t>
      </w:r>
      <w:r w:rsidR="00363E65" w:rsidRPr="00FA0B1F">
        <w:rPr>
          <w:b w:val="0"/>
          <w:bCs/>
          <w:i w:val="0"/>
          <w:iCs/>
        </w:rPr>
        <w:t>In the presence of long time series, the results of the within estimator and the Arellano-Bond estimator are expected to converge</w:t>
      </w:r>
      <w:r w:rsidR="00D521F7">
        <w:rPr>
          <w:b w:val="0"/>
          <w:bCs/>
          <w:i w:val="0"/>
          <w:iCs/>
        </w:rPr>
        <w:t xml:space="preserve"> </w:t>
      </w:r>
      <w:r w:rsidR="00D521F7">
        <w:rPr>
          <w:b w:val="0"/>
          <w:bCs/>
          <w:i w:val="0"/>
          <w:iCs/>
        </w:rPr>
        <w:fldChar w:fldCharType="begin" w:fldLock="1"/>
      </w:r>
      <w:r w:rsidR="003749C2">
        <w:rPr>
          <w:b w:val="0"/>
          <w:bCs/>
          <w:i w:val="0"/>
          <w:iCs/>
        </w:rPr>
        <w:instrText>ADDIN CSL_CITATION {"citationItems":[{"id":"ITEM-1","itemData":{"DOI":"10.1111/j.1468-0084.2008.00542.x","ISSN":"03059049","abstract":"The difference and system generalized method of moments (GMM) estimators are growing in popularity. As implemented in popular software, the estimators easily generate instruments that are numerous and, in system GMM, potentially suspect. A large instrument collection overfits endogenous variables even as it weakens the Hansen test of the instruments' joint validity. This paper reviews the evidence on the effects of instrument proliferation, and describes and simulates simple ways to control it. It illustrates the dangers by replicating Forbes [American Economic Review (2000) Vol. 90, pp. 869-887] on income inequality and Levine et al. [Journal of Monetary Economics] (2000) Vol. 46, pp. 31-77] on financial sector development. Results in both papers appear driven by previously undetected endogeneity. © Center for Global Development 2009.","author":[{"dropping-particle":"","family":"Roodman","given":"David","non-dropping-particle":"","parse-names":false,"suffix":""}],"container-title":"Oxford Bulletin of Economics and Statistics","id":"ITEM-1","issue":"1","issued":{"date-parts":[["2009"]]},"page":"135-158","title":"Practitioners' corner: A note on the theme of too many instruments","type":"article-journal","volume":"71"},"uris":["http://www.mendeley.com/documents/?uuid=8b4e33a6-ec56-4fb8-8723-2b295e0fc618"]},{"id":"ITEM-2","itemData":{"author":[{"dropping-particle":"","family":"Verbeek","given":"Marno","non-dropping-particle":"","parse-names":false,"suffix":""}],"editor":[{"dropping-particle":"","family":"John Wiley &amp; Sons","given":"","non-dropping-particle":"","parse-names":false,"suffix":""}],"id":"ITEM-2","issued":{"date-parts":[["2008"]]},"title":"A guide to modern econometrics","type":"book"},"uris":["http://www.mendeley.com/documents/?uuid=c6902f46-736e-49f7-a366-32f57babbc43"]}],"mendeley":{"formattedCitation":"(Roodman, 2009; Verbeek, 2008)","plainTextFormattedCitation":"(Roodman, 2009; Verbeek, 2008)","previouslyFormattedCitation":"(Roodman, 2009; Verbeek, 2008)"},"properties":{"noteIndex":0},"schema":"https://github.com/citation-style-language/schema/raw/master/csl-citation.json"}</w:instrText>
      </w:r>
      <w:r w:rsidR="00D521F7">
        <w:rPr>
          <w:b w:val="0"/>
          <w:bCs/>
          <w:i w:val="0"/>
          <w:iCs/>
        </w:rPr>
        <w:fldChar w:fldCharType="separate"/>
      </w:r>
      <w:r w:rsidR="006A7A22" w:rsidRPr="006A7A22">
        <w:rPr>
          <w:b w:val="0"/>
          <w:bCs/>
          <w:i w:val="0"/>
          <w:iCs/>
          <w:noProof/>
        </w:rPr>
        <w:t>(Roodman, 2009; Verbeek, 2008)</w:t>
      </w:r>
      <w:r w:rsidR="00D521F7">
        <w:rPr>
          <w:b w:val="0"/>
          <w:bCs/>
          <w:i w:val="0"/>
          <w:iCs/>
        </w:rPr>
        <w:fldChar w:fldCharType="end"/>
      </w:r>
      <w:r w:rsidR="00363E65">
        <w:rPr>
          <w:b w:val="0"/>
          <w:bCs/>
          <w:i w:val="0"/>
          <w:iCs/>
        </w:rPr>
        <w:t>, which is what we observe</w:t>
      </w:r>
      <w:r w:rsidR="00363E65" w:rsidRPr="00FA0B1F">
        <w:rPr>
          <w:b w:val="0"/>
          <w:bCs/>
          <w:i w:val="0"/>
          <w:iCs/>
        </w:rPr>
        <w:t>. T</w:t>
      </w:r>
      <w:r w:rsidR="00363E65">
        <w:rPr>
          <w:b w:val="0"/>
          <w:bCs/>
          <w:i w:val="0"/>
          <w:iCs/>
        </w:rPr>
        <w:t>hus, t</w:t>
      </w:r>
      <w:r w:rsidR="00363E65" w:rsidRPr="00FA0B1F">
        <w:rPr>
          <w:b w:val="0"/>
          <w:bCs/>
          <w:i w:val="0"/>
          <w:iCs/>
        </w:rPr>
        <w:t>he results remain consistent</w:t>
      </w:r>
      <w:r w:rsidR="00363E65">
        <w:rPr>
          <w:b w:val="0"/>
          <w:bCs/>
          <w:i w:val="0"/>
          <w:iCs/>
        </w:rPr>
        <w:t xml:space="preserve"> </w:t>
      </w:r>
      <w:r w:rsidR="00915BDC">
        <w:rPr>
          <w:b w:val="0"/>
          <w:bCs/>
          <w:i w:val="0"/>
          <w:iCs/>
        </w:rPr>
        <w:t>with</w:t>
      </w:r>
      <w:r w:rsidR="00363E65">
        <w:rPr>
          <w:b w:val="0"/>
          <w:bCs/>
          <w:i w:val="0"/>
          <w:iCs/>
        </w:rPr>
        <w:t xml:space="preserve"> alternative estimators</w:t>
      </w:r>
      <w:r w:rsidR="00363E65" w:rsidRPr="00FA0B1F">
        <w:rPr>
          <w:b w:val="0"/>
          <w:bCs/>
          <w:i w:val="0"/>
          <w:iCs/>
        </w:rPr>
        <w:t xml:space="preserve"> and </w:t>
      </w:r>
      <w:r w:rsidR="00EC42B1">
        <w:rPr>
          <w:b w:val="0"/>
          <w:bCs/>
          <w:i w:val="0"/>
          <w:iCs/>
        </w:rPr>
        <w:t>support</w:t>
      </w:r>
      <w:r w:rsidR="00363E65" w:rsidRPr="00FA0B1F">
        <w:rPr>
          <w:b w:val="0"/>
          <w:bCs/>
          <w:i w:val="0"/>
          <w:iCs/>
        </w:rPr>
        <w:t xml:space="preserve"> the </w:t>
      </w:r>
      <w:r w:rsidR="00915BDC">
        <w:rPr>
          <w:b w:val="0"/>
          <w:bCs/>
          <w:i w:val="0"/>
          <w:iCs/>
        </w:rPr>
        <w:t>study's conclusions</w:t>
      </w:r>
      <w:r w:rsidR="00363E65" w:rsidRPr="00FA0B1F">
        <w:rPr>
          <w:b w:val="0"/>
          <w:bCs/>
          <w:i w:val="0"/>
          <w:iCs/>
        </w:rPr>
        <w:t xml:space="preserve">. </w:t>
      </w:r>
    </w:p>
    <w:p w14:paraId="3372994E" w14:textId="72635497" w:rsidR="0040785F" w:rsidRDefault="00DB7E51" w:rsidP="008B1172">
      <w:pPr>
        <w:pStyle w:val="Heading3"/>
        <w:rPr>
          <w:b w:val="0"/>
          <w:bCs/>
          <w:i w:val="0"/>
          <w:iCs/>
          <w:lang w:val="en-US"/>
        </w:rPr>
      </w:pPr>
      <w:r w:rsidRPr="00101A2A">
        <w:rPr>
          <w:lang w:val="en-US"/>
        </w:rPr>
        <w:t>Different operationalization</w:t>
      </w:r>
      <w:r w:rsidR="00EA1B10" w:rsidRPr="00101A2A">
        <w:rPr>
          <w:lang w:val="en-US"/>
        </w:rPr>
        <w:t>s</w:t>
      </w:r>
      <w:r w:rsidRPr="00101A2A">
        <w:rPr>
          <w:lang w:val="en-US"/>
        </w:rPr>
        <w:t xml:space="preserve"> of </w:t>
      </w:r>
      <w:r w:rsidR="005B68AA" w:rsidRPr="00101A2A">
        <w:rPr>
          <w:lang w:val="en-US"/>
        </w:rPr>
        <w:t>independent variables</w:t>
      </w:r>
      <w:r w:rsidR="00A43DF7" w:rsidRPr="00101A2A">
        <w:rPr>
          <w:lang w:val="en-US"/>
        </w:rPr>
        <w:t xml:space="preserve">. </w:t>
      </w:r>
      <w:r w:rsidR="004E43D9" w:rsidRPr="00101A2A">
        <w:rPr>
          <w:b w:val="0"/>
          <w:bCs/>
          <w:i w:val="0"/>
          <w:iCs/>
          <w:lang w:val="en-US"/>
        </w:rPr>
        <w:t>We then</w:t>
      </w:r>
      <w:r w:rsidR="00E40AAA" w:rsidRPr="00101A2A">
        <w:rPr>
          <w:b w:val="0"/>
          <w:bCs/>
          <w:i w:val="0"/>
          <w:iCs/>
          <w:lang w:val="en-US"/>
        </w:rPr>
        <w:t xml:space="preserve"> address potential concerns </w:t>
      </w:r>
      <w:r w:rsidR="00746CDE" w:rsidRPr="00101A2A">
        <w:rPr>
          <w:b w:val="0"/>
          <w:bCs/>
          <w:i w:val="0"/>
          <w:iCs/>
          <w:lang w:val="en-US"/>
        </w:rPr>
        <w:t>regarding the</w:t>
      </w:r>
      <w:r w:rsidR="00E40AAA" w:rsidRPr="00101A2A">
        <w:rPr>
          <w:b w:val="0"/>
          <w:bCs/>
          <w:i w:val="0"/>
          <w:iCs/>
          <w:lang w:val="en-US"/>
        </w:rPr>
        <w:t xml:space="preserve"> results</w:t>
      </w:r>
      <w:r w:rsidR="006C71A5" w:rsidRPr="00101A2A">
        <w:rPr>
          <w:b w:val="0"/>
          <w:bCs/>
          <w:i w:val="0"/>
          <w:iCs/>
          <w:lang w:val="en-US"/>
        </w:rPr>
        <w:t>’</w:t>
      </w:r>
      <w:r w:rsidR="00E40AAA" w:rsidRPr="00101A2A">
        <w:rPr>
          <w:b w:val="0"/>
          <w:bCs/>
          <w:i w:val="0"/>
          <w:iCs/>
          <w:lang w:val="en-US"/>
        </w:rPr>
        <w:t xml:space="preserve"> sensitivity to </w:t>
      </w:r>
      <w:r w:rsidR="006101C1">
        <w:rPr>
          <w:b w:val="0"/>
          <w:bCs/>
          <w:i w:val="0"/>
          <w:iCs/>
          <w:lang w:val="en-US"/>
        </w:rPr>
        <w:t>the operationalization of</w:t>
      </w:r>
      <w:r w:rsidR="00AF5281" w:rsidRPr="00101A2A">
        <w:rPr>
          <w:b w:val="0"/>
          <w:bCs/>
          <w:i w:val="0"/>
          <w:iCs/>
          <w:lang w:val="en-US"/>
        </w:rPr>
        <w:t xml:space="preserve"> our explanatory factors</w:t>
      </w:r>
      <w:r w:rsidR="00EA1B10" w:rsidRPr="00101A2A">
        <w:rPr>
          <w:b w:val="0"/>
          <w:bCs/>
          <w:i w:val="0"/>
          <w:iCs/>
          <w:lang w:val="en-US"/>
        </w:rPr>
        <w:t>. First</w:t>
      </w:r>
      <w:r w:rsidR="00AF5281" w:rsidRPr="00101A2A">
        <w:rPr>
          <w:b w:val="0"/>
          <w:bCs/>
          <w:i w:val="0"/>
          <w:iCs/>
          <w:lang w:val="en-US"/>
        </w:rPr>
        <w:t xml:space="preserve">, </w:t>
      </w:r>
      <w:r w:rsidR="0001362E" w:rsidRPr="00101A2A">
        <w:rPr>
          <w:b w:val="0"/>
          <w:bCs/>
          <w:i w:val="0"/>
          <w:iCs/>
          <w:lang w:val="en-US"/>
        </w:rPr>
        <w:t>we code spanner</w:t>
      </w:r>
      <w:r w:rsidR="004E43D9" w:rsidRPr="00101A2A">
        <w:rPr>
          <w:b w:val="0"/>
          <w:bCs/>
          <w:i w:val="0"/>
          <w:iCs/>
          <w:lang w:val="en-US"/>
        </w:rPr>
        <w:t>s</w:t>
      </w:r>
      <w:r w:rsidR="0001362E" w:rsidRPr="00101A2A">
        <w:rPr>
          <w:b w:val="0"/>
          <w:bCs/>
          <w:i w:val="0"/>
          <w:iCs/>
          <w:lang w:val="en-US"/>
        </w:rPr>
        <w:t xml:space="preserve"> at different thresholds of </w:t>
      </w:r>
      <w:r w:rsidR="00915BDC">
        <w:rPr>
          <w:b w:val="0"/>
          <w:bCs/>
          <w:i w:val="0"/>
          <w:iCs/>
          <w:lang w:val="en-US"/>
        </w:rPr>
        <w:t xml:space="preserve">the </w:t>
      </w:r>
      <w:r w:rsidR="0001362E" w:rsidRPr="00101A2A">
        <w:rPr>
          <w:b w:val="0"/>
          <w:bCs/>
          <w:i w:val="0"/>
          <w:iCs/>
          <w:lang w:val="en-US"/>
        </w:rPr>
        <w:t xml:space="preserve">number of listings </w:t>
      </w:r>
      <w:r w:rsidR="00471DB1" w:rsidRPr="00101A2A">
        <w:rPr>
          <w:b w:val="0"/>
          <w:bCs/>
          <w:i w:val="0"/>
          <w:iCs/>
          <w:lang w:val="en-US"/>
        </w:rPr>
        <w:t>per host</w:t>
      </w:r>
      <w:r w:rsidR="00132379">
        <w:rPr>
          <w:b w:val="0"/>
          <w:bCs/>
          <w:i w:val="0"/>
          <w:iCs/>
          <w:lang w:val="en-US"/>
        </w:rPr>
        <w:t>,</w:t>
      </w:r>
      <w:r w:rsidR="00471DB1" w:rsidRPr="00101A2A">
        <w:rPr>
          <w:b w:val="0"/>
          <w:bCs/>
          <w:i w:val="0"/>
          <w:iCs/>
          <w:lang w:val="en-US"/>
        </w:rPr>
        <w:t xml:space="preserve"> </w:t>
      </w:r>
      <w:r w:rsidR="00A11DFD" w:rsidRPr="00101A2A">
        <w:rPr>
          <w:b w:val="0"/>
          <w:bCs/>
          <w:i w:val="0"/>
          <w:iCs/>
          <w:lang w:val="en-US"/>
        </w:rPr>
        <w:t xml:space="preserve">i.e., </w:t>
      </w:r>
      <w:r w:rsidR="0040785F" w:rsidRPr="00101A2A">
        <w:rPr>
          <w:b w:val="0"/>
          <w:bCs/>
          <w:i w:val="0"/>
          <w:iCs/>
          <w:lang w:val="en-US"/>
        </w:rPr>
        <w:t>80</w:t>
      </w:r>
      <w:r w:rsidR="0040785F" w:rsidRPr="00101A2A">
        <w:rPr>
          <w:b w:val="0"/>
          <w:bCs/>
          <w:i w:val="0"/>
          <w:iCs/>
          <w:vertAlign w:val="superscript"/>
          <w:lang w:val="en-US"/>
        </w:rPr>
        <w:t>th</w:t>
      </w:r>
      <w:r w:rsidR="0040785F" w:rsidRPr="00101A2A">
        <w:rPr>
          <w:b w:val="0"/>
          <w:bCs/>
          <w:i w:val="0"/>
          <w:iCs/>
          <w:lang w:val="en-US"/>
        </w:rPr>
        <w:t xml:space="preserve"> </w:t>
      </w:r>
      <w:r w:rsidR="00471DB1" w:rsidRPr="00101A2A">
        <w:rPr>
          <w:b w:val="0"/>
          <w:bCs/>
          <w:i w:val="0"/>
          <w:iCs/>
          <w:lang w:val="en-US"/>
        </w:rPr>
        <w:t xml:space="preserve">and </w:t>
      </w:r>
      <w:r w:rsidR="0040785F" w:rsidRPr="00101A2A">
        <w:rPr>
          <w:b w:val="0"/>
          <w:bCs/>
          <w:i w:val="0"/>
          <w:iCs/>
          <w:lang w:val="en-US"/>
        </w:rPr>
        <w:lastRenderedPageBreak/>
        <w:t>93</w:t>
      </w:r>
      <w:r w:rsidR="0040785F" w:rsidRPr="00101A2A">
        <w:rPr>
          <w:b w:val="0"/>
          <w:bCs/>
          <w:i w:val="0"/>
          <w:iCs/>
          <w:vertAlign w:val="superscript"/>
          <w:lang w:val="en-US"/>
        </w:rPr>
        <w:t>rd</w:t>
      </w:r>
      <w:r w:rsidR="001C42E3" w:rsidRPr="00101A2A">
        <w:rPr>
          <w:b w:val="0"/>
          <w:bCs/>
          <w:i w:val="0"/>
          <w:iCs/>
          <w:vertAlign w:val="superscript"/>
          <w:lang w:val="en-US"/>
        </w:rPr>
        <w:t xml:space="preserve"> </w:t>
      </w:r>
      <w:r w:rsidR="001C42E3" w:rsidRPr="00101A2A">
        <w:rPr>
          <w:b w:val="0"/>
          <w:bCs/>
          <w:i w:val="0"/>
          <w:iCs/>
          <w:lang w:val="en-US"/>
        </w:rPr>
        <w:t>percentile</w:t>
      </w:r>
      <w:r w:rsidR="00471DB1" w:rsidRPr="00101A2A">
        <w:rPr>
          <w:b w:val="0"/>
          <w:bCs/>
          <w:i w:val="0"/>
          <w:iCs/>
          <w:lang w:val="en-US"/>
        </w:rPr>
        <w:t>s</w:t>
      </w:r>
      <w:r w:rsidR="0040785F" w:rsidRPr="00101A2A">
        <w:rPr>
          <w:b w:val="0"/>
          <w:bCs/>
          <w:i w:val="0"/>
          <w:iCs/>
          <w:lang w:val="en-US"/>
        </w:rPr>
        <w:t>.</w:t>
      </w:r>
      <w:r w:rsidR="00FC3670" w:rsidRPr="00101A2A">
        <w:rPr>
          <w:b w:val="0"/>
          <w:bCs/>
          <w:i w:val="0"/>
          <w:iCs/>
          <w:lang w:val="en-US"/>
        </w:rPr>
        <w:t xml:space="preserve"> </w:t>
      </w:r>
      <w:r w:rsidR="00EF05BC" w:rsidRPr="00101A2A">
        <w:rPr>
          <w:b w:val="0"/>
          <w:bCs/>
          <w:i w:val="0"/>
          <w:iCs/>
          <w:lang w:val="en-US"/>
        </w:rPr>
        <w:t>T</w:t>
      </w:r>
      <w:r w:rsidR="00AF5281" w:rsidRPr="00101A2A">
        <w:rPr>
          <w:b w:val="0"/>
          <w:bCs/>
          <w:i w:val="0"/>
          <w:iCs/>
          <w:lang w:val="en-US"/>
        </w:rPr>
        <w:t xml:space="preserve">he results </w:t>
      </w:r>
      <w:r w:rsidR="0040785F" w:rsidRPr="00101A2A">
        <w:rPr>
          <w:b w:val="0"/>
          <w:bCs/>
          <w:i w:val="0"/>
          <w:iCs/>
          <w:lang w:val="en-US"/>
        </w:rPr>
        <w:t>show tha</w:t>
      </w:r>
      <w:r w:rsidR="00EF05BC" w:rsidRPr="00101A2A">
        <w:rPr>
          <w:b w:val="0"/>
          <w:bCs/>
          <w:i w:val="0"/>
          <w:iCs/>
          <w:lang w:val="en-US"/>
        </w:rPr>
        <w:t>t</w:t>
      </w:r>
      <w:r w:rsidR="00D61C8E" w:rsidRPr="00101A2A">
        <w:rPr>
          <w:b w:val="0"/>
          <w:bCs/>
          <w:i w:val="0"/>
          <w:iCs/>
          <w:lang w:val="en-US"/>
        </w:rPr>
        <w:t xml:space="preserve"> </w:t>
      </w:r>
      <w:r w:rsidR="0040785F" w:rsidRPr="00101A2A">
        <w:rPr>
          <w:b w:val="0"/>
          <w:bCs/>
          <w:i w:val="0"/>
          <w:iCs/>
          <w:lang w:val="en-US"/>
        </w:rPr>
        <w:t>the effect</w:t>
      </w:r>
      <w:r w:rsidR="00471DB1" w:rsidRPr="00101A2A">
        <w:rPr>
          <w:b w:val="0"/>
          <w:bCs/>
          <w:i w:val="0"/>
          <w:iCs/>
          <w:lang w:val="en-US"/>
        </w:rPr>
        <w:t>s</w:t>
      </w:r>
      <w:r w:rsidR="0040785F" w:rsidRPr="00101A2A">
        <w:rPr>
          <w:b w:val="0"/>
          <w:bCs/>
          <w:i w:val="0"/>
          <w:iCs/>
          <w:lang w:val="en-US"/>
        </w:rPr>
        <w:t xml:space="preserve"> of </w:t>
      </w:r>
      <w:r w:rsidR="00263B0E" w:rsidRPr="00101A2A">
        <w:rPr>
          <w:b w:val="0"/>
          <w:bCs/>
          <w:i w:val="0"/>
          <w:iCs/>
          <w:lang w:val="en-US"/>
        </w:rPr>
        <w:t>spanner proportion</w:t>
      </w:r>
      <w:r w:rsidR="000B3D87" w:rsidRPr="00101A2A">
        <w:rPr>
          <w:b w:val="0"/>
          <w:bCs/>
          <w:i w:val="0"/>
          <w:iCs/>
          <w:lang w:val="en-US"/>
        </w:rPr>
        <w:t xml:space="preserve">, </w:t>
      </w:r>
      <w:r w:rsidR="00C14082" w:rsidRPr="00101A2A">
        <w:rPr>
          <w:b w:val="0"/>
          <w:bCs/>
          <w:i w:val="0"/>
          <w:iCs/>
          <w:lang w:val="en-US"/>
        </w:rPr>
        <w:t>r</w:t>
      </w:r>
      <w:r w:rsidR="00756D62" w:rsidRPr="00101A2A">
        <w:rPr>
          <w:b w:val="0"/>
          <w:bCs/>
          <w:i w:val="0"/>
          <w:iCs/>
          <w:lang w:val="en-US"/>
        </w:rPr>
        <w:t>egulated market</w:t>
      </w:r>
      <w:r w:rsidR="00471DB1" w:rsidRPr="00101A2A">
        <w:rPr>
          <w:b w:val="0"/>
          <w:bCs/>
          <w:i w:val="0"/>
          <w:iCs/>
          <w:lang w:val="en-US"/>
        </w:rPr>
        <w:t>,</w:t>
      </w:r>
      <w:r w:rsidR="00C4696B" w:rsidRPr="00101A2A">
        <w:rPr>
          <w:b w:val="0"/>
          <w:bCs/>
          <w:i w:val="0"/>
          <w:iCs/>
          <w:lang w:val="en-US"/>
        </w:rPr>
        <w:t xml:space="preserve"> </w:t>
      </w:r>
      <w:r w:rsidR="000B3D87" w:rsidRPr="00101A2A">
        <w:rPr>
          <w:b w:val="0"/>
          <w:bCs/>
          <w:i w:val="0"/>
          <w:iCs/>
          <w:lang w:val="en-US"/>
        </w:rPr>
        <w:t xml:space="preserve">and </w:t>
      </w:r>
      <w:r w:rsidR="00787A67" w:rsidRPr="00101A2A">
        <w:rPr>
          <w:b w:val="0"/>
          <w:bCs/>
          <w:i w:val="0"/>
          <w:iCs/>
          <w:lang w:val="en-US"/>
        </w:rPr>
        <w:t>consumer</w:t>
      </w:r>
      <w:r w:rsidR="000B3D87" w:rsidRPr="00101A2A">
        <w:rPr>
          <w:b w:val="0"/>
          <w:bCs/>
          <w:i w:val="0"/>
          <w:iCs/>
          <w:lang w:val="en-US"/>
        </w:rPr>
        <w:t xml:space="preserve"> </w:t>
      </w:r>
      <w:r w:rsidR="006F2781" w:rsidRPr="00101A2A">
        <w:rPr>
          <w:b w:val="0"/>
          <w:bCs/>
          <w:i w:val="0"/>
          <w:iCs/>
          <w:lang w:val="en-US"/>
        </w:rPr>
        <w:t>attention</w:t>
      </w:r>
      <w:r w:rsidR="000B3D87" w:rsidRPr="00101A2A">
        <w:rPr>
          <w:b w:val="0"/>
          <w:bCs/>
          <w:i w:val="0"/>
          <w:iCs/>
          <w:lang w:val="en-US"/>
        </w:rPr>
        <w:t xml:space="preserve"> </w:t>
      </w:r>
      <w:r w:rsidR="0040785F" w:rsidRPr="00101A2A">
        <w:rPr>
          <w:b w:val="0"/>
          <w:bCs/>
          <w:i w:val="0"/>
          <w:iCs/>
          <w:lang w:val="en-US"/>
        </w:rPr>
        <w:t xml:space="preserve">on </w:t>
      </w:r>
      <w:r w:rsidR="00A901E1" w:rsidRPr="00101A2A">
        <w:rPr>
          <w:b w:val="0"/>
          <w:bCs/>
          <w:i w:val="0"/>
          <w:iCs/>
          <w:lang w:val="en-US"/>
        </w:rPr>
        <w:t>real estate prices</w:t>
      </w:r>
      <w:r w:rsidR="0040785F" w:rsidRPr="00101A2A">
        <w:rPr>
          <w:b w:val="0"/>
          <w:bCs/>
          <w:i w:val="0"/>
          <w:iCs/>
          <w:lang w:val="en-US"/>
        </w:rPr>
        <w:t xml:space="preserve"> increase magnitude and significan</w:t>
      </w:r>
      <w:r w:rsidR="00471DB1" w:rsidRPr="00101A2A">
        <w:rPr>
          <w:b w:val="0"/>
          <w:bCs/>
          <w:i w:val="0"/>
          <w:iCs/>
          <w:lang w:val="en-US"/>
        </w:rPr>
        <w:t>ce</w:t>
      </w:r>
      <w:r w:rsidR="0040785F" w:rsidRPr="00101A2A">
        <w:rPr>
          <w:b w:val="0"/>
          <w:bCs/>
          <w:i w:val="0"/>
          <w:iCs/>
          <w:lang w:val="en-US"/>
        </w:rPr>
        <w:t xml:space="preserve"> as we increase the threshold for coding spanning actors</w:t>
      </w:r>
      <w:r w:rsidR="00AF5281" w:rsidRPr="00101A2A">
        <w:rPr>
          <w:b w:val="0"/>
          <w:bCs/>
          <w:i w:val="0"/>
          <w:iCs/>
          <w:lang w:val="en-US"/>
        </w:rPr>
        <w:t xml:space="preserve"> (</w:t>
      </w:r>
      <w:r w:rsidR="00776357">
        <w:rPr>
          <w:b w:val="0"/>
          <w:bCs/>
          <w:i w:val="0"/>
          <w:iCs/>
          <w:lang w:val="en-US"/>
        </w:rPr>
        <w:t>Table 5</w:t>
      </w:r>
      <w:r w:rsidR="00AF5281" w:rsidRPr="00101A2A">
        <w:rPr>
          <w:b w:val="0"/>
          <w:bCs/>
          <w:i w:val="0"/>
          <w:iCs/>
          <w:lang w:val="en-US"/>
        </w:rPr>
        <w:t>)</w:t>
      </w:r>
      <w:r w:rsidR="0040785F" w:rsidRPr="00101A2A">
        <w:rPr>
          <w:b w:val="0"/>
          <w:bCs/>
          <w:i w:val="0"/>
          <w:iCs/>
          <w:lang w:val="en-US"/>
        </w:rPr>
        <w:t>.</w:t>
      </w:r>
    </w:p>
    <w:p w14:paraId="1D8D5305" w14:textId="76A4BC50" w:rsidR="00776357" w:rsidRPr="00776357" w:rsidRDefault="00776357" w:rsidP="00FA0B1F">
      <w:r w:rsidRPr="00101A2A">
        <w:t xml:space="preserve">========= INSERT TABLE </w:t>
      </w:r>
      <w:r>
        <w:t>5</w:t>
      </w:r>
      <w:r w:rsidRPr="00101A2A">
        <w:t xml:space="preserve"> ABOUT HERE =========</w:t>
      </w:r>
    </w:p>
    <w:p w14:paraId="4F2DB782" w14:textId="6B772CBA" w:rsidR="00042BF6" w:rsidRPr="00101A2A" w:rsidRDefault="00776357" w:rsidP="000A1D86">
      <w:r>
        <w:t>Second</w:t>
      </w:r>
      <w:r w:rsidR="00363E65">
        <w:t>, w</w:t>
      </w:r>
      <w:r w:rsidR="00430CAB" w:rsidRPr="00101A2A">
        <w:t xml:space="preserve">e want to explore </w:t>
      </w:r>
      <w:r w:rsidR="00915BDC">
        <w:t>our findings' sensitivity to the public's announcement</w:t>
      </w:r>
      <w:r w:rsidR="00430CAB" w:rsidRPr="00101A2A">
        <w:t xml:space="preserve"> about the new regulation versus its enforcement.</w:t>
      </w:r>
      <w:r w:rsidR="005574D4" w:rsidRPr="00101A2A">
        <w:t xml:space="preserve"> </w:t>
      </w:r>
      <w:r w:rsidR="00430CAB" w:rsidRPr="00101A2A">
        <w:t xml:space="preserve">To this purpose, we </w:t>
      </w:r>
      <w:r w:rsidR="005574D4" w:rsidRPr="00101A2A">
        <w:t>operationalize</w:t>
      </w:r>
      <w:r w:rsidR="00710456">
        <w:t>d</w:t>
      </w:r>
      <w:r w:rsidR="005574D4" w:rsidRPr="00101A2A">
        <w:t xml:space="preserve"> </w:t>
      </w:r>
      <w:r w:rsidR="00915BDC">
        <w:t xml:space="preserve">the </w:t>
      </w:r>
      <w:r w:rsidR="005574D4" w:rsidRPr="00101A2A">
        <w:t>regulated market</w:t>
      </w:r>
      <w:r w:rsidR="00430CAB" w:rsidRPr="00101A2A">
        <w:t xml:space="preserve"> using </w:t>
      </w:r>
      <w:r w:rsidR="005574D4" w:rsidRPr="00101A2A">
        <w:t xml:space="preserve">data about the first </w:t>
      </w:r>
      <w:r w:rsidR="00430CAB" w:rsidRPr="00101A2A">
        <w:t xml:space="preserve">news about </w:t>
      </w:r>
      <w:r w:rsidR="005574D4" w:rsidRPr="00101A2A">
        <w:t>the regulatory change in the three cities in our sample where the regulation changed</w:t>
      </w:r>
      <w:r w:rsidR="00430CAB" w:rsidRPr="00101A2A">
        <w:t xml:space="preserve"> </w:t>
      </w:r>
      <w:r w:rsidR="006E5E45" w:rsidRPr="00101A2A">
        <w:t>and with</w:t>
      </w:r>
      <w:r w:rsidR="00430CAB" w:rsidRPr="00101A2A">
        <w:t xml:space="preserve"> data about the enforcement of the new regulation</w:t>
      </w:r>
      <w:r w:rsidR="005574D4" w:rsidRPr="00101A2A">
        <w:t xml:space="preserve">. The </w:t>
      </w:r>
      <w:r w:rsidR="004958A1">
        <w:t>first news about</w:t>
      </w:r>
      <w:r w:rsidR="004958A1" w:rsidRPr="00101A2A">
        <w:t xml:space="preserve"> </w:t>
      </w:r>
      <w:r w:rsidR="005574D4" w:rsidRPr="00101A2A">
        <w:t xml:space="preserve">the law </w:t>
      </w:r>
      <w:r w:rsidR="00915BDC">
        <w:t>significantly and negatively moderates</w:t>
      </w:r>
      <w:r w:rsidR="00430CAB" w:rsidRPr="00101A2A">
        <w:t xml:space="preserve"> spanner</w:t>
      </w:r>
      <w:r w:rsidR="006E5E45" w:rsidRPr="00101A2A">
        <w:t>s’ effect</w:t>
      </w:r>
      <w:r w:rsidR="00430CAB" w:rsidRPr="00101A2A">
        <w:t xml:space="preserve"> on real estate prices</w:t>
      </w:r>
      <w:r w:rsidR="005574D4" w:rsidRPr="00101A2A">
        <w:t xml:space="preserve"> (</w:t>
      </w:r>
      <w:r w:rsidR="004C1D66" w:rsidRPr="00101A2A">
        <w:sym w:font="Symbol" w:char="F062"/>
      </w:r>
      <w:r w:rsidR="004C1D66" w:rsidRPr="00101A2A">
        <w:t xml:space="preserve"> = -0.0</w:t>
      </w:r>
      <w:r w:rsidR="00363E65">
        <w:t>1</w:t>
      </w:r>
      <w:r w:rsidR="004C1D66" w:rsidRPr="00101A2A">
        <w:t>3, p &lt; 0.01</w:t>
      </w:r>
      <w:r w:rsidR="00F85D40">
        <w:t>0</w:t>
      </w:r>
      <w:r w:rsidR="004C1D66" w:rsidRPr="00101A2A">
        <w:t xml:space="preserve">, </w:t>
      </w:r>
      <w:r w:rsidR="00E5653D" w:rsidRPr="00101A2A">
        <w:t xml:space="preserve">Model 1 in </w:t>
      </w:r>
      <w:r w:rsidR="004C1D66" w:rsidRPr="00101A2A">
        <w:t>Table A</w:t>
      </w:r>
      <w:r w:rsidR="00873EA5">
        <w:t>7</w:t>
      </w:r>
      <w:r w:rsidR="004C1D66" w:rsidRPr="00101A2A">
        <w:t xml:space="preserve"> in the </w:t>
      </w:r>
      <w:r w:rsidR="00710456">
        <w:t>A</w:t>
      </w:r>
      <w:r w:rsidR="004C1D66" w:rsidRPr="00101A2A">
        <w:t>ppendix)</w:t>
      </w:r>
      <w:r w:rsidR="005574D4" w:rsidRPr="00101A2A">
        <w:t xml:space="preserve">. </w:t>
      </w:r>
      <w:r w:rsidR="00430CAB" w:rsidRPr="00101A2A">
        <w:t>Furthermore</w:t>
      </w:r>
      <w:r w:rsidR="005574D4" w:rsidRPr="00101A2A">
        <w:t>,</w:t>
      </w:r>
      <w:r w:rsidR="006E5E45" w:rsidRPr="00101A2A">
        <w:t xml:space="preserve"> the </w:t>
      </w:r>
      <w:r w:rsidR="00915BDC">
        <w:t>impact</w:t>
      </w:r>
      <w:r w:rsidR="006E5E45" w:rsidRPr="00101A2A">
        <w:t xml:space="preserve"> of law enforcement is also negative</w:t>
      </w:r>
      <w:r w:rsidR="004958A1">
        <w:t xml:space="preserve"> and significant</w:t>
      </w:r>
      <w:r w:rsidR="006E5E45" w:rsidRPr="00101A2A">
        <w:t xml:space="preserve"> but weaker (</w:t>
      </w:r>
      <w:r w:rsidR="004C1D66" w:rsidRPr="00101A2A">
        <w:sym w:font="Symbol" w:char="F062"/>
      </w:r>
      <w:r w:rsidR="004C1D66" w:rsidRPr="00101A2A">
        <w:t xml:space="preserve"> = -0.00</w:t>
      </w:r>
      <w:r w:rsidR="00363E65">
        <w:t>5</w:t>
      </w:r>
      <w:r w:rsidR="004C1D66" w:rsidRPr="00101A2A">
        <w:t>, p &lt; 0.</w:t>
      </w:r>
      <w:r w:rsidR="00F85D40">
        <w:t>0</w:t>
      </w:r>
      <w:r w:rsidR="004C1D66" w:rsidRPr="00101A2A">
        <w:t>1</w:t>
      </w:r>
      <w:r w:rsidR="00F85D40">
        <w:t>0</w:t>
      </w:r>
      <w:r w:rsidR="004C1D66" w:rsidRPr="00101A2A">
        <w:t xml:space="preserve">, </w:t>
      </w:r>
      <w:r w:rsidR="00E5653D" w:rsidRPr="00101A2A">
        <w:t xml:space="preserve">Model 2 in </w:t>
      </w:r>
      <w:r w:rsidR="004C1D66" w:rsidRPr="00101A2A">
        <w:t>Table A</w:t>
      </w:r>
      <w:r w:rsidR="00873EA5">
        <w:t>7</w:t>
      </w:r>
      <w:r w:rsidR="004C1D66" w:rsidRPr="00101A2A">
        <w:t xml:space="preserve"> in the </w:t>
      </w:r>
      <w:r w:rsidR="00DE0799">
        <w:t>A</w:t>
      </w:r>
      <w:r w:rsidR="004C1D66" w:rsidRPr="00101A2A">
        <w:t>ppendix</w:t>
      </w:r>
      <w:r w:rsidR="006E5E45" w:rsidRPr="00101A2A">
        <w:t>)</w:t>
      </w:r>
      <w:r w:rsidR="000A1D86" w:rsidRPr="00101A2A">
        <w:t>.</w:t>
      </w:r>
      <w:r w:rsidR="005574D4" w:rsidRPr="00101A2A">
        <w:t xml:space="preserve"> </w:t>
      </w:r>
      <w:r w:rsidR="006E5E45" w:rsidRPr="00101A2A">
        <w:t xml:space="preserve">Therefore, </w:t>
      </w:r>
      <w:r w:rsidR="00430CAB" w:rsidRPr="00101A2A">
        <w:t xml:space="preserve">it appears </w:t>
      </w:r>
      <w:r w:rsidR="005574D4" w:rsidRPr="00101A2A">
        <w:t xml:space="preserve">that the </w:t>
      </w:r>
      <w:r w:rsidR="004958A1">
        <w:t>first news about</w:t>
      </w:r>
      <w:r w:rsidR="004958A1" w:rsidRPr="00101A2A">
        <w:t xml:space="preserve"> </w:t>
      </w:r>
      <w:r w:rsidR="005574D4" w:rsidRPr="00101A2A">
        <w:t>the new regulation</w:t>
      </w:r>
      <w:r w:rsidR="000A1D86" w:rsidRPr="00101A2A">
        <w:t xml:space="preserve"> </w:t>
      </w:r>
      <w:r w:rsidR="007B7360" w:rsidRPr="00101A2A">
        <w:t xml:space="preserve">has a </w:t>
      </w:r>
      <w:r w:rsidR="00915BDC">
        <w:t>more substantial</w:t>
      </w:r>
      <w:r w:rsidR="007B7360" w:rsidRPr="00101A2A">
        <w:t xml:space="preserve"> effect</w:t>
      </w:r>
      <w:r w:rsidR="007B7360" w:rsidRPr="00101A2A" w:rsidDel="007B7360">
        <w:t xml:space="preserve"> </w:t>
      </w:r>
      <w:r w:rsidR="007B7360" w:rsidRPr="00101A2A">
        <w:t>tha</w:t>
      </w:r>
      <w:r w:rsidR="008D0DC9" w:rsidRPr="00101A2A">
        <w:t>n</w:t>
      </w:r>
      <w:r w:rsidR="007B7360" w:rsidRPr="00101A2A">
        <w:t xml:space="preserve"> </w:t>
      </w:r>
      <w:r w:rsidR="000A1D86" w:rsidRPr="00101A2A">
        <w:t xml:space="preserve">the </w:t>
      </w:r>
      <w:r w:rsidR="008D0DC9" w:rsidRPr="00101A2A">
        <w:t>enforcement</w:t>
      </w:r>
      <w:r w:rsidR="000A1D86" w:rsidRPr="00101A2A">
        <w:t xml:space="preserve"> of the new regulation</w:t>
      </w:r>
      <w:r w:rsidR="007B7360" w:rsidRPr="00101A2A">
        <w:t xml:space="preserve"> </w:t>
      </w:r>
      <w:r w:rsidR="00E5653D" w:rsidRPr="00101A2A">
        <w:t>in</w:t>
      </w:r>
      <w:r w:rsidR="005574D4" w:rsidRPr="00101A2A">
        <w:t xml:space="preserve"> moderating the </w:t>
      </w:r>
      <w:r w:rsidR="00915BDC">
        <w:t>impact</w:t>
      </w:r>
      <w:r w:rsidR="005574D4" w:rsidRPr="00101A2A">
        <w:t xml:space="preserve"> of spanner</w:t>
      </w:r>
      <w:r w:rsidR="004958A1">
        <w:t>s</w:t>
      </w:r>
      <w:r w:rsidR="005574D4" w:rsidRPr="00101A2A">
        <w:t xml:space="preserve"> on </w:t>
      </w:r>
      <w:r w:rsidR="00430CAB" w:rsidRPr="00101A2A">
        <w:t>real estate</w:t>
      </w:r>
      <w:r w:rsidR="005574D4" w:rsidRPr="00101A2A">
        <w:t xml:space="preserve"> prices.</w:t>
      </w:r>
    </w:p>
    <w:p w14:paraId="2BD5EA7B" w14:textId="5A57F49E" w:rsidR="00B211FA" w:rsidRPr="00101A2A" w:rsidRDefault="00F74DE0" w:rsidP="00F26AE7">
      <w:pPr>
        <w:pStyle w:val="Heading1"/>
        <w:rPr>
          <w:lang w:val="en-US"/>
        </w:rPr>
      </w:pPr>
      <w:r w:rsidRPr="00101A2A">
        <w:rPr>
          <w:lang w:val="en-US"/>
        </w:rPr>
        <w:t>Discussion</w:t>
      </w:r>
      <w:r w:rsidR="004F02DD" w:rsidRPr="00101A2A">
        <w:rPr>
          <w:lang w:val="en-US"/>
        </w:rPr>
        <w:t xml:space="preserve"> of explanations</w:t>
      </w:r>
    </w:p>
    <w:p w14:paraId="5EEB7710" w14:textId="01464E6C" w:rsidR="00E4112D" w:rsidRDefault="00915BDC" w:rsidP="00074350">
      <w:r>
        <w:t>We first summarize our key findings to orient the discussion of our discovery and the mechanisms at play</w:t>
      </w:r>
      <w:r w:rsidR="00074350" w:rsidRPr="00101A2A">
        <w:t xml:space="preserve">. </w:t>
      </w:r>
      <w:r w:rsidR="00F74DE0" w:rsidRPr="00101A2A">
        <w:t>This study</w:t>
      </w:r>
      <w:r w:rsidR="00F4247F" w:rsidRPr="00101A2A">
        <w:t xml:space="preserve"> </w:t>
      </w:r>
      <w:r w:rsidR="00D61C8E" w:rsidRPr="00101A2A">
        <w:t xml:space="preserve">offers an exploratory description of </w:t>
      </w:r>
      <w:r w:rsidR="00A11DFD" w:rsidRPr="00101A2A">
        <w:t xml:space="preserve">a </w:t>
      </w:r>
      <w:r w:rsidR="00D61C8E" w:rsidRPr="00101A2A">
        <w:t xml:space="preserve">phenomenon </w:t>
      </w:r>
      <w:r w:rsidR="00A11DFD" w:rsidRPr="00101A2A">
        <w:t>with</w:t>
      </w:r>
      <w:r w:rsidR="00D61C8E" w:rsidRPr="00101A2A">
        <w:t xml:space="preserve"> </w:t>
      </w:r>
      <w:r w:rsidR="00A11DFD" w:rsidRPr="00101A2A">
        <w:t>“</w:t>
      </w:r>
      <w:r w:rsidR="00D61C8E" w:rsidRPr="00101A2A">
        <w:t xml:space="preserve">indisputably important and impactful” </w:t>
      </w:r>
      <w:r w:rsidR="00A11DFD" w:rsidRPr="003749C2">
        <w:t>practical consequences</w:t>
      </w:r>
      <w:r w:rsidR="003749C2" w:rsidRPr="003749C2">
        <w:t xml:space="preserve"> </w:t>
      </w:r>
      <w:r w:rsidR="003749C2" w:rsidRPr="003749C2">
        <w:fldChar w:fldCharType="begin" w:fldLock="1"/>
      </w:r>
      <w:r w:rsidR="00920500">
        <w:instrText>ADDIN CSL_CITATION {"citationItems":[{"id":"ITEM-1","itemData":{"DOI":"10.5465/amd.2015.0060","abstract":"For most management scholars, the term \"in-duction\" is nearly antithetical with quantitative research. Social scientists learn early on in their career that in contrast to qualitative research, which by nature is \"inductive and interpretive,\" quantitative research is grounded upon a \"hypothetical-deductive model\" driven by the testing of general a priori propositions (Gephart, 2004: 455). But might there not be some middle ground? In this FTE, we argue that the application of quantitative approaches to describe and examine organizational problems, anomalies, and management-related phenomena lying beneath the radar may serve as a critical means of laying the groundwork for theory generation. This is not a new idea. Indeed, in arguing our position below, we highlight well-known studies that used numbers rather than words to call attention to anomalies requiring new theoretical formulations, providing empirically driven insights to guide theoretical development along the way. Moreover, we also highlight some of the unique demands made of researchers when using quantitative data and methods in the interests of discovery such as the collection of data from unconventional contexts and the use of an-alytics specifically designed to uncover atypical and unexpected patterns. Specifically, quantitative data collection and analyses in AMD articles are undertaken for the purpose of revealing, describing, and diagnosing interesting phenomena that are poorly understood, as distinct from purposes in other journals of testing hypotheses or filling gaps in established research areas. After defining the nature and purpose of quantitative discovery in management, we highlight how it has been used in the past, and then conclude with several suggestions as to how scholars can more effectively capture, demonstrate, and ultimately diffuse their quantitatively driven discoveries.","author":[{"dropping-particle":"","family":"Bamberger","given":"Peter","non-dropping-particle":"","parse-names":false,"suffix":""},{"dropping-particle":"","family":"Ang","given":"Soon","non-dropping-particle":"","parse-names":false,"suffix":""}],"container-title":"Academy of Management Discoveries","id":"ITEM-1","issue":"1","issued":{"date-parts":[["2016"]]},"page":"1-6","title":"The Quantitative Discovery: What is it and How to Get it Published","type":"article-journal","volume":"2"},"uris":["http://www.mendeley.com/documents/?uuid=afbb68eb-016b-49c1-a6ff-706ebf552556"]}],"mendeley":{"formattedCitation":"(Bamberger &amp; Ang, 2016)","manualFormatting":"(Bamberger &amp; Ang, 2016, p. 1)","plainTextFormattedCitation":"(Bamberger &amp; Ang, 2016)","previouslyFormattedCitation":"(Bamberger &amp; Ang, 2016)"},"properties":{"noteIndex":0},"schema":"https://github.com/citation-style-language/schema/raw/master/csl-citation.json"}</w:instrText>
      </w:r>
      <w:r w:rsidR="003749C2" w:rsidRPr="003749C2">
        <w:fldChar w:fldCharType="separate"/>
      </w:r>
      <w:r w:rsidR="003749C2" w:rsidRPr="003749C2">
        <w:rPr>
          <w:noProof/>
        </w:rPr>
        <w:t>(Bamberger &amp; Ang, 2016, p. 1)</w:t>
      </w:r>
      <w:r w:rsidR="003749C2" w:rsidRPr="003749C2">
        <w:fldChar w:fldCharType="end"/>
      </w:r>
      <w:r w:rsidR="003749C2" w:rsidRPr="003749C2">
        <w:t xml:space="preserve"> </w:t>
      </w:r>
      <w:r w:rsidR="0026298E" w:rsidRPr="003749C2">
        <w:t xml:space="preserve">and </w:t>
      </w:r>
      <w:r w:rsidR="00D46C6A" w:rsidRPr="003749C2">
        <w:t xml:space="preserve">an </w:t>
      </w:r>
      <w:r w:rsidR="0026298E" w:rsidRPr="003749C2">
        <w:t>examination of “the total costs and ben</w:t>
      </w:r>
      <w:r w:rsidR="0026298E" w:rsidRPr="00101A2A">
        <w:t>efits of platform businesses to users and society”</w:t>
      </w:r>
      <w:r w:rsidR="00CF2E30" w:rsidRPr="00101A2A">
        <w:t xml:space="preserve"> </w:t>
      </w:r>
      <w:r w:rsidR="00CF2E30" w:rsidRPr="00101A2A">
        <w:fldChar w:fldCharType="begin" w:fldLock="1"/>
      </w:r>
      <w:r w:rsidR="003749C2">
        <w:instrText>ADDIN CSL_CITATION {"citationItems":[{"id":"ITEM-1","itemData":{"DOI":"10.5465/amd.2020.0091","abstract":"Industry platforms have become an increasingly popular topic. Scholars in fields ranging from economics and strategy to operations management, marketing, law, and computer science all are contributing to the growing body of research. Several previously separate streams in the strategy field seem to be converging around platform dynamics, business models, and ecosystems. The topic also has attracted considerable attention in the media at least in part because the most valuable companies and the first trillion-dollar businesses are built around industry platforms-Apple, Microsoft, Alphabet-Google, Amazon, Facebook, Tencent, and Alibaba. At the same time, dominant platforms have come under increasing scrutiny for their accumulation of market power as well as abuses or misuses of that power. What specifically are platform businesses and how did they become a focus of such broad and intense inquiry? What gaps remain in the research? These questions are the subject of this essay. Abstract Industry platforms have become an increasingly popular topic. Scholars in fields ranging from","author":[{"dropping-particle":"","family":"Cusumano","given":"Michael A.","non-dropping-particle":"","parse-names":false,"suffix":""}],"container-title":"Academy of Management Discoveries","id":"ITEM-1","issue":"1","issued":{"date-parts":[["2022"]]},"page":"7-14","title":"The Evolution of Research on Industry Platforms","type":"article-journal","volume":"8"},"uris":["http://www.mendeley.com/documents/?uuid=09288599-434b-483f-b8e6-d623e7a313d2"]}],"mendeley":{"formattedCitation":"(Cusumano, 2022)","manualFormatting":"(Cusumano, 2022: 12)","plainTextFormattedCitation":"(Cusumano, 2022)","previouslyFormattedCitation":"(Cusumano, 2022)"},"properties":{"noteIndex":0},"schema":"https://github.com/citation-style-language/schema/raw/master/csl-citation.json"}</w:instrText>
      </w:r>
      <w:r w:rsidR="00CF2E30" w:rsidRPr="00101A2A">
        <w:fldChar w:fldCharType="separate"/>
      </w:r>
      <w:r w:rsidR="00CF2E30" w:rsidRPr="00101A2A">
        <w:rPr>
          <w:noProof/>
        </w:rPr>
        <w:t>(Cusumano</w:t>
      </w:r>
      <w:r w:rsidR="0049328D" w:rsidRPr="00101A2A">
        <w:rPr>
          <w:noProof/>
        </w:rPr>
        <w:t>,</w:t>
      </w:r>
      <w:r w:rsidR="00CF2E30" w:rsidRPr="00101A2A">
        <w:rPr>
          <w:noProof/>
        </w:rPr>
        <w:t xml:space="preserve"> 2022</w:t>
      </w:r>
      <w:r w:rsidR="00015364" w:rsidRPr="00101A2A">
        <w:rPr>
          <w:noProof/>
        </w:rPr>
        <w:t>:</w:t>
      </w:r>
      <w:r w:rsidR="00CF2E30" w:rsidRPr="00101A2A">
        <w:rPr>
          <w:noProof/>
        </w:rPr>
        <w:t xml:space="preserve"> 12)</w:t>
      </w:r>
      <w:r w:rsidR="00CF2E30" w:rsidRPr="00101A2A">
        <w:fldChar w:fldCharType="end"/>
      </w:r>
      <w:r w:rsidR="00D61C8E" w:rsidRPr="00101A2A">
        <w:t xml:space="preserve">. By doing so, it </w:t>
      </w:r>
      <w:r w:rsidR="00556B9E" w:rsidRPr="00101A2A">
        <w:t xml:space="preserve">enriches </w:t>
      </w:r>
      <w:r w:rsidR="000C22DC" w:rsidRPr="00101A2A">
        <w:t>our</w:t>
      </w:r>
      <w:r w:rsidR="00F4247F" w:rsidRPr="00101A2A">
        <w:t xml:space="preserve"> </w:t>
      </w:r>
      <w:r w:rsidR="000C22DC" w:rsidRPr="00101A2A">
        <w:t xml:space="preserve">understanding of </w:t>
      </w:r>
      <w:r w:rsidR="00F4247F" w:rsidRPr="00101A2A">
        <w:t xml:space="preserve">the effect of </w:t>
      </w:r>
      <w:r w:rsidR="00545D01" w:rsidRPr="00101A2A">
        <w:t>digital technologies</w:t>
      </w:r>
      <w:r w:rsidR="00B03EE7" w:rsidRPr="00101A2A">
        <w:t xml:space="preserve">, which allow the organization of economic activities in new ways </w:t>
      </w:r>
      <w:r w:rsidR="00545D01" w:rsidRPr="00101A2A">
        <w:t xml:space="preserve">like the </w:t>
      </w:r>
      <w:r w:rsidR="00930E29" w:rsidRPr="00101A2A">
        <w:t>SE</w:t>
      </w:r>
      <w:r w:rsidR="00545D01" w:rsidRPr="00101A2A">
        <w:t>,</w:t>
      </w:r>
      <w:r w:rsidR="00F4247F" w:rsidRPr="00101A2A">
        <w:t xml:space="preserve"> on </w:t>
      </w:r>
      <w:r w:rsidR="00336090" w:rsidRPr="00101A2A">
        <w:t>firms and industry</w:t>
      </w:r>
      <w:r w:rsidR="00F4247F" w:rsidRPr="00101A2A">
        <w:t xml:space="preserve"> dynamics</w:t>
      </w:r>
      <w:r w:rsidR="00545D01" w:rsidRPr="00101A2A">
        <w:t xml:space="preserve"> </w:t>
      </w:r>
      <w:r w:rsidR="00545D01" w:rsidRPr="00101A2A">
        <w:fldChar w:fldCharType="begin" w:fldLock="1"/>
      </w:r>
      <w:r w:rsidR="00920500">
        <w:instrText>ADDIN CSL_CITATION {"citationItems":[{"id":"ITEM-1","itemData":{"author":[{"dropping-particle":"","family":"Ameri","given":"Mason","non-dropping-particle":"","parse-names":false,"suffix":""},{"dropping-particle":"","family":"Rogers","given":"Sean","non-dropping-particle":"","parse-names":false,"suffix":""},{"dropping-particle":"","family":"Schur","given":"Lisa","non-dropping-particle":"","parse-names":false,"suffix":""},{"dropping-particle":"","family":"Kruse","given":"Douglas","non-dropping-particle":"","parse-names":false,"suffix":""}],"container-title":"Academy of Management Discoveries","id":"ITEM-1","issued":{"date-parts":[["2017"]]},"note":"surprisingly short discussion. More a summary than anything else.\n\ncite for:\ndiscrimination in Airbnb","title":"No room at the inn? Disability access in the new sharing economy","type":"article-journal"},"uris":["http://www.mendeley.com/documents/?uuid=35f397ec-2650-4d76-9cf9-5d56518fd12d"]},{"id":"ITEM-2","itemData":{"DOI":"10.5465/amd.2016.0153","author":[{"dropping-particle":"","family":"Uzunca","given":"Bilgehan","non-dropping-particle":"","parse-names":false,"suffix":""},{"dropping-particle":"","family":"Rigtering","given":"J.P. Coen","non-dropping-particle":"","parse-names":false,"suffix":""},{"dropping-particle":"","family":"Ozcan","given":"Pinar","non-dropping-particle":"","parse-names":false,"suffix":""}],"container-title":"Academy of Management Discoveries","id":"ITEM-2","issue":"3","issued":{"date-parts":[["2018"]]},"note":"Discussion is called &amp;quot;theoretical contributions&amp;quot;. It may be because it is a qualitative satudy. Anyway, long discussion, that discusses controibutions to open questions of the beginning.\n\ncite for:\nstudy on airbnb and its institutional environment","page":"248-272","title":"Sharing and Shaping: A cross-country comparison of how sharing economy firms shape their institutional environment to gain legitimacy","type":"article-journal","volume":"4"},"uris":["http://www.mendeley.com/documents/?uuid=7e7040b2-d2c2-4e17-99bb-e2620b7be82a"]},{"id":"ITEM-3","itemData":{"author":[{"dropping-particle":"","family":"Barley","given":"Stephen R","non-dropping-particle":"","parse-names":false,"suffix":""}],"container-title":"Academy of Management Discoveries","id":"ITEM-3","issue":"1","issued":{"date-parts":[["2015"]]},"note":"long discussion. Half of it is a summary, other half is research reccomendations\n\ncite: \ninternet changes the way we interact\ncustomers come to interaction armed with more informations","page":"31-60","title":"Why the internet makes buying a car less loathsome: How technologies change role relations","type":"article-journal","volume":"1"},"uris":["http://www.mendeley.com/documents/?uuid=b59c3118-9ff4-4cf2-afa3-8a448b388063"]}],"mendeley":{"formattedCitation":"(Ameri, Rogers, Schur, &amp; Kruse, 2017; Barley, 2015; Uzunca et al., 2018)","manualFormatting":"(Ameri et al., 2017; Barley, 2015; Uzunca et al., 2018)","plainTextFormattedCitation":"(Ameri, Rogers, Schur, &amp; Kruse, 2017; Barley, 2015; Uzunca et al., 2018)","previouslyFormattedCitation":"(Ameri, Rogers, Schur, &amp; Kruse, 2017; Barley, 2015; Uzunca et al., 2018)"},"properties":{"noteIndex":0},"schema":"https://github.com/citation-style-language/schema/raw/master/csl-citation.json"}</w:instrText>
      </w:r>
      <w:r w:rsidR="00545D01" w:rsidRPr="00101A2A">
        <w:fldChar w:fldCharType="separate"/>
      </w:r>
      <w:r w:rsidR="00D945B4" w:rsidRPr="00101A2A">
        <w:rPr>
          <w:noProof/>
        </w:rPr>
        <w:t>(Ameri et al.</w:t>
      </w:r>
      <w:r w:rsidR="0049328D" w:rsidRPr="00101A2A">
        <w:rPr>
          <w:noProof/>
        </w:rPr>
        <w:t>,</w:t>
      </w:r>
      <w:r w:rsidR="00D945B4" w:rsidRPr="00101A2A">
        <w:rPr>
          <w:noProof/>
        </w:rPr>
        <w:t xml:space="preserve"> 2017</w:t>
      </w:r>
      <w:r w:rsidR="0049328D" w:rsidRPr="00101A2A">
        <w:rPr>
          <w:noProof/>
        </w:rPr>
        <w:t>;</w:t>
      </w:r>
      <w:r w:rsidR="00D945B4" w:rsidRPr="00101A2A">
        <w:rPr>
          <w:noProof/>
        </w:rPr>
        <w:t xml:space="preserve"> Barley</w:t>
      </w:r>
      <w:r w:rsidR="0049328D" w:rsidRPr="00101A2A">
        <w:rPr>
          <w:noProof/>
        </w:rPr>
        <w:t>,</w:t>
      </w:r>
      <w:r w:rsidR="00D945B4" w:rsidRPr="00101A2A">
        <w:rPr>
          <w:noProof/>
        </w:rPr>
        <w:t xml:space="preserve"> 2015</w:t>
      </w:r>
      <w:r w:rsidR="0049328D" w:rsidRPr="00101A2A">
        <w:rPr>
          <w:noProof/>
        </w:rPr>
        <w:t>;</w:t>
      </w:r>
      <w:r w:rsidR="00D945B4" w:rsidRPr="00101A2A">
        <w:rPr>
          <w:noProof/>
        </w:rPr>
        <w:t xml:space="preserve"> Uzunca et al.</w:t>
      </w:r>
      <w:r w:rsidR="0049328D" w:rsidRPr="00101A2A">
        <w:rPr>
          <w:noProof/>
        </w:rPr>
        <w:t>,</w:t>
      </w:r>
      <w:r w:rsidR="00D945B4" w:rsidRPr="00101A2A">
        <w:rPr>
          <w:noProof/>
        </w:rPr>
        <w:t xml:space="preserve"> 2018)</w:t>
      </w:r>
      <w:r w:rsidR="00545D01" w:rsidRPr="00101A2A">
        <w:fldChar w:fldCharType="end"/>
      </w:r>
      <w:r w:rsidR="00F4247F" w:rsidRPr="00101A2A">
        <w:t xml:space="preserve">. </w:t>
      </w:r>
    </w:p>
    <w:p w14:paraId="416EF412" w14:textId="32F97949" w:rsidR="008348BE" w:rsidRPr="00101A2A" w:rsidRDefault="00F4247F" w:rsidP="00074350">
      <w:r w:rsidRPr="00101A2A">
        <w:lastRenderedPageBreak/>
        <w:t>Specifically</w:t>
      </w:r>
      <w:r w:rsidR="000C22DC" w:rsidRPr="00101A2A">
        <w:t xml:space="preserve">, </w:t>
      </w:r>
      <w:r w:rsidR="00C14213" w:rsidRPr="00101A2A">
        <w:t>this study</w:t>
      </w:r>
      <w:r w:rsidR="000C22DC" w:rsidRPr="00101A2A">
        <w:t xml:space="preserve"> investigates </w:t>
      </w:r>
      <w:r w:rsidR="00A15545" w:rsidRPr="00101A2A">
        <w:t xml:space="preserve">the </w:t>
      </w:r>
      <w:r w:rsidR="00F256DD" w:rsidRPr="00101A2A">
        <w:t xml:space="preserve">controversial </w:t>
      </w:r>
      <w:r w:rsidR="00A15545" w:rsidRPr="00101A2A">
        <w:t xml:space="preserve">impact of </w:t>
      </w:r>
      <w:r w:rsidR="000C22DC" w:rsidRPr="00101A2A">
        <w:t xml:space="preserve">Airbnb on real estate prices </w:t>
      </w:r>
      <w:r w:rsidR="00015364" w:rsidRPr="00101A2A">
        <w:t>while</w:t>
      </w:r>
      <w:r w:rsidR="000C22DC" w:rsidRPr="00101A2A">
        <w:t xml:space="preserve"> accounting for the </w:t>
      </w:r>
      <w:r w:rsidR="00F256DD" w:rsidRPr="00101A2A">
        <w:t xml:space="preserve">differing </w:t>
      </w:r>
      <w:r w:rsidR="000C22DC" w:rsidRPr="00101A2A">
        <w:t>effect</w:t>
      </w:r>
      <w:r w:rsidR="00F256DD" w:rsidRPr="00101A2A">
        <w:t>s</w:t>
      </w:r>
      <w:r w:rsidR="000C22DC" w:rsidRPr="00101A2A">
        <w:t xml:space="preserve"> of </w:t>
      </w:r>
      <w:r w:rsidR="00F256DD" w:rsidRPr="00101A2A">
        <w:t>single-listing hosts and firms spanning the long-term</w:t>
      </w:r>
      <w:r w:rsidR="00CA1119">
        <w:t xml:space="preserve"> </w:t>
      </w:r>
      <w:r w:rsidR="00F256DD" w:rsidRPr="00101A2A">
        <w:t>rental industry on</w:t>
      </w:r>
      <w:r w:rsidR="0049328D" w:rsidRPr="00101A2A">
        <w:t xml:space="preserve"> </w:t>
      </w:r>
      <w:r w:rsidR="005547C4" w:rsidRPr="00101A2A">
        <w:t>consumers and regulators</w:t>
      </w:r>
      <w:r w:rsidR="00534589" w:rsidRPr="00101A2A">
        <w:t>.</w:t>
      </w:r>
      <w:r w:rsidR="00A56F7A" w:rsidRPr="00101A2A">
        <w:t xml:space="preserve"> Our </w:t>
      </w:r>
      <w:r w:rsidR="00381B5D" w:rsidRPr="00101A2A">
        <w:t>findings</w:t>
      </w:r>
      <w:r w:rsidR="00A56F7A" w:rsidRPr="00101A2A">
        <w:t xml:space="preserve"> show that the impact of spanners on real estate prices diminish</w:t>
      </w:r>
      <w:r w:rsidR="00381B5D" w:rsidRPr="00101A2A">
        <w:t>es</w:t>
      </w:r>
      <w:r w:rsidR="00A56F7A" w:rsidRPr="00101A2A">
        <w:t xml:space="preserve"> with the increase in consumer awareness of the atypicality </w:t>
      </w:r>
      <w:r w:rsidR="000A115C" w:rsidRPr="00101A2A">
        <w:t>o</w:t>
      </w:r>
      <w:r w:rsidR="00A56F7A" w:rsidRPr="00101A2A">
        <w:t xml:space="preserve">f the </w:t>
      </w:r>
      <w:r w:rsidR="004C0751">
        <w:t>spanner host</w:t>
      </w:r>
      <w:r w:rsidR="008D3D3C">
        <w:t>s</w:t>
      </w:r>
      <w:r w:rsidR="00381B5D" w:rsidRPr="00101A2A">
        <w:t>.</w:t>
      </w:r>
      <w:r w:rsidR="000A115C" w:rsidRPr="00101A2A">
        <w:t xml:space="preserve"> Another important finding of this study </w:t>
      </w:r>
      <w:r w:rsidR="00E4112D">
        <w:t>is</w:t>
      </w:r>
      <w:r w:rsidR="00E4112D" w:rsidRPr="00101A2A">
        <w:t xml:space="preserve"> </w:t>
      </w:r>
      <w:r w:rsidR="000A115C" w:rsidRPr="00101A2A">
        <w:t xml:space="preserve">that regulations describing the </w:t>
      </w:r>
      <w:r w:rsidR="004C0751">
        <w:t xml:space="preserve">spanner </w:t>
      </w:r>
      <w:r w:rsidR="00282EA4">
        <w:t>host</w:t>
      </w:r>
      <w:r w:rsidR="000A115C" w:rsidRPr="00101A2A">
        <w:t xml:space="preserve"> as atypical </w:t>
      </w:r>
      <w:r w:rsidR="00915BDC">
        <w:t>decrease</w:t>
      </w:r>
      <w:r w:rsidR="000A115C" w:rsidRPr="00101A2A">
        <w:t xml:space="preserve"> spanners’ effect on real estate prices. </w:t>
      </w:r>
      <w:r w:rsidR="008D3D3C">
        <w:t>T</w:t>
      </w:r>
      <w:r w:rsidR="008D3D3C" w:rsidRPr="00101A2A">
        <w:t>h</w:t>
      </w:r>
      <w:r w:rsidR="008D3D3C">
        <w:t>ese</w:t>
      </w:r>
      <w:r w:rsidR="008D3D3C" w:rsidRPr="00101A2A">
        <w:t xml:space="preserve"> finding</w:t>
      </w:r>
      <w:r w:rsidR="008D3D3C">
        <w:t>s</w:t>
      </w:r>
      <w:r w:rsidR="008D3D3C" w:rsidRPr="00101A2A">
        <w:t xml:space="preserve"> about the consequentiality of </w:t>
      </w:r>
      <w:r w:rsidR="00915BDC">
        <w:t>Spanner</w:t>
      </w:r>
      <w:r w:rsidR="004C0751">
        <w:t xml:space="preserve"> host</w:t>
      </w:r>
      <w:r w:rsidR="008D3D3C" w:rsidRPr="00101A2A">
        <w:t xml:space="preserve">s –especially </w:t>
      </w:r>
      <w:r w:rsidR="00915BDC">
        <w:t>considering</w:t>
      </w:r>
      <w:r w:rsidR="008D3D3C" w:rsidRPr="00101A2A">
        <w:t xml:space="preserve"> the introduction of new regulations and changing consumers’ awareness –</w:t>
      </w:r>
      <w:r w:rsidR="008D3D3C">
        <w:t>are</w:t>
      </w:r>
      <w:r w:rsidR="008D3D3C" w:rsidRPr="00101A2A">
        <w:t xml:space="preserve"> interesting, given that </w:t>
      </w:r>
      <w:r w:rsidR="00915BDC">
        <w:t>Spanner</w:t>
      </w:r>
      <w:r w:rsidR="004C0751">
        <w:t xml:space="preserve"> host</w:t>
      </w:r>
      <w:r w:rsidR="008D3D3C" w:rsidRPr="00101A2A">
        <w:t>s represent a minority of hosts on the platform</w:t>
      </w:r>
      <w:r w:rsidR="00EC42B1">
        <w:t xml:space="preserve"> and </w:t>
      </w:r>
      <w:r w:rsidR="008D3D3C" w:rsidRPr="00101A2A">
        <w:t xml:space="preserve">do not represent the typical host described and promoted by Airbnb. </w:t>
      </w:r>
      <w:r w:rsidR="00074350" w:rsidRPr="00101A2A">
        <w:t xml:space="preserve">Given these findings, we </w:t>
      </w:r>
      <w:r w:rsidR="006101C1">
        <w:t>next discuss</w:t>
      </w:r>
      <w:r w:rsidR="00074350" w:rsidRPr="00101A2A">
        <w:t xml:space="preserve"> </w:t>
      </w:r>
      <w:r w:rsidR="00915BDC">
        <w:t>our study's possible theoretical, managerial, and policy implications</w:t>
      </w:r>
      <w:r w:rsidR="00074350" w:rsidRPr="00101A2A">
        <w:t>.</w:t>
      </w:r>
    </w:p>
    <w:p w14:paraId="35F920FB" w14:textId="36E191E3" w:rsidR="00074350" w:rsidRPr="00101A2A" w:rsidRDefault="00074350" w:rsidP="001D04B8">
      <w:pPr>
        <w:pStyle w:val="Heading2"/>
      </w:pPr>
      <w:r w:rsidRPr="00101A2A">
        <w:t>Implications for research on platforms</w:t>
      </w:r>
    </w:p>
    <w:p w14:paraId="2A4814F1" w14:textId="7779144E" w:rsidR="005C5FFD" w:rsidRPr="00101A2A" w:rsidRDefault="005763AB" w:rsidP="001D04B8">
      <w:pPr>
        <w:pStyle w:val="Heading3"/>
      </w:pPr>
      <w:r w:rsidRPr="00101A2A">
        <w:rPr>
          <w:lang w:val="en-US"/>
        </w:rPr>
        <w:t xml:space="preserve">Expanding </w:t>
      </w:r>
      <w:r w:rsidR="00CA1119" w:rsidRPr="00101A2A">
        <w:rPr>
          <w:lang w:val="en-US"/>
        </w:rPr>
        <w:t>demand</w:t>
      </w:r>
      <w:r w:rsidR="00CA1119">
        <w:rPr>
          <w:lang w:val="en-US"/>
        </w:rPr>
        <w:t>-</w:t>
      </w:r>
      <w:r w:rsidR="005C5FFD" w:rsidRPr="00101A2A">
        <w:rPr>
          <w:lang w:val="en-US"/>
        </w:rPr>
        <w:t>side explanations</w:t>
      </w:r>
    </w:p>
    <w:p w14:paraId="7959E43D" w14:textId="552CE71E" w:rsidR="005C5FFD" w:rsidRPr="00101A2A" w:rsidRDefault="005C5FFD" w:rsidP="005C5FFD">
      <w:r w:rsidRPr="00101A2A">
        <w:t xml:space="preserve">Our discovery calls for a more nuanced and broader understanding of the dynamics and actors involved in </w:t>
      </w:r>
      <w:r w:rsidR="00915BDC">
        <w:t>increasing</w:t>
      </w:r>
      <w:r w:rsidRPr="00101A2A">
        <w:t xml:space="preserve"> real estate prices upon the advent of Airbnb. Prior research on platforms explained the increase in real estate prices attributable to Airbnb </w:t>
      </w:r>
      <w:r w:rsidR="00915BDC">
        <w:t>and other SE marketplaces</w:t>
      </w:r>
      <w:r w:rsidR="00EC42B1">
        <w:t>,</w:t>
      </w:r>
      <w:r w:rsidR="00915BDC">
        <w:t xml:space="preserve"> such as VRBO</w:t>
      </w:r>
      <w:r w:rsidR="00EC42B1">
        <w:t>,</w:t>
      </w:r>
      <w:r w:rsidRPr="00101A2A">
        <w:t xml:space="preserve"> with a demand-supply story. Essentially, studies adopting a </w:t>
      </w:r>
      <w:r w:rsidR="00CA1119" w:rsidRPr="00101A2A">
        <w:t>supply</w:t>
      </w:r>
      <w:r w:rsidR="00CA1119">
        <w:t>-</w:t>
      </w:r>
      <w:r w:rsidRPr="00101A2A">
        <w:t xml:space="preserve">side view found that Airbnb contributed to increasing the price of real estate properties because it allegedly created </w:t>
      </w:r>
      <w:r w:rsidR="001E7B68">
        <w:t xml:space="preserve">the opportunity to </w:t>
      </w:r>
      <w:r w:rsidRPr="00101A2A">
        <w:t>mov</w:t>
      </w:r>
      <w:r w:rsidR="001E7B68">
        <w:t>e</w:t>
      </w:r>
      <w:r w:rsidRPr="00101A2A">
        <w:t xml:space="preserve"> multiple real estate properties from other commercial uses into the SE</w:t>
      </w:r>
      <w:r w:rsidR="001E7B68">
        <w:t>, thus increasing their financial value</w:t>
      </w:r>
      <w:r w:rsidRPr="00101A2A">
        <w:t xml:space="preserve"> </w:t>
      </w:r>
      <w:r w:rsidR="001E7B68">
        <w:t xml:space="preserve">for their owners </w:t>
      </w:r>
      <w:r w:rsidRPr="00101A2A">
        <w:fldChar w:fldCharType="begin" w:fldLock="1"/>
      </w:r>
      <w:r w:rsidR="00920500">
        <w:instrText>ADDIN CSL_CITATION {"citationItems":[{"id":"ITEM-1","itemData":{"abstract":"We assess the impact of home-sharing on residential house prices and rental rates. Using a comprehensive dataset on Airbnb listings from the whole United States, we regress zipcode level house prices and rental rates on the number of Airbnb listings, controlling for endogeneity using a shift-share instrumental variable strategy. We find that a 10% increase in Airbnb listings leads to a 0.39% increase in rents and a 0.64% increase in house prices. Moreover, we find that the effect of Airbnb is smaller in zipcodes with a larger share of owner-occupiers, suggesting that it is the absentee landlords who are on the margin of substituting their homes away from the rental market and into Airbnb. We present a simple model that rationalizes these findings.","author":[{"dropping-particle":"","family":"Barron","given":"Kyle","non-dropping-particle":"","parse-names":false,"suffix":""},{"dropping-particle":"","family":"Kung","given":"Edward","non-dropping-particle":"","parse-names":false,"suffix":""},{"dropping-particle":"","family":"Proserpio","given":"Davide","non-dropping-particle":"","parse-names":false,"suffix":""}],"container-title":"Marketing Science","id":"ITEM-1","issue":"1","issued":{"date-parts":[["2021"]]},"page":"23-47","title":"The effect of home-sharing on house prices and rents: Evidence from Airbnb","type":"article-journal","volume":"40"},"uris":["http://www.mendeley.com/documents/?uuid=c3795c9e-bff0-472b-89fd-6e5c064ded01"]},{"id":"ITEM-2","itemData":{"DOI":"10.2139/ssrn.3257521","ISBN":"0000000302","abstract":"As cities debate how to regulate Airbnb and other home-sharing services, we study the impacts of home sharing on local residential real estate markets. By accommodating transient travelers with short-term rental properties, home-sharing platforms have evolved as a major alternative channel that attracts the growing supply of residential properties. However, on the demand side of local residential markets, home-sharing platforms are not a viable option for residents. To demonstrate this dynamic between home sharing and local residential markets, we leverage a unique quasi-experiment on Airbnb—a platform policy that caps the number of properties a host can manage in a city—and find that the policy reduced rents (in the long-term rental markets) and home values (in the for-sale housing markets) by about 3% and did not affect the price-to-rent ratio. Consistent with the conjecture, we find that the policy impacts can be attributed to increased supply in local residential markets because of the policy. Quantitatively, our estimates suggest that, if the density of affected Airbnb properties is 1% higher in a market, the policy may further decrease rents and home values by about 0.03%–0.06%, which is similar across each policy-affected city. Our empirical findings add to the debate about the impacts of home sharing on local residential markets with a novel data set and a unique identification strategy. Practically speaking, our research is a timely response to the debate on regulating home sharing and has implications for various stakeholders of the residential real estate markets.","author":[{"dropping-particle":"","family":"Chen","given":"Wei","non-dropping-particle":"","parse-names":false,"suffix":""},{"dropping-particle":"","family":"Wei","given":"Zaiyan","non-dropping-particle":"","parse-names":false,"suffix":""},{"dropping-particle":"","family":"Xie","given":"Karen","non-dropping-particle":"","parse-names":false,"suffix":""}],"container-title":"Management Science","id":"ITEM-2","issue":"12","issued":{"date-parts":[["2022"]]},"page":"8589-8612","title":"The Battle for Homes: How Does Home Sharing Disrupt Local Residential Markets?","type":"article-journal","volume":"68"},"uris":["http://www.mendeley.com/documents/?uuid=5112e5d4-27be-416a-819a-a389df846e47"]},{"id":"ITEM-3","itemData":{"DOI":"10.2139/ssrn.3435105","abstract":"This paper examines the impact of Airbnb on the local rental housing market. Airbnb provides landlords an alternative opportunity to rent to short-term tourists, potentially causing some property owners to switch away from long-term rental to local residents, thereby affecting the rental housing supply and afforability. Despite recent government regulations to address this concern, it remains unclear whether and what type of properties are switching.","author":[{"dropping-particle":"","family":"Li","given":"Hui","non-dropping-particle":"","parse-names":false,"suffix":""},{"dropping-particle":"","family":"Kim","given":"Yijin","non-dropping-particle":"","parse-names":false,"suffix":""},{"dropping-particle":"","family":"Srinivasan","given":"Kannan","non-dropping-particle":"","parse-names":false,"suffix":""}],"container-title":"Management Science","id":"ITEM-3","issue":"11","issued":{"date-parts":[["2022"]]},"page":"8015-8044","title":"Market Shifts in the Sharing Economy: The Impact of Airbnb on Housing Rentals","type":"article-journal","volume":"68"},"uris":["http://www.mendeley.com/documents/?uuid=a9115a92-0fdb-435d-92ec-630176016aea"]}],"mendeley":{"formattedCitation":"(Barron et al., 2021; Chen et al., 2022; Li et al., 2022)","manualFormatting":"(Barron et al., 2021; Chen et al., 2022; Li et al., 2022)","plainTextFormattedCitation":"(Barron et al., 2021; Chen et al., 2022; Li et al., 2022)","previouslyFormattedCitation":"(Barron et al., 2021; Chen et al., 2022; Li et al., 2022)"},"properties":{"noteIndex":0},"schema":"https://github.com/citation-style-language/schema/raw/master/csl-citation.json"}</w:instrText>
      </w:r>
      <w:r w:rsidRPr="00101A2A">
        <w:fldChar w:fldCharType="separate"/>
      </w:r>
      <w:r w:rsidRPr="00101A2A">
        <w:rPr>
          <w:noProof/>
        </w:rPr>
        <w:t>(Barron et al., 2021; Chen et al., 2022; Li et al., 2022)</w:t>
      </w:r>
      <w:r w:rsidRPr="00101A2A">
        <w:fldChar w:fldCharType="end"/>
      </w:r>
      <w:r w:rsidRPr="00101A2A">
        <w:t xml:space="preserve">. Those studies adopting a </w:t>
      </w:r>
      <w:r w:rsidR="00CA1119" w:rsidRPr="00101A2A">
        <w:t>demand</w:t>
      </w:r>
      <w:r w:rsidR="00CA1119">
        <w:t>-</w:t>
      </w:r>
      <w:r w:rsidRPr="00101A2A">
        <w:t>side view linked the increase in real estate prices to a higher demand from consumers for Airbnb’s properties</w:t>
      </w:r>
      <w:r w:rsidR="001E7B68">
        <w:t>, which in turn would also increase their financial value</w:t>
      </w:r>
      <w:r w:rsidRPr="00101A2A">
        <w:t xml:space="preserve"> </w:t>
      </w:r>
      <w:r w:rsidR="001E7B68">
        <w:t xml:space="preserve">for their owners </w:t>
      </w:r>
      <w:r w:rsidRPr="00101A2A">
        <w:fldChar w:fldCharType="begin" w:fldLock="1"/>
      </w:r>
      <w:r w:rsidR="003749C2">
        <w:instrText>ADDIN CSL_CITATION {"citationItems":[{"id":"ITEM-1","itemData":{"DOI":"10.1111/1540-6229.12330","ISSN":"15406229","abstract":"This study examines the effects of regulations targeting Airbnb and other short-term rental (STR) suppliers in the urban center of New Orleans. I show that although the new ordinances reduced participation in the STR market as intended, STR usage actually increased in the neighborhoods adjacent to areas the most affected by the regulations. I subsequently show that the new regulations depressed property values in the neighborhoods facing the tightest regulations by approximately 30%, implying that homeowners factor into their housing purchasing decisions the option to participate in the STR market.","author":[{"dropping-particle":"","family":"Valentin","given":"Maxence","non-dropping-particle":"","parse-names":false,"suffix":""}],"container-title":"Real Estate Economics","id":"ITEM-1","issue":"1","issued":{"date-parts":[["2021"]]},"page":"152-186","title":"Regulating short-term rental housing: Evidence from New Orleans","type":"article-journal","volume":"49"},"uris":["http://www.mendeley.com/documents/?uuid=31b9ce88-61f9-4ad3-8367-2eb948e86877"]},{"id":"ITEM-2","itemData":{"DOI":"10.2139/ssrn.2746197","ISBN":"0000000154260","abstract":"New Internet-based markets enable consumer/owners to rent out their durable goods when not using them. Such markets are modeled to determine ownership, rental rates, quantities, and surplus generated. Both the short run, before consumers can revise their ownership decisions, and the long run, in which they can, are examined to assess how these markets change ownership and consumption. The analysis examines bringing-to-market costs, such as labor costs and transaction costs, and considers the operating platform’s pricing problem. A survey of consumers broadly supports the modeling assumptions employed. For example, ownership is determined by individuals’ forward-looking assessments of planned usage.","author":[{"dropping-particle":"","family":"Filippas","given":"Apostolos","non-dropping-particle":"","parse-names":false,"suffix":""},{"dropping-particle":"","family":"Horton","given":"John J.","non-dropping-particle":"","parse-names":false,"suffix":""},{"dropping-particle":"","family":"Zeckhauser","given":"Richard J.","non-dropping-particle":"","parse-names":false,"suffix":""}],"container-title":"Management Science","id":"ITEM-2","issue":"9","issued":{"date-parts":[["2020"]]},"page":"4152-4172","title":"Owning, using and renting: Some simple economics of the 'Sharing Economy'","type":"article-journal","volume":"66"},"uris":["http://www.mendeley.com/documents/?uuid=1db26509-e073-4656-b067-562a18acff44"]},{"id":"ITEM-3","itemData":{"DOI":"10.1145/2872427.2874815","ISBN":"9781450341431","abstract":"Sharing economy platforms have become extremely popular in the last few years, and they have changed the way in which we commute, travel, and borrow among many other activities. Despite their popularity among consumers, such companies are poorly regulated. For example, Airbnb, one of the most successful examples of sharing economy platform, is often criticized by regulators and policy makers. While, in theory, municipalities should regulate the emergence of Airbnb through evidence-based policy making, in practice, they engage in a false dichotomy: some municipalities allow the business without imposing any regulation, while others ban it altogether. That is because there is no evidence upon which to draft policies. Here we propose to gather evidence from the Web. After crawling Airbnb data for the entire city of London, we find out where and when Airbnb listings are offered and, by matching such listing information with census and hotel data, we determine the socio-economic conditions of the areas that actually benefit from the hospitality platform. The reality is more nuanced than one would expect, and it has changed over the years. Airbnb demand and offering have changed over time, and traditional regulations have not been able to respond to those changes. That is why, finally, we rely on our data analysis to envision regulations that are responsive to real-Time demands, contributing to the emerging idea of \"algorithmic regulation\".","author":[{"dropping-particle":"","family":"Quattrone","given":"Giovanni","non-dropping-particle":"","parse-names":false,"suffix":""},{"dropping-particle":"","family":"Proserpio","given":"Davide","non-dropping-particle":"","parse-names":false,"suffix":""},{"dropping-particle":"","family":"Quercia","given":"Daniele","non-dropping-particle":"","parse-names":false,"suffix":""},{"dropping-particle":"","family":"Capra","given":"Licia","non-dropping-particle":"","parse-names":false,"suffix":""},{"dropping-particle":"","family":"Musolesi","given":"Mirco","non-dropping-particle":"","parse-names":false,"suffix":""}],"container-title":"Proceedings of the 25th international conference on world wide web","id":"ITEM-3","issued":{"date-parts":[["2016"]]},"page":"1385-1394","title":"Who benefits from the \"sharing\" economy of airbnb?","type":"article-journal","volume":"April"},"uris":["http://www.mendeley.com/documents/?uuid=9156c225-ac65-408a-8523-ad200dea419e"]}],"mendeley":{"formattedCitation":"(Filippas et al., 2020; Quattrone et al., 2016; Valentin, 2021)","manualFormatting":"(Filippas,  Horton, &amp; Zeckhauser, 2020; Quattrone, Proserpio, Quercia, Capra, &amp; Musolesi, 2016; Valentin, 2021)","plainTextFormattedCitation":"(Filippas et al., 2020; Quattrone et al., 2016; Valentin, 2021)","previouslyFormattedCitation":"(Filippas et al., 2020; Quattrone et al., 2016; Valentin, 2021)"},"properties":{"noteIndex":0},"schema":"https://github.com/citation-style-language/schema/raw/master/csl-citation.json"}</w:instrText>
      </w:r>
      <w:r w:rsidRPr="00101A2A">
        <w:fldChar w:fldCharType="separate"/>
      </w:r>
      <w:r w:rsidRPr="00101A2A">
        <w:rPr>
          <w:noProof/>
        </w:rPr>
        <w:t xml:space="preserve">(Filippas,  Horton, &amp; </w:t>
      </w:r>
      <w:r w:rsidRPr="00101A2A">
        <w:rPr>
          <w:noProof/>
        </w:rPr>
        <w:lastRenderedPageBreak/>
        <w:t>Zeckhauser, 2020; Quattrone, Proserpio, Quercia, Capra, &amp; Musolesi, 2016; Valentin, 2021)</w:t>
      </w:r>
      <w:r w:rsidRPr="00101A2A">
        <w:fldChar w:fldCharType="end"/>
      </w:r>
      <w:r w:rsidRPr="00101A2A">
        <w:t xml:space="preserve">. </w:t>
      </w:r>
      <w:r w:rsidR="008D3D3C">
        <w:t>Although</w:t>
      </w:r>
      <w:r w:rsidR="001229E6" w:rsidRPr="00101A2A">
        <w:t xml:space="preserve"> the supply</w:t>
      </w:r>
      <w:r w:rsidR="00710456">
        <w:t>-</w:t>
      </w:r>
      <w:r w:rsidR="001229E6" w:rsidRPr="00101A2A">
        <w:t xml:space="preserve">side view </w:t>
      </w:r>
      <w:r w:rsidR="007E6F8D" w:rsidRPr="00101A2A">
        <w:t xml:space="preserve">accounts for </w:t>
      </w:r>
      <w:r w:rsidR="001229E6" w:rsidRPr="00101A2A">
        <w:t>different types of hosts, neither the supply</w:t>
      </w:r>
      <w:r w:rsidR="00710456">
        <w:t>-</w:t>
      </w:r>
      <w:r w:rsidR="001229E6" w:rsidRPr="00101A2A">
        <w:t xml:space="preserve"> </w:t>
      </w:r>
      <w:r w:rsidR="008D3D3C">
        <w:t>n</w:t>
      </w:r>
      <w:r w:rsidR="001229E6" w:rsidRPr="00101A2A">
        <w:t>or the demand</w:t>
      </w:r>
      <w:r w:rsidR="00710456">
        <w:t>-</w:t>
      </w:r>
      <w:r w:rsidR="001229E6" w:rsidRPr="00101A2A">
        <w:t xml:space="preserve">side view </w:t>
      </w:r>
      <w:r w:rsidR="00915BDC">
        <w:t>has</w:t>
      </w:r>
      <w:r w:rsidR="001229E6" w:rsidRPr="00101A2A">
        <w:t xml:space="preserve"> yet accounted for how </w:t>
      </w:r>
      <w:r w:rsidR="00EC42B1">
        <w:t>the relevant audience might perceive different kinds of hosts</w:t>
      </w:r>
      <w:r w:rsidR="00915BDC">
        <w:t>. However,</w:t>
      </w:r>
      <w:r w:rsidR="00710456">
        <w:t xml:space="preserve"> </w:t>
      </w:r>
      <w:r w:rsidR="00710456" w:rsidRPr="00101A2A">
        <w:t>the categories literature</w:t>
      </w:r>
      <w:r w:rsidR="00710456">
        <w:t xml:space="preserve"> has already</w:t>
      </w:r>
      <w:r w:rsidR="001229E6" w:rsidRPr="00101A2A">
        <w:t xml:space="preserve"> acknowledged </w:t>
      </w:r>
      <w:r w:rsidR="00710456">
        <w:t>its importance</w:t>
      </w:r>
      <w:r w:rsidR="001229E6" w:rsidRPr="00101A2A">
        <w:t xml:space="preserve"> </w:t>
      </w:r>
      <w:r w:rsidR="001229E6" w:rsidRPr="00101A2A">
        <w:fldChar w:fldCharType="begin" w:fldLock="1"/>
      </w:r>
      <w:r w:rsidR="003749C2">
        <w:instrText>ADDIN CSL_CITATION {"citationItems":[{"id":"ITEM-1","itemData":{"author":[{"dropping-particle":"","family":"Zuckerman","given":"Ezra W","non-dropping-particle":"","parse-names":false,"suffix":""}],"container-title":"American Journal of Sociology","id":"ITEM-1","issue":"5","issued":{"date-parts":[["1999"]]},"page":"1398-1438","title":"The Categorical Imperative : Securities Analysts and the Illegitimacy Discount 1","type":"article-journal","volume":"104"},"uris":["http://www.mendeley.com/documents/?uuid=7f48d0d4-4ac2-4547-98ee-42718da7d341"]},{"id":"ITEM-2","itemData":{"DOI":"10.1002/smj","ISBN":"1097-0266","ISSN":"00014273","PMID":"31767271","abstract":"Like governance structure and alliance scope, partner selection may serve to safeguard firms’ intellectual assets in R&amp;D alliances. We categorize potential alliance partners into friends, acquaintances, and strangers, depending on their previous alliance experience. Data on 1,159 R&amp;D alliances indicate that the more radical an alliance’s innovation goals, the more likely it is that partners are friends rather than strangers. However, strangers are preferred to acquaintances, suggesting partner selection preferences are not transitive. Moreover, results suggest that firms use partner selection, governance structure, and alliance scope as substitute mechanisms to protect valuable technological assets from appropriation in R&amp;D alliances.","author":[{"dropping-particle":"","family":"Cattani","given":"Gino","non-dropping-particle":"","parse-names":false,"suffix":""},{"dropping-particle":"","family":"Porac","given":"Joseph F.","non-dropping-particle":"","parse-names":false,"suffix":""},{"dropping-particle":"","family":"Thomas","given":"Howard","non-dropping-particle":"","parse-names":false,"suffix":""}],"container-title":"Strategic Management Journal","id":"ITEM-2","issue":"1","issued":{"date-parts":[["2017"]]},"page":"64-92","title":"Categories and Competition","type":"article-journal","volume":"38"},"uris":["http://www.mendeley.com/documents/?uuid=64182eeb-a8bd-4894-a778-d5a9522e425e"]},{"id":"ITEM-3","itemData":{"DOI":"10.1287/orsc.1120.0764","ISBN":"1047-7039","ISSN":"1047-7039","abstract":"L iterature to date has demonstrated that producers and products spanning multiple categories have inferior market performance. However, two related but distinct explanations exist as to the source of such a discount. One explanation suggests that “actual” skills are degraded when producers attempt to engage across diverse categories. Another explanation involves perceptual fit to category representations held by an audience as the cause. These two explanations tend to be confounded in archival studies because external observers, responsible for the evaluation of market performance, are often aware of both the identity of producers and the underlying characteristics of their products. This leaves researchers unable to empirically separate effects. We present an analysis conducted in a setting in which it was possible to distinguish the two mechanisms: critics’ ratings of the same wines through “blind” and “nonblind” tastings. The findings indicate that after controlling for the value of ratings assigned blindly, the wines made by wineries spanning styles continue to receive lower ratings in the nonblind situation.","author":[{"dropping-particle":"","family":"Negro","given":"Giacomo","non-dropping-particle":"","parse-names":false,"suffix":""},{"dropping-particle":"","family":"Leung","given":"Ming D.","non-dropping-particle":"","parse-names":false,"suffix":""}],"container-title":"Organization Science","id":"ITEM-3","issue":"3","issued":{"date-parts":[["2013"]]},"page":"684-696","title":"\"Actual\" and Perceptual Effects of Category Spanning","type":"article-journal","volume":"24"},"uris":["http://www.mendeley.com/documents/?uuid=14ab5317-81ab-4bf6-b5b5-1c0567f39a14"]}],"mendeley":{"formattedCitation":"(Cattani, Porac, &amp; Thomas, 2017; Negro &amp; Leung, 2013; Zuckerman, 1999)","plainTextFormattedCitation":"(Cattani, Porac, &amp; Thomas, 2017; Negro &amp; Leung, 2013; Zuckerman, 1999)","previouslyFormattedCitation":"(Cattani, Porac, &amp; Thomas, 2017; Negro &amp; Leung, 2013; Zuckerman, 1999)"},"properties":{"noteIndex":0},"schema":"https://github.com/citation-style-language/schema/raw/master/csl-citation.json"}</w:instrText>
      </w:r>
      <w:r w:rsidR="001229E6" w:rsidRPr="00101A2A">
        <w:fldChar w:fldCharType="separate"/>
      </w:r>
      <w:r w:rsidR="006A7A22" w:rsidRPr="006A7A22">
        <w:rPr>
          <w:noProof/>
        </w:rPr>
        <w:t>(Cattani, Porac, &amp; Thomas, 2017; Negro &amp; Leung, 2013; Zuckerman, 1999)</w:t>
      </w:r>
      <w:r w:rsidR="001229E6" w:rsidRPr="00101A2A">
        <w:fldChar w:fldCharType="end"/>
      </w:r>
      <w:r w:rsidR="001229E6" w:rsidRPr="00101A2A">
        <w:t>.</w:t>
      </w:r>
    </w:p>
    <w:p w14:paraId="1D8C313A" w14:textId="0AE129C1" w:rsidR="005C5FFD" w:rsidRPr="00101A2A" w:rsidRDefault="005C5FFD" w:rsidP="0082643E">
      <w:r w:rsidRPr="00101A2A">
        <w:t xml:space="preserve">Starting from the observation that multiple audiences are pressuring local and national authorities to regulate the operations of SE platforms, such as Airbnb </w:t>
      </w:r>
      <w:r w:rsidRPr="00101A2A">
        <w:fldChar w:fldCharType="begin" w:fldLock="1"/>
      </w:r>
      <w:r w:rsidR="003749C2">
        <w:instrText>ADDIN CSL_CITATION {"citationItems":[{"id":"ITEM-1","itemData":{"DOI":"10.2139/ssrn.2658603","ISSN":"1556-5068","abstract":"New software platforms use modern information technology, including full-featured web sites and mobile apps, to allow service providers and consumers to transact with relative ease and increased trust. These platforms provide notable benefits including reducing transaction costs, improving allocation of resources, and information and pricing efficiencies. Yet they also raise questions of regulation, including how regulation should adapt to new services and capabilities, and how to correct market failures that may arise. We explore these challenges and suggest an updated regulatory framework that is sufficiently flexible to allow software platforms to operate and deliver their benefits, while ensuring that service providers, users and third parties are adequately protected from harms that may arise.","author":[{"dropping-particle":"","family":"Edelman","given":"Benjamin G.","non-dropping-particle":"","parse-names":false,"suffix":""},{"dropping-particle":"","family":"Geradin","given":"Damien","non-dropping-particle":"","parse-names":false,"suffix":""}],"container-title":"Stanford Technology Law Review","id":"ITEM-1","issued":{"date-parts":[["2015"]]},"page":"293","title":"Efficiencies and regulatory shortcuts: How should we regulate companies like Airbnb and Uber?","type":"article-journal","volume":"19"},"uris":["http://www.mendeley.com/documents/?uuid=823094c3-56b9-410c-9c1e-0768e6490117"]},{"id":"ITEM-2","itemData":{"DOI":"10.1080/15480755.2013.766496","ISSN":"15480755","abstract":"The country has been in the midst of an economic recession, leaving many people with the need to supplement their traditional incomes by alternative means. Motivated home owners are leveraging their largest asset by renting out their homes for short periods of time. These homes include single-family residences commonly located in a residential neighborhood or zoning district. This phenomenon is growing rapidly across the country and presenting policy concerns for state and local governments. The explosion of websites allowing home owners to advertise their residential properties for rent has amplified the short-term rental industry. © 2013 Copyright Taylor and Francis Group, LLC.","author":[{"dropping-particle":"","family":"Gottlieb","given":"Charles","non-dropping-particle":"","parse-names":false,"suffix":""}],"container-title":"Planning and Environmental Law","id":"ITEM-2","issue":"2","issued":{"date-parts":[["2013"]]},"page":"4-9","title":"Residential Short-Term Rentals: Should Local Governments Regulate the 'Industry'?","type":"article-journal","volume":"65"},"uris":["http://www.mendeley.com/documents/?uuid=3b805b9e-d038-42fa-9677-578a40bb1e6b"]}],"mendeley":{"formattedCitation":"(Edelman &amp; Geradin, 2015; Gottlieb, 2013)","manualFormatting":"(Edelman &amp; Geradin, 2015; Gottlieb, 2013)","plainTextFormattedCitation":"(Edelman &amp; Geradin, 2015; Gottlieb, 2013)","previouslyFormattedCitation":"(Edelman &amp; Geradin, 2015; Gottlieb, 2013)"},"properties":{"noteIndex":0},"schema":"https://github.com/citation-style-language/schema/raw/master/csl-citation.json"}</w:instrText>
      </w:r>
      <w:r w:rsidRPr="00101A2A">
        <w:fldChar w:fldCharType="separate"/>
      </w:r>
      <w:r w:rsidRPr="00101A2A">
        <w:rPr>
          <w:noProof/>
        </w:rPr>
        <w:t>(Edelman &amp; Geradin, 2015; Gottlieb, 2013)</w:t>
      </w:r>
      <w:r w:rsidRPr="00101A2A">
        <w:fldChar w:fldCharType="end"/>
      </w:r>
      <w:r w:rsidRPr="00101A2A">
        <w:t xml:space="preserve">, </w:t>
      </w:r>
      <w:r w:rsidR="00817918" w:rsidRPr="00101A2A">
        <w:t>we note an apparent tension. On the one hand,</w:t>
      </w:r>
      <w:r w:rsidRPr="00101A2A">
        <w:t xml:space="preserve"> </w:t>
      </w:r>
      <w:r w:rsidR="00915BDC">
        <w:t>enforcing</w:t>
      </w:r>
      <w:r w:rsidRPr="00101A2A">
        <w:t xml:space="preserve"> regulations might reduce the supply on SE platforms</w:t>
      </w:r>
      <w:r w:rsidR="00817918" w:rsidRPr="00101A2A">
        <w:t>. On the other hand</w:t>
      </w:r>
      <w:r w:rsidRPr="00101A2A">
        <w:t>, the steady consumer demand for SE products might counter these efforts. T</w:t>
      </w:r>
      <w:r w:rsidR="00817918" w:rsidRPr="00101A2A">
        <w:t>hus, t</w:t>
      </w:r>
      <w:r w:rsidRPr="00101A2A">
        <w:t xml:space="preserve">o understand why the possibility of short-term </w:t>
      </w:r>
      <w:r w:rsidR="00E4112D">
        <w:t>rentals</w:t>
      </w:r>
      <w:r w:rsidRPr="00101A2A">
        <w:t xml:space="preserve"> on Airbnb may shape </w:t>
      </w:r>
      <w:r w:rsidR="00E4112D">
        <w:t>the</w:t>
      </w:r>
      <w:r w:rsidR="00E4112D" w:rsidRPr="00101A2A">
        <w:t xml:space="preserve"> </w:t>
      </w:r>
      <w:r w:rsidRPr="00101A2A">
        <w:t xml:space="preserve">sale price </w:t>
      </w:r>
      <w:r w:rsidR="00E4112D">
        <w:t xml:space="preserve">of real estate properties </w:t>
      </w:r>
      <w:r w:rsidRPr="00101A2A">
        <w:t xml:space="preserve">and the mechanisms behind this effect, we examine the hosts that operate on Airbnb and </w:t>
      </w:r>
      <w:r w:rsidR="00E4112D">
        <w:t xml:space="preserve">the intervening </w:t>
      </w:r>
      <w:r w:rsidR="00915BDC">
        <w:t>impact</w:t>
      </w:r>
      <w:r w:rsidR="00E4112D">
        <w:t xml:space="preserve"> of</w:t>
      </w:r>
      <w:r w:rsidR="00E4112D" w:rsidRPr="00101A2A">
        <w:t xml:space="preserve"> </w:t>
      </w:r>
      <w:r w:rsidRPr="00101A2A">
        <w:t xml:space="preserve">consumers and regulations. </w:t>
      </w:r>
    </w:p>
    <w:p w14:paraId="6C751ACB" w14:textId="69EF10AE" w:rsidR="00817918" w:rsidRPr="00101A2A" w:rsidRDefault="00271556" w:rsidP="00817918">
      <w:r w:rsidRPr="00101A2A">
        <w:t xml:space="preserve">Our observations do not merely suggest that a change in demand or supply matters but that a </w:t>
      </w:r>
      <w:r w:rsidR="00DE22B2">
        <w:t>shift</w:t>
      </w:r>
      <w:r w:rsidRPr="00101A2A">
        <w:t xml:space="preserve"> in demand or supply likely matters differently </w:t>
      </w:r>
      <w:r w:rsidR="001229E6" w:rsidRPr="00101A2A">
        <w:t xml:space="preserve">for different types of hosts </w:t>
      </w:r>
      <w:r w:rsidRPr="00101A2A">
        <w:t xml:space="preserve">depending on and because of </w:t>
      </w:r>
      <w:r w:rsidR="00A623C1">
        <w:t>consumer</w:t>
      </w:r>
      <w:r w:rsidRPr="00101A2A">
        <w:t xml:space="preserve">s’ perceptions and the regulators’ characterization of the </w:t>
      </w:r>
      <w:r w:rsidR="007E6F8D" w:rsidRPr="00101A2A">
        <w:t>hosts operating on the platform</w:t>
      </w:r>
      <w:r w:rsidRPr="00101A2A">
        <w:t xml:space="preserve">. </w:t>
      </w:r>
      <w:r w:rsidR="00817918" w:rsidRPr="00101A2A">
        <w:t xml:space="preserve">We found that even controlling for the possible effect of a change in demand or supply, </w:t>
      </w:r>
      <w:r w:rsidR="00EC42B1">
        <w:t>Airbnb's</w:t>
      </w:r>
      <w:r w:rsidR="00DE22B2">
        <w:t xml:space="preserve"> effect</w:t>
      </w:r>
      <w:r w:rsidR="00817918" w:rsidRPr="00101A2A">
        <w:t xml:space="preserve"> on real estate prices is moderated by </w:t>
      </w:r>
      <w:r w:rsidR="00A623C1">
        <w:t>consumer</w:t>
      </w:r>
      <w:r w:rsidR="00817918" w:rsidRPr="00101A2A">
        <w:t>s</w:t>
      </w:r>
      <w:r w:rsidR="00E15868" w:rsidRPr="00101A2A">
        <w:t>’ perceptions</w:t>
      </w:r>
      <w:r w:rsidR="00817918" w:rsidRPr="00101A2A">
        <w:t xml:space="preserve"> and </w:t>
      </w:r>
      <w:r w:rsidR="00040D2C" w:rsidRPr="00101A2A">
        <w:t xml:space="preserve">the </w:t>
      </w:r>
      <w:r w:rsidR="00817918" w:rsidRPr="00101A2A">
        <w:t>regulators</w:t>
      </w:r>
      <w:r w:rsidR="00040D2C" w:rsidRPr="00101A2A">
        <w:t>’</w:t>
      </w:r>
      <w:r w:rsidR="00E15868" w:rsidRPr="00101A2A">
        <w:t xml:space="preserve"> </w:t>
      </w:r>
      <w:r w:rsidR="00363E65">
        <w:t>categorization</w:t>
      </w:r>
      <w:r w:rsidR="00363E65" w:rsidRPr="00101A2A">
        <w:t xml:space="preserve"> </w:t>
      </w:r>
      <w:r w:rsidR="00E15868" w:rsidRPr="00101A2A">
        <w:t xml:space="preserve">of the </w:t>
      </w:r>
      <w:r w:rsidR="007E6F8D" w:rsidRPr="00101A2A">
        <w:t>hosts operating on the platform</w:t>
      </w:r>
      <w:r w:rsidR="00817918" w:rsidRPr="00101A2A">
        <w:t xml:space="preserve">. In performing our analyses, </w:t>
      </w:r>
      <w:r w:rsidR="007E6F8D" w:rsidRPr="00101A2A">
        <w:rPr>
          <w:rStyle w:val="Emphasis"/>
          <w:i w:val="0"/>
          <w:iCs/>
        </w:rPr>
        <w:t>i</w:t>
      </w:r>
      <w:r w:rsidR="00817918" w:rsidRPr="00101A2A">
        <w:rPr>
          <w:rStyle w:val="Emphasis"/>
          <w:i w:val="0"/>
          <w:iCs/>
        </w:rPr>
        <w:t xml:space="preserve">n line with prior studies, we accounted –and empirically controlled </w:t>
      </w:r>
      <w:r w:rsidR="008D3D3C">
        <w:rPr>
          <w:rStyle w:val="Emphasis"/>
          <w:i w:val="0"/>
          <w:iCs/>
        </w:rPr>
        <w:t>–f</w:t>
      </w:r>
      <w:r w:rsidR="00817918" w:rsidRPr="00101A2A">
        <w:rPr>
          <w:rStyle w:val="Emphasis"/>
          <w:i w:val="0"/>
          <w:iCs/>
        </w:rPr>
        <w:t xml:space="preserve">or the possibility that </w:t>
      </w:r>
      <w:r w:rsidR="00817918" w:rsidRPr="00101A2A">
        <w:t>spanners</w:t>
      </w:r>
      <w:r w:rsidR="00817918" w:rsidRPr="00101A2A" w:rsidDel="004D1852">
        <w:rPr>
          <w:rStyle w:val="Emphasis"/>
          <w:i w:val="0"/>
          <w:iCs/>
        </w:rPr>
        <w:t xml:space="preserve"> </w:t>
      </w:r>
      <w:r w:rsidR="00817918" w:rsidRPr="00101A2A">
        <w:rPr>
          <w:rStyle w:val="Emphasis"/>
          <w:i w:val="0"/>
          <w:iCs/>
        </w:rPr>
        <w:t>are perceived as atypical</w:t>
      </w:r>
      <w:r w:rsidR="00DE22B2">
        <w:rPr>
          <w:rStyle w:val="Emphasis"/>
          <w:i w:val="0"/>
          <w:iCs/>
        </w:rPr>
        <w:t>. Thus</w:t>
      </w:r>
      <w:r w:rsidR="00EC42B1">
        <w:rPr>
          <w:rStyle w:val="Emphasis"/>
          <w:i w:val="0"/>
          <w:iCs/>
        </w:rPr>
        <w:t>,</w:t>
      </w:r>
      <w:r w:rsidR="00817918" w:rsidRPr="00101A2A">
        <w:rPr>
          <w:rStyle w:val="Emphasis"/>
          <w:i w:val="0"/>
          <w:iCs/>
        </w:rPr>
        <w:t xml:space="preserve"> the sentiment of their reviews </w:t>
      </w:r>
      <w:r w:rsidR="005073A9">
        <w:rPr>
          <w:rStyle w:val="Emphasis"/>
          <w:i w:val="0"/>
          <w:iCs/>
        </w:rPr>
        <w:t>worsens</w:t>
      </w:r>
      <w:r w:rsidR="00817918" w:rsidRPr="00101A2A">
        <w:rPr>
          <w:rStyle w:val="Emphasis"/>
          <w:i w:val="0"/>
          <w:iCs/>
        </w:rPr>
        <w:t xml:space="preserve"> </w:t>
      </w:r>
      <w:r w:rsidR="00817918" w:rsidRPr="00101A2A">
        <w:rPr>
          <w:rStyle w:val="Emphasis"/>
          <w:i w:val="0"/>
          <w:iCs/>
        </w:rPr>
        <w:fldChar w:fldCharType="begin" w:fldLock="1"/>
      </w:r>
      <w:r w:rsidR="003749C2">
        <w:rPr>
          <w:rStyle w:val="Emphasis"/>
          <w:i w:val="0"/>
          <w:iCs/>
        </w:rPr>
        <w:instrText>ADDIN CSL_CITATION {"citationItems":[{"id":"ITEM-1","itemData":{"DOI":"10.2189/asqu.51.3.420","ISBN":"0001-8392","ISSN":"00018392","PMID":"23454541","abstract":"Through analyses of audience reception of U.S.-produced feature film projects from the period 2000–2003, I develop insight into the trade-off assumed in organizational ecology theory between an organization's niche width and its fitness. This assumption, termed the principle of allocation, holds that the greater the diversity in regions of resource space targeted by an organization, the lower the organization's capacity to perform well within them. Using data at both the professional critic and consumer levels, I demonstrate the empirical validity of this principle: films targeting more genres attract larger audiences but are less appealing to those audience members. Moreover, I find that audiences' perceptions of a film's fit with targeted genres drive this trade-off, as multi-genre films are difficult for audiences to make sense of, leading to poor fit with tastes and lowered appeal. These findings highlight the key role audiences' perceptions play in the trade-offs associated with different niche strategies.","author":[{"dropping-particle":"","family":"Hsu","given":"Greta","non-dropping-particle":"","parse-names":false,"suffix":""}],"container-title":"Administrative Science Quarterly","id":"ITEM-1","issue":"3","issued":{"date-parts":[["2006"]]},"page":"420-450","title":"Jacks of All Trades and Masters of None: Audiences' Reactions to Spanning Genres in Feature Film Production","type":"article-journal","volume":"51"},"uris":["http://www.mendeley.com/documents/?uuid=6be2f047-0f2f-4209-9f20-d384d4a04524"]},{"id":"ITEM-2","itemData":{"DOI":"10.1177/000312240907400108","ISBN":"0003122409","ISSN":"0003-1224","PMID":"36450215","abstract":"This article examines the effects of market specialization on economic and social outcomes. Integrating two perspectives, we explore why products that span multiple categories suffer social and economic disadvantages. According to the audience-side perspective, audience members refer to established categories to make sense of products. Products that incorporate features from multiple categories are perceived to be poor fits with category expectations and less appealing than category specialists. The producer-side view holds that spanning categories reduces one’s ability to effectively target each category’s audience, which decreases appeal to audience members. Rather than treating these as rival explanations, we propose that both processes matter and offer a systematic, integrated account of how penalties arise as a consequence of audience-side and producer-side processes. We analyze data from two dissimilar contexts, eBay auctions and U.S. feature-film projects, to test the central implications of our theory. Together, these tests provide support for our integrated approach and suggest that both processes contribute to the penalties associated with category spanning.","author":[{"dropping-particle":"","family":"Hsu","given":"G.","non-dropping-particle":"","parse-names":false,"suffix":""},{"dropping-particle":"","family":"Hannan","given":"M. T.","non-dropping-particle":"","parse-names":false,"suffix":""},{"dropping-particle":"","family":"Kocak","given":"O.","non-dropping-particle":"","parse-names":false,"suffix":""}],"container-title":"American Sociological Review","id":"ITEM-2","issue":"1","issued":{"date-parts":[["2009"]]},"page":"150-169","title":"Multiple category memberships in markets: An integrative theory and two empirical tests","type":"article-journal","volume":"74"},"uris":["http://www.mendeley.com/documents/?uuid=35e817e0-13de-45e7-a170-00efe3cfe8dd"]},{"id":"ITEM-3","itemData":{"DOI":"10.1111/joms.12000","ISSN":"00222380","abstract":"The organizational literature is increasingly interested in the origins and consequences of category emergence. We examine the effects of being affiliated with categories initially considered illegitimate ('divergence'), and of organizational attempts to blur the boundaries between categories ('straddling'), on capital market reactions to firm announcements. We develop arguments for how these effects likely vary with increasing legitimation ('currency') of the category. We apply event study methodology to the complete population of firms' announcements of open source activities, an open innovation model for software development that is novel and defies the extant dominant logic of software production and valorization. Over a ten-year period, we find negative effects of divergence, positive effects of straddling, and that the magnitude of both these effects diminishes with increasing category currency. The implications for theories of organization and open innovation in the context of category emergence are discussed. © 2012 The Authors. Journal of Management Studies © 2012 Blackwell Publishing Ltd and Society for the Advancement of Management Studies.","author":[{"dropping-particle":"","family":"Alexy","given":"Oliver","non-dropping-particle":"","parse-names":false,"suffix":""},{"dropping-particle":"","family":"George","given":"Gerard","non-dropping-particle":"","parse-names":false,"suffix":""}],"container-title":"Journal of Management Studies","id":"ITEM-3","issue":"2","issued":{"date-parts":[["2013"]]},"page":"173-203","title":"Category Divergence, Straddling, and Currency: Open Innovation and the Legitimation of Illegitimate Categories","type":"article-journal","volume":"50"},"uris":["http://www.mendeley.com/documents/?uuid=c6adaf56-351f-4389-8b4f-108b33de99e7"]}],"mendeley":{"formattedCitation":"(Alexy &amp; George, 2013; Hsu, 2006; Hsu et al., 2009)","plainTextFormattedCitation":"(Alexy &amp; George, 2013; Hsu, 2006; Hsu et al., 2009)","previouslyFormattedCitation":"(Alexy &amp; George, 2013; Hsu, 2006; Hsu et al., 2009)"},"properties":{"noteIndex":0},"schema":"https://github.com/citation-style-language/schema/raw/master/csl-citation.json"}</w:instrText>
      </w:r>
      <w:r w:rsidR="00817918" w:rsidRPr="00101A2A">
        <w:rPr>
          <w:rStyle w:val="Emphasis"/>
          <w:i w:val="0"/>
          <w:iCs/>
        </w:rPr>
        <w:fldChar w:fldCharType="separate"/>
      </w:r>
      <w:r w:rsidR="006A7A22" w:rsidRPr="006A7A22">
        <w:rPr>
          <w:rStyle w:val="Emphasis"/>
          <w:i w:val="0"/>
          <w:iCs/>
          <w:noProof/>
        </w:rPr>
        <w:t>(Alexy &amp; George, 2013; Hsu, 2006; Hsu et al., 2009)</w:t>
      </w:r>
      <w:r w:rsidR="00817918" w:rsidRPr="00101A2A">
        <w:rPr>
          <w:rStyle w:val="Emphasis"/>
          <w:i w:val="0"/>
          <w:iCs/>
        </w:rPr>
        <w:fldChar w:fldCharType="end"/>
      </w:r>
      <w:r w:rsidR="00817918" w:rsidRPr="00101A2A">
        <w:rPr>
          <w:rStyle w:val="Emphasis"/>
          <w:i w:val="0"/>
          <w:iCs/>
        </w:rPr>
        <w:t xml:space="preserve">, </w:t>
      </w:r>
      <w:r w:rsidR="00380DC7">
        <w:rPr>
          <w:rStyle w:val="Emphasis"/>
          <w:i w:val="0"/>
          <w:iCs/>
        </w:rPr>
        <w:t xml:space="preserve">and </w:t>
      </w:r>
      <w:r w:rsidR="00817918" w:rsidRPr="00101A2A">
        <w:rPr>
          <w:rStyle w:val="Emphasis"/>
          <w:i w:val="0"/>
          <w:iCs/>
        </w:rPr>
        <w:t xml:space="preserve">the demand for their properties also declines </w:t>
      </w:r>
      <w:r w:rsidR="00817918" w:rsidRPr="00101A2A">
        <w:rPr>
          <w:rStyle w:val="Emphasis"/>
          <w:i w:val="0"/>
          <w:iCs/>
        </w:rPr>
        <w:fldChar w:fldCharType="begin" w:fldLock="1"/>
      </w:r>
      <w:r w:rsidR="003749C2">
        <w:rPr>
          <w:rStyle w:val="Emphasis"/>
          <w:i w:val="0"/>
          <w:iCs/>
        </w:rPr>
        <w:instrText>ADDIN CSL_CITATION {"citationItems":[{"id":"ITEM-1","itemData":{"DOI":"10.1108/S0733-558X(2010)0000031014","ISSN":"0733558X","abstract":"In markets, audiences generally discount offerings that fail to fit established product categories, but when misfit offerings change category meaning, the effects of conformity and deviation can reverse so that previously overlooked or unappealing offerings become popular while previously appealing products fall into disfavor. After introducing the idea of category currency to explain how the value of conformity changes with ongoing meaning construction, we use it to make sense of the emergence of nanotechnology. In conclusion, we argue that category currency is useful for explaining the changing value of conformity both in and beyond markets.","author":[{"dropping-particle":"","family":"Kennedy","given":"Mark Thomas","non-dropping-particle":"","parse-names":false,"suffix":""},{"dropping-particle":"","family":"Lo","given":"Jade Yu Chieh","non-dropping-particle":"","parse-names":false,"suffix":""},{"dropping-particle":"","family":"Lounsbury","given":"Michael","non-dropping-particle":"","parse-names":false,"suffix":""}],"container-title":"Research in the Sociology of Organizations","id":"ITEM-1","issue":"2010","issued":{"date-parts":[["2010"]]},"number-of-pages":"369-397","publisher":"Elsevier","title":"Category currency: The changing value of conformity as a function of ongoing meaning construction","type":"book","volume":"31"},"uris":["http://www.mendeley.com/documents/?uuid=619c88ee-53fc-4e21-90b5-4f92b250d4e2"]}],"mendeley":{"formattedCitation":"(Kennedy et al., 2010)","manualFormatting":"(Kennedy et al., 2010)","plainTextFormattedCitation":"(Kennedy et al., 2010)","previouslyFormattedCitation":"(Kennedy et al., 2010)"},"properties":{"noteIndex":0},"schema":"https://github.com/citation-style-language/schema/raw/master/csl-citation.json"}</w:instrText>
      </w:r>
      <w:r w:rsidR="00817918" w:rsidRPr="00101A2A">
        <w:rPr>
          <w:rStyle w:val="Emphasis"/>
          <w:i w:val="0"/>
          <w:iCs/>
        </w:rPr>
        <w:fldChar w:fldCharType="separate"/>
      </w:r>
      <w:r w:rsidR="00817918" w:rsidRPr="00101A2A">
        <w:rPr>
          <w:rStyle w:val="Emphasis"/>
          <w:i w:val="0"/>
          <w:iCs/>
          <w:noProof/>
        </w:rPr>
        <w:t>(Kennedy et al., 2010)</w:t>
      </w:r>
      <w:r w:rsidR="00817918" w:rsidRPr="00101A2A">
        <w:rPr>
          <w:rStyle w:val="Emphasis"/>
          <w:i w:val="0"/>
          <w:iCs/>
        </w:rPr>
        <w:fldChar w:fldCharType="end"/>
      </w:r>
      <w:r w:rsidR="00380DC7">
        <w:rPr>
          <w:rStyle w:val="Emphasis"/>
          <w:i w:val="0"/>
          <w:iCs/>
        </w:rPr>
        <w:t xml:space="preserve">. In cities where the regulatory change took place, which has allowed for a </w:t>
      </w:r>
      <w:r w:rsidR="00380DC7">
        <w:rPr>
          <w:rStyle w:val="Emphasis"/>
          <w:i w:val="0"/>
          <w:iCs/>
        </w:rPr>
        <w:lastRenderedPageBreak/>
        <w:t>crisper definition of the emerging category boundaries (Vergne &amp; Wry, 2014), the demand for these properties also declined</w:t>
      </w:r>
      <w:r w:rsidR="00817918" w:rsidRPr="00101A2A">
        <w:t xml:space="preserve">. Even accounting for these possibilities, we </w:t>
      </w:r>
      <w:r w:rsidR="00E4112D">
        <w:t xml:space="preserve">still </w:t>
      </w:r>
      <w:r w:rsidR="00817918" w:rsidRPr="00101A2A">
        <w:t xml:space="preserve">found that consumers and regulators </w:t>
      </w:r>
      <w:r w:rsidR="008D3D3C">
        <w:t>moderate the</w:t>
      </w:r>
      <w:r w:rsidR="00817918" w:rsidRPr="00101A2A">
        <w:t xml:space="preserve"> </w:t>
      </w:r>
      <w:r w:rsidR="008D3D3C" w:rsidRPr="00101A2A">
        <w:t xml:space="preserve">effect </w:t>
      </w:r>
      <w:r w:rsidR="008D3D3C">
        <w:t xml:space="preserve">of </w:t>
      </w:r>
      <w:r w:rsidR="00817918" w:rsidRPr="00101A2A">
        <w:t>Airbnb</w:t>
      </w:r>
      <w:r w:rsidR="008D3D3C">
        <w:t xml:space="preserve"> </w:t>
      </w:r>
      <w:r w:rsidR="00817918" w:rsidRPr="00101A2A">
        <w:t>on real estate sale prices.</w:t>
      </w:r>
    </w:p>
    <w:p w14:paraId="0EBB6F43" w14:textId="68A840FB" w:rsidR="005C5FFD" w:rsidRPr="00101A2A" w:rsidRDefault="005763AB" w:rsidP="001D04B8">
      <w:pPr>
        <w:pStyle w:val="Heading3"/>
      </w:pPr>
      <w:r w:rsidRPr="00101A2A">
        <w:rPr>
          <w:lang w:val="en-US"/>
        </w:rPr>
        <w:t>Offering new insights on a</w:t>
      </w:r>
      <w:r w:rsidR="005C5FFD" w:rsidRPr="00101A2A">
        <w:rPr>
          <w:lang w:val="en-US"/>
        </w:rPr>
        <w:t>udiences and platforms</w:t>
      </w:r>
    </w:p>
    <w:p w14:paraId="31225374" w14:textId="13E297CE" w:rsidR="001A69AD" w:rsidRPr="00101A2A" w:rsidRDefault="00271556" w:rsidP="004361EB">
      <w:r w:rsidRPr="00101A2A">
        <w:t xml:space="preserve">The observation that </w:t>
      </w:r>
      <w:r w:rsidR="001A69AD" w:rsidRPr="00101A2A">
        <w:t xml:space="preserve">the ongoing increase in real estate prices is partially attributable to participation in the SE by firms shifting properties from the long-term rental market to Airbnb is more complex than reported by </w:t>
      </w:r>
      <w:r w:rsidR="008C6C18" w:rsidRPr="00101A2A">
        <w:t>early</w:t>
      </w:r>
      <w:r w:rsidR="001A69AD" w:rsidRPr="00101A2A">
        <w:t xml:space="preserve"> studies</w:t>
      </w:r>
      <w:r w:rsidR="008C6C18" w:rsidRPr="00101A2A">
        <w:t xml:space="preserve"> on supply</w:t>
      </w:r>
      <w:r w:rsidR="00500CB9">
        <w:t>-</w:t>
      </w:r>
      <w:r w:rsidR="008C6C18" w:rsidRPr="00101A2A">
        <w:t>side explanation</w:t>
      </w:r>
      <w:r w:rsidR="001A69AD" w:rsidRPr="00101A2A">
        <w:t xml:space="preserve"> </w:t>
      </w:r>
      <w:r w:rsidR="001A69AD" w:rsidRPr="00101A2A">
        <w:fldChar w:fldCharType="begin" w:fldLock="1"/>
      </w:r>
      <w:r w:rsidR="00920500">
        <w:instrText>ADDIN CSL_CITATION {"citationItems":[{"id":"ITEM-1","itemData":{"abstract":"We assess the impact of home-sharing on residential house prices and rental rates. Using a comprehensive dataset on Airbnb listings from the whole United States, we regress zipcode level house prices and rental rates on the number of Airbnb listings, controlling for endogeneity using a shift-share instrumental variable strategy. We find that a 10% increase in Airbnb listings leads to a 0.39% increase in rents and a 0.64% increase in house prices. Moreover, we find that the effect of Airbnb is smaller in zipcodes with a larger share of owner-occupiers, suggesting that it is the absentee landlords who are on the margin of substituting their homes away from the rental market and into Airbnb. We present a simple model that rationalizes these findings.","author":[{"dropping-particle":"","family":"Barron","given":"Kyle","non-dropping-particle":"","parse-names":false,"suffix":""},{"dropping-particle":"","family":"Kung","given":"Edward","non-dropping-particle":"","parse-names":false,"suffix":""},{"dropping-particle":"","family":"Proserpio","given":"Davide","non-dropping-particle":"","parse-names":false,"suffix":""}],"container-title":"Marketing Science","id":"ITEM-1","issue":"1","issued":{"date-parts":[["2021"]]},"page":"23-47","title":"The effect of home-sharing on house prices and rents: Evidence from Airbnb","type":"article-journal","volume":"40"},"uris":["http://www.mendeley.com/documents/?uuid=c3795c9e-bff0-472b-89fd-6e5c064ded01"]},{"id":"ITEM-2","itemData":{"abstract":"Online short-term rental (STR) platforms such as Airbnb have grown spectacularly. We study the effects of regu- lation of these platforms on the housing market using a quasi-experimental research design. 18 out of 88 cities in Los Angeles County have severely restricted short-term rentals by adopting Home Sharing Ordinances. We apply a panel regression-discontinuity design around the cities’ borders. Ordinances reduced listings by 50% and hous- ing prices by 2%. Additional difference-in-differences estimates show that ordinances reduced rents also by 2%. These estimates imply large effects of Airbnb on property values in areas attractive to tourists ( e.g. an increase in house prices of 15% within 2.5km of Hollywood’s Walk of Fame).","author":[{"dropping-particle":"","family":"Koster","given":"Hans","non-dropping-particle":"","parse-names":false,"suffix":""},{"dropping-particle":"","family":"Ommeren","given":"Jos","non-dropping-particle":"Van","parse-names":false,"suffix":""},{"dropping-particle":"","family":"Volkhausen","given":"Nicolas","non-dropping-particle":"","parse-names":false,"suffix":""}],"container-title":"Journal of Urban Economics","id":"ITEM-2","issued":{"date-parts":[["2021"]]},"note":"data sources:\nTomslee.net collects only a sample of all listings in a city. (It is not clear whether he does it voluntarily. In a note posted on October 2013 he wriets: &amp;quot; I collected 9527 places rented by 7112 hosts in New York. Airbnb claims 15,000 hosts, but I suspect the others are not doing much business because the searches I did over several days did not find them.&amp;quot; (http://tomslee.net/2013/10/notes-on-airbnbs-new-york-business.html)\nIt collected 29 samples of LA between Sept 2014 and July 2017.\n\nMonthly data are available on InsideAirbnb.com since April 2018. The study data collection ends in September 2018.\n\nThere is no reference to the dates of the regulatory changes, nor any description of the regulatory changes specifically.\n\nIt is possible that the data used for the analyses are biased by missing data (because they may mostly be from Tomslee.com)\nIt is also unclear which time window (before/after regulatory change) the authors used in their analyses.","page":"103356","title":"Short-term rentals and the housing market: Quasi-experimental evidence from Airbnb in Los Angeles","type":"article-journal","volume":"124"},"uris":["http://www.mendeley.com/documents/?uuid=aae15b89-e1f7-47c3-ad07-2fc6c5e41615"]},{"id":"ITEM-3","itemData":{"DOI":"10.2139/ssrn.3257521","ISBN":"0000000302","abstract":"As cities debate how to regulate Airbnb and other home-sharing services, we study the impacts of home sharing on local residential real estate markets. By accommodating transient travelers with short-term rental properties, home-sharing platforms have evolved as a major alternative channel that attracts the growing supply of residential properties. However, on the demand side of local residential markets, home-sharing platforms are not a viable option for residents. To demonstrate this dynamic between home sharing and local residential markets, we leverage a unique quasi-experiment on Airbnb—a platform policy that caps the number of properties a host can manage in a city—and find that the policy reduced rents (in the long-term rental markets) and home values (in the for-sale housing markets) by about 3% and did not affect the price-to-rent ratio. Consistent with the conjecture, we find that the policy impacts can be attributed to increased supply in local residential markets because of the policy. Quantitatively, our estimates suggest that, if the density of affected Airbnb properties is 1% higher in a market, the policy may further decrease rents and home values by about 0.03%–0.06%, which is similar across each policy-affected city. Our empirical findings add to the debate about the impacts of home sharing on local residential markets with a novel data set and a unique identification strategy. Practically speaking, our research is a timely response to the debate on regulating home sharing and has implications for various stakeholders of the residential real estate markets.","author":[{"dropping-particle":"","family":"Chen","given":"Wei","non-dropping-particle":"","parse-names":false,"suffix":""},{"dropping-particle":"","family":"Wei","given":"Zaiyan","non-dropping-particle":"","parse-names":false,"suffix":""},{"dropping-particle":"","family":"Xie","given":"Karen","non-dropping-particle":"","parse-names":false,"suffix":""}],"container-title":"Management Science","id":"ITEM-3","issue":"12","issued":{"date-parts":[["2022"]]},"page":"8589-8612","title":"The Battle for Homes: How Does Home Sharing Disrupt Local Residential Markets?","type":"article-journal","volume":"68"},"uris":["http://www.mendeley.com/documents/?uuid=5112e5d4-27be-416a-819a-a389df846e47"]}],"mendeley":{"formattedCitation":"(Barron et al., 2021; Chen et al., 2022; H. Koster et al., 2021)"},"properties":{"noteIndex":0},"schema":"https://github.com/citation-style-language/schema/raw/master/csl-citation.json"}</w:instrText>
      </w:r>
      <w:r w:rsidR="001A69AD" w:rsidRPr="00101A2A">
        <w:fldChar w:fldCharType="separate"/>
      </w:r>
      <w:r w:rsidR="00920500" w:rsidRPr="00920500">
        <w:rPr>
          <w:noProof/>
        </w:rPr>
        <w:t>(Barron et al., 2021; Chen et al., 2022; H. Koster et al., 2021)</w:t>
      </w:r>
      <w:r w:rsidR="001A69AD" w:rsidRPr="00101A2A">
        <w:fldChar w:fldCharType="end"/>
      </w:r>
      <w:r w:rsidR="001A69AD" w:rsidRPr="00101A2A">
        <w:t xml:space="preserve">. We build on the </w:t>
      </w:r>
      <w:r w:rsidR="008D3D3C">
        <w:t>consideration</w:t>
      </w:r>
      <w:r w:rsidR="001A69AD" w:rsidRPr="00101A2A">
        <w:t xml:space="preserve"> that multiple audiences have reacted to the insurgence of Airbnb and other SE platforms by pressuring local and national authorities to regulate their operations </w:t>
      </w:r>
      <w:r w:rsidR="001A69AD" w:rsidRPr="00101A2A">
        <w:fldChar w:fldCharType="begin" w:fldLock="1"/>
      </w:r>
      <w:r w:rsidR="003749C2">
        <w:instrText>ADDIN CSL_CITATION {"citationItems":[{"id":"ITEM-1","itemData":{"DOI":"10.2139/ssrn.2658603","ISSN":"1556-5068","abstract":"New software platforms use modern information technology, including full-featured web sites and mobile apps, to allow service providers and consumers to transact with relative ease and increased trust. These platforms provide notable benefits including reducing transaction costs, improving allocation of resources, and information and pricing efficiencies. Yet they also raise questions of regulation, including how regulation should adapt to new services and capabilities, and how to correct market failures that may arise. We explore these challenges and suggest an updated regulatory framework that is sufficiently flexible to allow software platforms to operate and deliver their benefits, while ensuring that service providers, users and third parties are adequately protected from harms that may arise.","author":[{"dropping-particle":"","family":"Edelman","given":"Benjamin G.","non-dropping-particle":"","parse-names":false,"suffix":""},{"dropping-particle":"","family":"Geradin","given":"Damien","non-dropping-particle":"","parse-names":false,"suffix":""}],"container-title":"Stanford Technology Law Review","id":"ITEM-1","issued":{"date-parts":[["2015"]]},"page":"293","title":"Efficiencies and regulatory shortcuts: How should we regulate companies like Airbnb and Uber?","type":"article-journal","volume":"19"},"uris":["http://www.mendeley.com/documents/?uuid=823094c3-56b9-410c-9c1e-0768e6490117"]},{"id":"ITEM-2","itemData":{"DOI":"10.1080/15480755.2013.766496","ISSN":"15480755","abstract":"The country has been in the midst of an economic recession, leaving many people with the need to supplement their traditional incomes by alternative means. Motivated home owners are leveraging their largest asset by renting out their homes for short periods of time. These homes include single-family residences commonly located in a residential neighborhood or zoning district. This phenomenon is growing rapidly across the country and presenting policy concerns for state and local governments. The explosion of websites allowing home owners to advertise their residential properties for rent has amplified the short-term rental industry. © 2013 Copyright Taylor and Francis Group, LLC.","author":[{"dropping-particle":"","family":"Gottlieb","given":"Charles","non-dropping-particle":"","parse-names":false,"suffix":""}],"container-title":"Planning and Environmental Law","id":"ITEM-2","issue":"2","issued":{"date-parts":[["2013"]]},"page":"4-9","title":"Residential Short-Term Rentals: Should Local Governments Regulate the 'Industry'?","type":"article-journal","volume":"65"},"uris":["http://www.mendeley.com/documents/?uuid=3b805b9e-d038-42fa-9677-578a40bb1e6b"]}],"mendeley":{"formattedCitation":"(Edelman &amp; Geradin, 2015; Gottlieb, 2013)","manualFormatting":"(Edelman &amp; Geradin, 2015; Gottlieb, 2013)","plainTextFormattedCitation":"(Edelman &amp; Geradin, 2015; Gottlieb, 2013)","previouslyFormattedCitation":"(Edelman &amp; Geradin, 2015; Gottlieb, 2013)"},"properties":{"noteIndex":0},"schema":"https://github.com/citation-style-language/schema/raw/master/csl-citation.json"}</w:instrText>
      </w:r>
      <w:r w:rsidR="001A69AD" w:rsidRPr="00101A2A">
        <w:fldChar w:fldCharType="separate"/>
      </w:r>
      <w:r w:rsidR="001A69AD" w:rsidRPr="00101A2A">
        <w:rPr>
          <w:noProof/>
        </w:rPr>
        <w:t>(Edelman &amp; Geradin, 2015; Gottlieb, 2013)</w:t>
      </w:r>
      <w:r w:rsidR="001A69AD" w:rsidRPr="00101A2A">
        <w:fldChar w:fldCharType="end"/>
      </w:r>
      <w:r w:rsidR="001A69AD" w:rsidRPr="00101A2A">
        <w:t xml:space="preserve">, allegedly </w:t>
      </w:r>
      <w:r w:rsidR="00EC42B1">
        <w:t>reducing</w:t>
      </w:r>
      <w:r w:rsidR="001A69AD" w:rsidRPr="00101A2A">
        <w:t xml:space="preserve"> the supply </w:t>
      </w:r>
      <w:r w:rsidR="00E5711F" w:rsidRPr="00101A2A">
        <w:t>o</w:t>
      </w:r>
      <w:r w:rsidR="00E5711F">
        <w:t>f</w:t>
      </w:r>
      <w:r w:rsidR="00E5711F" w:rsidRPr="00101A2A">
        <w:t xml:space="preserve"> </w:t>
      </w:r>
      <w:r w:rsidR="001A69AD" w:rsidRPr="00101A2A">
        <w:t xml:space="preserve">SE platforms. </w:t>
      </w:r>
      <w:r w:rsidR="00E5711F">
        <w:t>However</w:t>
      </w:r>
      <w:r w:rsidR="00500CB9">
        <w:t>,</w:t>
      </w:r>
      <w:r w:rsidR="001A69AD" w:rsidRPr="00101A2A">
        <w:t xml:space="preserve"> we uncover that </w:t>
      </w:r>
      <w:r w:rsidR="007E6F8D" w:rsidRPr="00101A2A">
        <w:t xml:space="preserve">as </w:t>
      </w:r>
      <w:r w:rsidR="001A69AD" w:rsidRPr="00101A2A">
        <w:t>the steady consumer demand for SE products might counter these efforts</w:t>
      </w:r>
      <w:r w:rsidR="007E6F8D" w:rsidRPr="00101A2A">
        <w:t>,</w:t>
      </w:r>
      <w:r w:rsidR="001A69AD" w:rsidRPr="00101A2A">
        <w:t xml:space="preserve"> the effect of regulations and consumers’ perceptions </w:t>
      </w:r>
      <w:r w:rsidR="007E6F8D" w:rsidRPr="00101A2A">
        <w:t>shape this effect in an</w:t>
      </w:r>
      <w:r w:rsidR="001A69AD" w:rsidRPr="00101A2A">
        <w:t xml:space="preserve"> intertwined</w:t>
      </w:r>
      <w:r w:rsidR="007E6F8D" w:rsidRPr="00101A2A">
        <w:t xml:space="preserve"> manner</w:t>
      </w:r>
      <w:r w:rsidR="001A69AD" w:rsidRPr="00101A2A">
        <w:t xml:space="preserve">. </w:t>
      </w:r>
    </w:p>
    <w:p w14:paraId="4B66E560" w14:textId="039FD841" w:rsidR="004361EB" w:rsidRPr="00101A2A" w:rsidRDefault="004361EB" w:rsidP="004361EB">
      <w:r w:rsidRPr="00101A2A">
        <w:t xml:space="preserve">Within the broader conversation about the sharing economy and its consequences, this study directs attention </w:t>
      </w:r>
      <w:r w:rsidR="00EC42B1">
        <w:t>to how two types of audiences –</w:t>
      </w:r>
      <w:r w:rsidRPr="00101A2A">
        <w:t xml:space="preserve">consumers and regulators –can shape the effect of Airbnb’s spanner hosts on real estate prices. </w:t>
      </w:r>
      <w:r w:rsidR="00380DC7">
        <w:t xml:space="preserve">Prior research on platforms has extensively examined the behavior of various actors such as complementors </w:t>
      </w:r>
      <w:r w:rsidR="00380DC7" w:rsidRPr="003749C2">
        <w:t>and suppliers</w:t>
      </w:r>
      <w:r w:rsidR="003749C2">
        <w:t xml:space="preserve"> </w:t>
      </w:r>
      <w:r w:rsidR="003749C2">
        <w:fldChar w:fldCharType="begin" w:fldLock="1"/>
      </w:r>
      <w:r w:rsidR="003749C2">
        <w:instrText>ADDIN CSL_CITATION {"citationItems":[{"id":"ITEM-1","itemData":{"DOI":"10.1002/smj","ISBN":"1097-0266","ISSN":"01432095","abstract":"Because the literature on platform competition emphasizes the role of network effects, it prescribes rapidly expanding a network of platform users and complementary applications to capture entire markets. We challenge the unconditional logic of a winner-take-all (WTA) approach by empirically analyzing the dominant strategies used to build and position platform systems in the U.S. video game industry. We show that when platform firms pursue two popular WTA strategies concurrently and with equal intensity (growing the number and variety of applications while also securing a larger fraction of those applications with exclusivity agreements), it diminishes the benefits of each strategy to the point that it lowers platform performance. We also show that a differentiation strategy based on distinctive positioning improves a platform’s performance only when a platform system is highly distinctive relative to its rivals. Our results suggest that platform competition is shaped by important strategic trade-offs and that the WTA approach will not be universally successful.","author":[{"dropping-particle":"","family":"Cennamo","given":"Carmelo","non-dropping-particle":"","parse-names":false,"suffix":""},{"dropping-particle":"","family":"Santalo","given":"Juan","non-dropping-particle":"","parse-names":false,"suffix":""}],"container-title":"Strategic Management Journal","id":"ITEM-1","issued":{"date-parts":[["2013"]]},"page":"1331-1350","title":"Platform competition: Strategic trade-offs in platform markets","type":"article-journal","volume":"34"},"uris":["http://www.mendeley.com/documents/?uuid=9982a4cd-6d18-4628-a3dc-ce075c4ad179"]},{"id":"ITEM-2","itemData":{"DOI":"10.1287/orsc.2017.1183","ISSN":"15265455","abstract":"While two-sided platforms (e.g., video game consoles) depend on complements (e.g., games) for their success, the success of complements is also influenced by platformlevel dynamics. Research suggests that greater platform adoption benefits complements by providing more potential users, but this assumes that platform adopters are homogeneous. We build on extensive research exploring the heterogeneity between early and late platform adopters to identify counterintuitive dynamics for complements. Complements launched early in a platform's life cycle face an audience entirely of early platform adopters, whereas later-launching complements face a mixed audience of both early and late adopters, and we argue that differences in preferences and behavior between early and late adopters affect whether complements will succeed and which types will be most successful. We explore these dynamics in the context of the console video game industry using a unique data set of 2,918 video games released in the United Kingdom from 2000 to 2007. We show that despite the increase in the potential user pool as the platform evolves, video games launched later in the platformlife cycle realize lower sales than those launched earlier. While increased competition explains part of this effect, we show substantial evidence consistent with our theory of preference differences between early and late adopters. This includes the finding that the negative effect is stronger for novel games and that the gap between popular and less popular complements widens as later adopters move into the platform, consistent with late adopters being risk averse and seeking to avoid purchasing mistakes.","author":[{"dropping-particle":"","family":"Rietveld","given":"Joost","non-dropping-particle":"","parse-names":false,"suffix":""},{"dropping-particle":"","family":"Eggers","given":"J. P.","non-dropping-particle":"","parse-names":false,"suffix":""}],"container-title":"Organization Science","id":"ITEM-2","issue":"2","issued":{"date-parts":[["2018"]]},"page":"304-322","title":"Demand heterogeneity in platform markets: Implications for complementors","type":"article-journal","volume":"29"},"uris":["http://www.mendeley.com/documents/?uuid=d1314ca3-4912-4279-a755-bceecd71224a"]},{"id":"ITEM-3","itemData":{"author":[{"dropping-particle":"","family":"Rietveld","given":"Joost","non-dropping-particle":"","parse-names":false,"suffix":""},{"dropping-particle":"","family":"Schilling","given":"Melissa A","non-dropping-particle":"","parse-names":false,"suffix":""}],"container-title":"Journal of Management","id":"ITEM-3","issued":{"date-parts":[["2020"]]},"page":"0-56","title":"Platform competition: A systematic and interdisciplinary review of the literature","type":"article-journal"},"uris":["http://www.mendeley.com/documents/?uuid=ff0ea3dc-e9e6-44e7-ae4e-ca34fd4129ba"]}],"mendeley":{"formattedCitation":"(Cennamo &amp; Santalo, 2013; Rietveld &amp; Eggers, 2018; Rietveld &amp; Schilling, 2020)","manualFormatting":"(e.g., Cennamo &amp; Santalo, 2013; Rietveld &amp; Eggers, 2018; Rietveld &amp; Schilling, 2020)","plainTextFormattedCitation":"(Cennamo &amp; Santalo, 2013; Rietveld &amp; Eggers, 2018; Rietveld &amp; Schilling, 2020)","previouslyFormattedCitation":"(Cennamo &amp; Santalo, 2013; Rietveld &amp; Eggers, 2018; Rietveld &amp; Schilling, 2020)"},"properties":{"noteIndex":0},"schema":"https://github.com/citation-style-language/schema/raw/master/csl-citation.json"}</w:instrText>
      </w:r>
      <w:r w:rsidR="003749C2">
        <w:fldChar w:fldCharType="separate"/>
      </w:r>
      <w:r w:rsidR="003749C2" w:rsidRPr="003749C2">
        <w:rPr>
          <w:noProof/>
        </w:rPr>
        <w:t>(</w:t>
      </w:r>
      <w:r w:rsidR="003749C2">
        <w:rPr>
          <w:noProof/>
        </w:rPr>
        <w:t xml:space="preserve">e.g., </w:t>
      </w:r>
      <w:r w:rsidR="003749C2" w:rsidRPr="003749C2">
        <w:rPr>
          <w:noProof/>
        </w:rPr>
        <w:t>Cennamo &amp; Santalo, 2013; Rietveld &amp; Eggers, 2018; Rietveld &amp; Schilling, 2020)</w:t>
      </w:r>
      <w:r w:rsidR="003749C2">
        <w:fldChar w:fldCharType="end"/>
      </w:r>
      <w:r w:rsidR="003749C2">
        <w:t xml:space="preserve">. </w:t>
      </w:r>
      <w:r w:rsidR="00380DC7" w:rsidRPr="003749C2">
        <w:t>However</w:t>
      </w:r>
      <w:r w:rsidR="00380DC7">
        <w:t xml:space="preserve">, our study focuses on a different type of actor, namely audiences. We present a novel discovery that the categorization of audiences has an impact on the performance of hosts </w:t>
      </w:r>
      <w:r w:rsidR="001F607E" w:rsidRPr="00101A2A">
        <w:fldChar w:fldCharType="begin" w:fldLock="1"/>
      </w:r>
      <w:r w:rsidR="003749C2">
        <w:instrText>ADDIN CSL_CITATION {"citationItems":[{"id":"ITEM-1","itemData":{"DOI":"10.1287/orsc.1120.0764","ISBN":"1047-7039","ISSN":"1047-7039","abstract":"L iterature to date has demonstrated that producers and products spanning multiple categories have inferior market performance. However, two related but distinct explanations exist as to the source of such a discount. One explanation suggests that “actual” skills are degraded when producers attempt to engage across diverse categories. Another explanation involves perceptual fit to category representations held by an audience as the cause. These two explanations tend to be confounded in archival studies because external observers, responsible for the evaluation of market performance, are often aware of both the identity of producers and the underlying characteristics of their products. This leaves researchers unable to empirically separate effects. We present an analysis conducted in a setting in which it was possible to distinguish the two mechanisms: critics’ ratings of the same wines through “blind” and “nonblind” tastings. The findings indicate that after controlling for the value of ratings assigned blindly, the wines made by wineries spanning styles continue to receive lower ratings in the nonblind situation.","author":[{"dropping-particle":"","family":"Negro","given":"Giacomo","non-dropping-particle":"","parse-names":false,"suffix":""},{"dropping-particle":"","family":"Leung","given":"Ming D.","non-dropping-particle":"","parse-names":false,"suffix":""}],"container-title":"Organization Science","id":"ITEM-1","issue":"3","issued":{"date-parts":[["2013"]]},"page":"684-696","title":"\"Actual\" and Perceptual Effects of Category Spanning","type":"article-journal","volume":"24"},"uris":["http://www.mendeley.com/documents/?uuid=14ab5317-81ab-4bf6-b5b5-1c0567f39a14"]},{"id":"ITEM-2","itemData":{"author":[{"dropping-particle":"","family":"Zuckerman","given":"Ezra W","non-dropping-particle":"","parse-names":false,"suffix":""}],"container-title":"American Journal of Sociology","id":"ITEM-2","issue":"5","issued":{"date-parts":[["1999"]]},"page":"1398-1438","title":"The Categorical Imperative : Securities Analysts and the Illegitimacy Discount 1","type":"article-journal","volume":"104"},"uris":["http://www.mendeley.com/documents/?uuid=7f48d0d4-4ac2-4547-98ee-42718da7d341"]}],"mendeley":{"formattedCitation":"(Negro &amp; Leung, 2013; Zuckerman, 1999)","manualFormatting":"(Negro &amp; Leung 2013, Zuckerman 1999)","plainTextFormattedCitation":"(Negro &amp; Leung, 2013; Zuckerman, 1999)","previouslyFormattedCitation":"(Negro &amp; Leung, 2013; Zuckerman, 1999)"},"properties":{"noteIndex":0},"schema":"https://github.com/citation-style-language/schema/raw/master/csl-citation.json"}</w:instrText>
      </w:r>
      <w:r w:rsidR="001F607E" w:rsidRPr="00101A2A">
        <w:fldChar w:fldCharType="separate"/>
      </w:r>
      <w:r w:rsidR="008B1D43" w:rsidRPr="00101A2A">
        <w:rPr>
          <w:noProof/>
        </w:rPr>
        <w:t xml:space="preserve">(Negro </w:t>
      </w:r>
      <w:r w:rsidR="007A7FFA" w:rsidRPr="00101A2A">
        <w:rPr>
          <w:noProof/>
        </w:rPr>
        <w:t>&amp;</w:t>
      </w:r>
      <w:r w:rsidR="008B1D43" w:rsidRPr="00101A2A">
        <w:rPr>
          <w:noProof/>
        </w:rPr>
        <w:t xml:space="preserve"> Leung 2013, Zuckerman 1999)</w:t>
      </w:r>
      <w:r w:rsidR="001F607E" w:rsidRPr="00101A2A">
        <w:fldChar w:fldCharType="end"/>
      </w:r>
      <w:r w:rsidR="00D46C6A" w:rsidRPr="00101A2A">
        <w:t xml:space="preserve">. Specifically, we </w:t>
      </w:r>
      <w:r w:rsidRPr="00101A2A">
        <w:t xml:space="preserve">disentangled the effect of consumers and regulators and </w:t>
      </w:r>
      <w:r w:rsidR="00D46C6A" w:rsidRPr="00101A2A">
        <w:t>f</w:t>
      </w:r>
      <w:r w:rsidR="00084AA7" w:rsidRPr="00101A2A">
        <w:t>ou</w:t>
      </w:r>
      <w:r w:rsidR="00D46C6A" w:rsidRPr="00101A2A">
        <w:t xml:space="preserve">nd that regulation </w:t>
      </w:r>
      <w:r w:rsidR="007B7360" w:rsidRPr="00101A2A">
        <w:t>can</w:t>
      </w:r>
      <w:r w:rsidR="00D46C6A" w:rsidRPr="00101A2A">
        <w:t xml:space="preserve"> help consumers discriminate among </w:t>
      </w:r>
      <w:r w:rsidR="00EF738C" w:rsidRPr="00101A2A">
        <w:t>types</w:t>
      </w:r>
      <w:r w:rsidR="00D46C6A" w:rsidRPr="00101A2A">
        <w:t xml:space="preserve"> of </w:t>
      </w:r>
      <w:r w:rsidR="00B6620A" w:rsidRPr="00101A2A">
        <w:t>hosts</w:t>
      </w:r>
      <w:r w:rsidR="00D46C6A" w:rsidRPr="00101A2A">
        <w:t xml:space="preserve">. </w:t>
      </w:r>
    </w:p>
    <w:p w14:paraId="51228FE2" w14:textId="5333AF50" w:rsidR="007145DE" w:rsidRPr="00101A2A" w:rsidRDefault="004361EB" w:rsidP="004361EB">
      <w:r w:rsidRPr="00101A2A">
        <w:lastRenderedPageBreak/>
        <w:t xml:space="preserve">This discovery thus calls for more research on how </w:t>
      </w:r>
      <w:r w:rsidR="00D46C6A" w:rsidRPr="00101A2A">
        <w:t xml:space="preserve">other types of rules, such as certifications </w:t>
      </w:r>
      <w:r w:rsidR="00D46C6A" w:rsidRPr="00101A2A">
        <w:fldChar w:fldCharType="begin" w:fldLock="1"/>
      </w:r>
      <w:r w:rsidR="003749C2">
        <w:instrText>ADDIN CSL_CITATION {"citationItems":[{"id":"ITEM-1","itemData":{"DOI":"10.2139/ssrn.2233395","ISSN":"1945-7669","abstract":"Quality certification programs help consumers to identify high-quality products or sellers in markets with information asymmetries. Using data from eBay UK’s online marketplace, we study how certification’s impact on consumer demand varies with market- and seller-level attributes, exploiting quasi-experimental variation in sellers’ certification status. The positive effects of eBay’s “top rated seller” certification are stronger for categories with relatively few other certified sellers, in more competitive markets, and for sellers with shorter records of past performance. These findings indicate certification provides its greatest value when certification is rare, the product space is crowded, and for sellers lacking established reputations.","author":[{"dropping-particle":"","family":"Elfenbein","given":"Daniel W.","non-dropping-particle":"","parse-names":false,"suffix":""},{"dropping-particle":"","family":"Fisman","given":"Raymond","non-dropping-particle":"","parse-names":false,"suffix":""},{"dropping-particle":"","family":"McManus","given":"Brian","non-dropping-particle":"","parse-names":false,"suffix":""}],"container-title":"American Econimic Association","id":"ITEM-1","issue":"4","issued":{"date-parts":[["2015"]]},"page":"83-108","title":"Market Structure, Reputation, and the Value of Quality Certification","type":"article-journal","volume":"7"},"uris":["http://www.mendeley.com/documents/?uuid=57028061-e829-4d98-ba23-58869a47ce20"]},{"id":"ITEM-2","itemData":{"DOI":"10.1287/STSC.2021.0135","ISSN":"23332077","abstract":"We study how a multisided platform's decision to certify a subset of its complementors affects those complementors and ultimately the platform itself. Kiva, a microfinance platform, introduced a social performance badging program in December 2011. The badging program appears to have been beneficial to Kiva-it led to more borrowers, lenders, total funding, and amount of funding per lender. To better understand the mechanisms behind this performance increase, we study how the badging program changed the bundle of products offered by Kiva's complementors. We find that Kiva's certification leads badged microfinance institutions to reorient their loan portfolio composition to align with the certification and that the extent of portfolio reorientation varies across microfinance institutions, depending on underlying demand- and supply-side factors. We further show that certified microfinance institutions that do align their loan portfolios enjoy stronger demand-side benefits than do certified microfinance institutions that do not align their loan portfolios. We therefore demonstrate that platforms can influence the product offerings and performance of their complementors-and, subsequently, the performance of the ecosystem overall-through careful enactment of governance strategies, a process we call \"market orchestration\".","author":[{"dropping-particle":"","family":"Rietveld","given":"Joost","non-dropping-particle":"","parse-names":false,"suffix":""},{"dropping-particle":"","family":"Seamans","given":"Robert","non-dropping-particle":"","parse-names":false,"suffix":""},{"dropping-particle":"","family":"Meggiorin","given":"Katia","non-dropping-particle":"","parse-names":false,"suffix":""}],"container-title":"Strategy Science","id":"ITEM-2","issue":"3","issued":{"date-parts":[["2021"]]},"page":"244-264","title":"Market orchestrators: The effects of certification on platforms and their complementors","type":"article-journal","volume":"6"},"uris":["http://www.mendeley.com/documents/?uuid=c4a57f0b-0268-418d-b7c1-acec0ee1d16f"]},{"id":"ITEM-3","itemData":{"DOI":"10.25300/MISQ/2020/15190","ISSN":"21629730","abstract":"The generation of platform content is essential for platform growth and competition. However, the overwhelming number of platform complementors makes it impossible for platform operators to engage in extensive communication with each complementor about which content contributions are desired. Therefore, platform operators need to find a way to signal strategic interests to platform complementors. In this paper, we employ a mixed-methods design using data from the geodata platform OpenStreetMap to develop and test two distinct types of platform signals as a means of implementing a platform operator's strategy: (1) opportunity signals, which aim to stimulate activity in new areas of the platform, and (2) endorsement signals, which aim to increase activity in existing areas of the platform. In particular, we examine how platform signals influence the generation of platform content in terms of the volume and diversity of information on the platform. We contribute important insights to the platform governance literature by developing and empirically testing a signaling perspective on the generation of platform content and discussing its implications for guiding platform complementors in content creation.","author":[{"dropping-particle":"","family":"Hukal","given":"Philipp","non-dropping-particle":"","parse-names":false,"suffix":""},{"dropping-particle":"","family":"Henfridsson","given":"Ola","non-dropping-particle":"","parse-names":false,"suffix":""},{"dropping-particle":"","family":"Shaikh","given":"Maha","non-dropping-particle":"","parse-names":false,"suffix":""},{"dropping-particle":"","family":"Parker","given":"Geoffrey","non-dropping-particle":"","parse-names":false,"suffix":""}],"container-title":"MIS Quarterly: Management Information Systems","id":"ITEM-3","issue":"3","issued":{"date-parts":[["2020"]]},"page":"1177-1206","title":"Platform signaling for generating platform content","type":"article-journal","volume":"44"},"uris":["http://www.mendeley.com/documents/?uuid=6a92f0f1-85bc-4220-9568-c351d9f1f87b"]},{"id":"ITEM-4","itemData":{"DOI":"10.5465/amd.2017.0068","abstract":"We investigate the impact of B Lab certification—a rapidly growing type of third-party certification for organizations with social and/or environmental missions—on the short-term growth rates of ce...","author":[{"dropping-particle":"","family":"Parker","given":"Simon C.","non-dropping-particle":"","parse-names":false,"suffix":""},{"dropping-particle":"","family":"Gamble","given":"Edward N.","non-dropping-particle":"","parse-names":false,"suffix":""},{"dropping-particle":"","family":"Moroz","given":"Peter W.","non-dropping-particle":"","parse-names":false,"suffix":""},{"dropping-particle":"","family":"Branzei","given":"Oana","non-dropping-particle":"","parse-names":false,"suffix":""}],"container-title":"Academy of Management Discoveries","id":"ITEM-4","issue":"1","issued":{"date-parts":[["2019"]]},"page":"57-77","title":"The Impact of B Lab Certification on Firm Growth","type":"article-journal","volume":"5"},"uris":["http://www.mendeley.com/documents/?uuid=6717c320-8f57-4e33-81e8-e53eb084cb81"]}],"mendeley":{"formattedCitation":"(Elfenbein, Fisman, &amp; McManus, 2015; Hukal, Henfridsson, Shaikh, &amp; Parker, 2020; Parker, Gamble, Moroz, &amp; Branzei, 2019; Rietveld, Seamans, &amp; Meggiorin, 2021)","plainTextFormattedCitation":"(Elfenbein, Fisman, &amp; McManus, 2015; Hukal, Henfridsson, Shaikh, &amp; Parker, 2020; Parker, Gamble, Moroz, &amp; Branzei, 2019; Rietveld, Seamans, &amp; Meggiorin, 2021)","previouslyFormattedCitation":"(Elfenbein, Fisman, &amp; McManus, 2015; Hukal, Henfridsson, Shaikh, &amp; Parker, 2020; Parker, Gamble, Moroz, &amp; Branzei, 2019; Rietveld, Seamans, &amp; Meggiorin, 2021)"},"properties":{"noteIndex":0},"schema":"https://github.com/citation-style-language/schema/raw/master/csl-citation.json"}</w:instrText>
      </w:r>
      <w:r w:rsidR="00D46C6A" w:rsidRPr="00101A2A">
        <w:fldChar w:fldCharType="separate"/>
      </w:r>
      <w:r w:rsidR="006A7A22" w:rsidRPr="006A7A22">
        <w:rPr>
          <w:noProof/>
        </w:rPr>
        <w:t>(Elfenbein, Fisman, &amp; McManus, 2015; Hukal, Henfridsson, Shaikh, &amp; Parker, 2020; Parker, Gamble, Moroz, &amp; Branzei, 2019; Rietveld, Seamans, &amp; Meggiorin, 2021)</w:t>
      </w:r>
      <w:r w:rsidR="00D46C6A" w:rsidRPr="00101A2A">
        <w:fldChar w:fldCharType="end"/>
      </w:r>
      <w:r w:rsidR="00D46C6A" w:rsidRPr="00101A2A">
        <w:t xml:space="preserve">, may </w:t>
      </w:r>
      <w:r w:rsidR="00A15545" w:rsidRPr="00101A2A">
        <w:t xml:space="preserve">influence how </w:t>
      </w:r>
      <w:r w:rsidR="00D46C6A" w:rsidRPr="00101A2A">
        <w:t xml:space="preserve">consumers assess the value or quality of products that they purchase and thus may shape </w:t>
      </w:r>
      <w:r w:rsidR="007B7360" w:rsidRPr="00101A2A">
        <w:t xml:space="preserve">platform </w:t>
      </w:r>
      <w:r w:rsidR="00D46C6A" w:rsidRPr="00101A2A">
        <w:t xml:space="preserve">dynamics. </w:t>
      </w:r>
      <w:r w:rsidR="004D2378" w:rsidRPr="00101A2A">
        <w:t>C</w:t>
      </w:r>
      <w:r w:rsidR="007145DE" w:rsidRPr="00101A2A">
        <w:t>ertification</w:t>
      </w:r>
      <w:r w:rsidR="00500CB9">
        <w:t>s</w:t>
      </w:r>
      <w:r w:rsidR="007145DE" w:rsidRPr="00101A2A">
        <w:t xml:space="preserve"> </w:t>
      </w:r>
      <w:r w:rsidR="004D2378" w:rsidRPr="00101A2A">
        <w:t xml:space="preserve">might further </w:t>
      </w:r>
      <w:r w:rsidR="007145DE" w:rsidRPr="00101A2A">
        <w:t xml:space="preserve">narrow the set of attributes allowed to prototypical actors. </w:t>
      </w:r>
      <w:r w:rsidR="00D46C6A" w:rsidRPr="00101A2A">
        <w:t xml:space="preserve">Furthermore, </w:t>
      </w:r>
      <w:r w:rsidR="00A15545" w:rsidRPr="00101A2A">
        <w:t>we f</w:t>
      </w:r>
      <w:r w:rsidR="00930E29" w:rsidRPr="00101A2A">
        <w:t>ou</w:t>
      </w:r>
      <w:r w:rsidR="00A15545" w:rsidRPr="00101A2A">
        <w:t xml:space="preserve">nd that the effect of regulation is driven </w:t>
      </w:r>
      <w:r w:rsidR="002457B3" w:rsidRPr="00101A2A">
        <w:t xml:space="preserve">not </w:t>
      </w:r>
      <w:r w:rsidR="00A15545" w:rsidRPr="00101A2A">
        <w:t xml:space="preserve">by enforcement but rather by </w:t>
      </w:r>
      <w:r w:rsidR="004D2378" w:rsidRPr="00101A2A">
        <w:t xml:space="preserve">its </w:t>
      </w:r>
      <w:r w:rsidR="0046754B" w:rsidRPr="00101A2A">
        <w:t>announcement</w:t>
      </w:r>
      <w:r w:rsidR="00A15545" w:rsidRPr="00101A2A">
        <w:t xml:space="preserve">. </w:t>
      </w:r>
      <w:r w:rsidR="004D2378" w:rsidRPr="00101A2A">
        <w:t>F</w:t>
      </w:r>
      <w:r w:rsidR="00D46C6A" w:rsidRPr="00101A2A">
        <w:t xml:space="preserve">uture </w:t>
      </w:r>
      <w:r w:rsidR="007145DE" w:rsidRPr="00101A2A">
        <w:t xml:space="preserve">research </w:t>
      </w:r>
      <w:r w:rsidR="00EC42B1">
        <w:t>should</w:t>
      </w:r>
      <w:r w:rsidR="004D2378" w:rsidRPr="00101A2A">
        <w:t xml:space="preserve"> </w:t>
      </w:r>
      <w:r w:rsidR="007145DE" w:rsidRPr="00101A2A">
        <w:t>separate the two stages of certification</w:t>
      </w:r>
      <w:r w:rsidR="00500CB9">
        <w:t>s</w:t>
      </w:r>
      <w:r w:rsidR="007145DE" w:rsidRPr="00101A2A">
        <w:t xml:space="preserve"> (approval and implementation) and investigate their </w:t>
      </w:r>
      <w:r w:rsidR="004D2378" w:rsidRPr="00101A2A">
        <w:t xml:space="preserve">potentially </w:t>
      </w:r>
      <w:r w:rsidR="007145DE" w:rsidRPr="00101A2A">
        <w:t>different effect</w:t>
      </w:r>
      <w:r w:rsidR="004D2378" w:rsidRPr="00101A2A">
        <w:t>s</w:t>
      </w:r>
      <w:r w:rsidR="007145DE" w:rsidRPr="00101A2A">
        <w:t xml:space="preserve"> on transactions completed within the platform.</w:t>
      </w:r>
    </w:p>
    <w:p w14:paraId="008BBBC3" w14:textId="32F17D64" w:rsidR="004361EB" w:rsidRPr="00101A2A" w:rsidRDefault="004361EB" w:rsidP="00B723BA">
      <w:pPr>
        <w:pStyle w:val="Heading2"/>
      </w:pPr>
      <w:r w:rsidRPr="00101A2A">
        <w:t>Implications for research on categories</w:t>
      </w:r>
    </w:p>
    <w:p w14:paraId="5F9F85EC" w14:textId="405A379F" w:rsidR="00AF2ECB" w:rsidRPr="00101A2A" w:rsidRDefault="000F079F" w:rsidP="001D04B8">
      <w:pPr>
        <w:pStyle w:val="Heading3"/>
      </w:pPr>
      <w:r>
        <w:rPr>
          <w:lang w:val="en-US"/>
        </w:rPr>
        <w:t>Categories as</w:t>
      </w:r>
      <w:r w:rsidR="00AF2ECB" w:rsidRPr="00101A2A">
        <w:rPr>
          <w:lang w:val="en-US"/>
        </w:rPr>
        <w:t xml:space="preserve"> pathways to legitimacy</w:t>
      </w:r>
    </w:p>
    <w:p w14:paraId="23C68E9B" w14:textId="7DFD9D32" w:rsidR="00D316F7" w:rsidRPr="00101A2A" w:rsidRDefault="00354B1B" w:rsidP="005F46B5">
      <w:r>
        <w:t>O</w:t>
      </w:r>
      <w:r w:rsidR="005F46B5" w:rsidRPr="00101A2A">
        <w:t xml:space="preserve">ur discovery suggests that how consumers and regulators categorize the hosts on Airbnb may have </w:t>
      </w:r>
      <w:r w:rsidR="00E5711F">
        <w:t xml:space="preserve">an </w:t>
      </w:r>
      <w:r w:rsidR="005F46B5" w:rsidRPr="00101A2A">
        <w:t>interdependent effect on how Airbnb shapes real estate prices</w:t>
      </w:r>
      <w:r>
        <w:t xml:space="preserve"> and thus </w:t>
      </w:r>
      <w:r w:rsidRPr="00101A2A">
        <w:t>calls for greater engagement of the research on platforms with the literature on categories</w:t>
      </w:r>
      <w:r w:rsidR="005F46B5" w:rsidRPr="00101A2A">
        <w:t>. Specifically, this</w:t>
      </w:r>
      <w:r w:rsidR="0096554C" w:rsidRPr="00101A2A">
        <w:t xml:space="preserve"> study make</w:t>
      </w:r>
      <w:r w:rsidR="0028115C" w:rsidRPr="00101A2A">
        <w:t>s</w:t>
      </w:r>
      <w:r w:rsidR="0096554C" w:rsidRPr="00101A2A">
        <w:t xml:space="preserve"> two novel contribution</w:t>
      </w:r>
      <w:r w:rsidR="0075316E" w:rsidRPr="00101A2A">
        <w:t>s</w:t>
      </w:r>
      <w:r w:rsidR="0096554C" w:rsidRPr="00101A2A">
        <w:t xml:space="preserve"> to the literature on </w:t>
      </w:r>
      <w:r w:rsidR="00641139" w:rsidRPr="00101A2A">
        <w:t>categories</w:t>
      </w:r>
      <w:r w:rsidR="0096554C" w:rsidRPr="00101A2A">
        <w:t xml:space="preserve">. First, we contribute </w:t>
      </w:r>
      <w:r w:rsidR="0057561B" w:rsidRPr="00101A2A">
        <w:t>to th</w:t>
      </w:r>
      <w:r w:rsidR="00084AA7" w:rsidRPr="00101A2A">
        <w:t>e</w:t>
      </w:r>
      <w:r w:rsidR="0057561B" w:rsidRPr="00101A2A">
        <w:t xml:space="preserve"> literature on </w:t>
      </w:r>
      <w:r w:rsidR="00641139" w:rsidRPr="00101A2A">
        <w:t xml:space="preserve">categories </w:t>
      </w:r>
      <w:r w:rsidR="0057561B" w:rsidRPr="00101A2A">
        <w:t xml:space="preserve">as a pathway to legitimacy </w:t>
      </w:r>
      <w:r w:rsidR="0057561B" w:rsidRPr="00101A2A">
        <w:fldChar w:fldCharType="begin" w:fldLock="1"/>
      </w:r>
      <w:r w:rsidR="003749C2">
        <w:instrText>ADDIN CSL_CITATION {"citationItems":[{"id":"ITEM-1","itemData":{"DOI":"10.1016/j.respol.2014.08.003","ISSN":"00487333","abstract":"Technology transfer offices (TTOs) are of strategic importance to universities committed to the commercialization of academic knowledge. Within the university, TTOs' relationship with academics and management is single agent-multiple principal. When two principals exist in an agency relationship, conflicting expectations can naturally arise. We explore how TTOs build legitimacy by shaping identity with university academics and management. In undertaking this research we draw on 63 interviews with TTO executives across 22 universities in the Ireland, New Zealand and the United States. We find that TTOs use identity-conformance and identity-manipulation to shape a dual identity, one scientific and the other business, with academics and management respectively. We show how this combination of identity strategies is ineffective for legitimizing the TTO. We propose that TTOs' identity shaping strategies are incomplete and need to incorporate a wholly distinctive identity to complement and reinforce preliminary legitimacy claims made through conformance and manipulation. We discuss the potential implications of these findings for scholars, TTO executives and university management.","author":[{"dropping-particle":"","family":"O'Kane","given":"Conor","non-dropping-particle":"","parse-names":false,"suffix":""},{"dropping-particle":"","family":"Mangematin","given":"Vincent","non-dropping-particle":"","parse-names":false,"suffix":""},{"dropping-particle":"","family":"Geoghegan","given":"Will","non-dropping-particle":"","parse-names":false,"suffix":""},{"dropping-particle":"","family":"Fitzgerald","given":"Ciara","non-dropping-particle":"","parse-names":false,"suffix":""}],"container-title":"Research Policy","id":"ITEM-1","issue":"2","issued":{"date-parts":[["2015"]]},"page":"421-437","publisher":"Elsevier B.V.","title":"University technology transfer offices: The search for identity to build legitimacy","type":"article-journal","volume":"44"},"uris":["http://www.mendeley.com/documents/?uuid=62eebfff-b9c5-49ac-b089-d25512129eef"]},{"id":"ITEM-2","itemData":{"author":[{"dropping-particle":"","family":"Ozcan","given":"Pinar","non-dropping-particle":"","parse-names":false,"suffix":""},{"dropping-particle":"","family":"Gurses","given":"Kerem","non-dropping-particle":"","parse-names":false,"suffix":""}],"container-title":"Academy of Management Journal","id":"ITEM-2","issue":"5","issued":{"date-parts":[["2018"]]},"note":"THIS IS A PRELIMINARY VERSION OF THE PAPER. \nNOT THE FINAL PUBLISHED","page":"1789-1820","title":"Playing cat and mouse: Contests over regulatory categorization of dietary supplements in the US","type":"article-journal","volume":"61"},"uris":["http://www.mendeley.com/documents/?uuid=509029e6-a90f-4f12-a1ac-7db371246093"]}],"mendeley":{"formattedCitation":"(O’Kane et al., 2015; Ozcan &amp; Gurses, 2018)","plainTextFormattedCitation":"(O’Kane et al., 2015; Ozcan &amp; Gurses, 2018)","previouslyFormattedCitation":"(O’Kane et al., 2015; Ozcan &amp; Gurses, 2018)"},"properties":{"noteIndex":0},"schema":"https://github.com/citation-style-language/schema/raw/master/csl-citation.json"}</w:instrText>
      </w:r>
      <w:r w:rsidR="0057561B" w:rsidRPr="00101A2A">
        <w:fldChar w:fldCharType="separate"/>
      </w:r>
      <w:r w:rsidR="006A7A22" w:rsidRPr="006A7A22">
        <w:rPr>
          <w:noProof/>
        </w:rPr>
        <w:t>(O’Kane et al., 2015; Ozcan &amp; Gurses, 2018)</w:t>
      </w:r>
      <w:r w:rsidR="0057561B" w:rsidRPr="00101A2A">
        <w:fldChar w:fldCharType="end"/>
      </w:r>
      <w:r w:rsidR="0096554C" w:rsidRPr="00101A2A">
        <w:t>. W</w:t>
      </w:r>
      <w:r w:rsidR="00534589" w:rsidRPr="00101A2A">
        <w:t xml:space="preserve">e </w:t>
      </w:r>
      <w:r w:rsidR="00410302" w:rsidRPr="00101A2A">
        <w:t>f</w:t>
      </w:r>
      <w:r w:rsidR="009C267A" w:rsidRPr="00101A2A">
        <w:t>ou</w:t>
      </w:r>
      <w:r w:rsidR="00410302" w:rsidRPr="00101A2A">
        <w:t>nd</w:t>
      </w:r>
      <w:r w:rsidR="00534589" w:rsidRPr="00101A2A">
        <w:t xml:space="preserve"> that </w:t>
      </w:r>
      <w:r w:rsidR="002A4485" w:rsidRPr="00101A2A">
        <w:t xml:space="preserve">both </w:t>
      </w:r>
      <w:r w:rsidR="00E5711F">
        <w:t xml:space="preserve">the </w:t>
      </w:r>
      <w:r w:rsidR="00756D62" w:rsidRPr="00101A2A">
        <w:t>regulation</w:t>
      </w:r>
      <w:r w:rsidR="003C0890" w:rsidRPr="00101A2A">
        <w:t xml:space="preserve"> of the </w:t>
      </w:r>
      <w:r w:rsidR="006149E9" w:rsidRPr="00101A2A">
        <w:t>SE</w:t>
      </w:r>
      <w:r w:rsidR="003C0890" w:rsidRPr="00101A2A">
        <w:t xml:space="preserve"> and increased consumer </w:t>
      </w:r>
      <w:r w:rsidR="006F2781" w:rsidRPr="00101A2A">
        <w:t>attention</w:t>
      </w:r>
      <w:r w:rsidR="003C0890" w:rsidRPr="00101A2A">
        <w:t xml:space="preserve"> </w:t>
      </w:r>
      <w:r w:rsidR="004D2378" w:rsidRPr="00101A2A">
        <w:t xml:space="preserve">to </w:t>
      </w:r>
      <w:r w:rsidR="003C0890" w:rsidRPr="00101A2A">
        <w:t xml:space="preserve">the differences between spanners and single-listing hosts </w:t>
      </w:r>
      <w:r w:rsidR="00534589" w:rsidRPr="00101A2A">
        <w:t>reduc</w:t>
      </w:r>
      <w:r w:rsidR="002A4485" w:rsidRPr="00101A2A">
        <w:t>e</w:t>
      </w:r>
      <w:r w:rsidR="00534589" w:rsidRPr="00101A2A">
        <w:t xml:space="preserve"> the positive impact of </w:t>
      </w:r>
      <w:r w:rsidR="003C0890" w:rsidRPr="00101A2A">
        <w:t xml:space="preserve">spanners </w:t>
      </w:r>
      <w:r w:rsidR="00534589" w:rsidRPr="00101A2A">
        <w:t xml:space="preserve">on </w:t>
      </w:r>
      <w:r w:rsidR="00A901E1" w:rsidRPr="00101A2A">
        <w:t>real estate prices</w:t>
      </w:r>
      <w:r w:rsidR="002A4485" w:rsidRPr="00101A2A">
        <w:t xml:space="preserve"> and that the</w:t>
      </w:r>
      <w:r w:rsidR="00534589" w:rsidRPr="00101A2A">
        <w:t xml:space="preserve"> </w:t>
      </w:r>
      <w:r w:rsidR="002A4485" w:rsidRPr="00101A2A">
        <w:t>r</w:t>
      </w:r>
      <w:r w:rsidR="00F66276" w:rsidRPr="00101A2A">
        <w:t xml:space="preserve">egulatory changes </w:t>
      </w:r>
      <w:r w:rsidR="00A15545" w:rsidRPr="00101A2A">
        <w:t>shap</w:t>
      </w:r>
      <w:r w:rsidR="002A4485" w:rsidRPr="00101A2A">
        <w:t>ed</w:t>
      </w:r>
      <w:r w:rsidR="00A15545" w:rsidRPr="00101A2A">
        <w:t xml:space="preserve"> consumer perceptions</w:t>
      </w:r>
      <w:r w:rsidR="00F66276" w:rsidRPr="00101A2A">
        <w:t xml:space="preserve">. </w:t>
      </w:r>
      <w:r w:rsidR="003A3010">
        <w:t>Audiences generally</w:t>
      </w:r>
      <w:r w:rsidR="00BD3A2D" w:rsidRPr="00101A2A">
        <w:t xml:space="preserve"> </w:t>
      </w:r>
      <w:r w:rsidR="00BC2E13" w:rsidRPr="00101A2A">
        <w:t>differ in their</w:t>
      </w:r>
      <w:r w:rsidR="00BD3A2D" w:rsidRPr="00101A2A">
        <w:t xml:space="preserve"> categorization </w:t>
      </w:r>
      <w:r w:rsidR="00BC2E13" w:rsidRPr="00101A2A">
        <w:t>of</w:t>
      </w:r>
      <w:r w:rsidR="00BD3A2D" w:rsidRPr="00101A2A">
        <w:t xml:space="preserve"> the same </w:t>
      </w:r>
      <w:r w:rsidR="00C7691C" w:rsidRPr="00101A2A">
        <w:t xml:space="preserve">industry </w:t>
      </w:r>
      <w:r w:rsidR="00BC2E13" w:rsidRPr="00101A2A">
        <w:fldChar w:fldCharType="begin" w:fldLock="1"/>
      </w:r>
      <w:r w:rsidR="003749C2">
        <w:instrText>ADDIN CSL_CITATION {"citationItems":[{"id":"ITEM-1","itemData":{"DOI":"10.1177/0001839212446689","ISBN":"99-05-037E","ISSN":"0001-8392","PMID":"76538843","abstract":"This paper questions findings indicating that when organizations are hard to classify they will suffer in terms of external evaluations. Here, I suggest this depends on the audience evaluating the organization. Audiences that are ‘‘market-takers’’ consume or evaluate goods and use market labels to find and assess organizations; for them, ambiguous labels make organizations unclear and therefore less appealing. ‘‘Market-makers’’ are interested in redefining the market structure, and as a result, this type of audience sees the same ambigu- ity as flexible and therefore more appealing. I tested these ideas in a longitudi- nal analysis of U.S. software organizations between 1990 and 2002. As predicted, organizations that claim ambiguous labels are less appealing to con- sumers, an audience of market-takers, but more appealing to venture capital- ists, who are market-makers. Further, when labels are ambiguous, aversion to or preference for ambiguity arises from the label itself. Identifying with multiple ambiguous labels does not make an organization even less appealing to a con- sumer or more appealing to a venture capitalist. Finally, all types of venture capitalists are not alike in how they react to a label’s ambiguity. Independent venture capitalists act as market-makers and prefer organizations with ambigu- ous labels, while corporate venture capitalists act as market-takers and avoid them.","author":[{"dropping-particle":"","family":"Pontikes","given":"Elizabeth G","non-dropping-particle":"","parse-names":false,"suffix":""}],"container-title":"Administrative Science Quarterly","id":"ITEM-1","issue":"1","issued":{"date-parts":[["2012"]]},"page":"81-118","title":"Two Sides of the Same Coin: How Category Leniency Affects Multiple Audience Evaluations","type":"article-journal","volume":"57"},"uris":["http://www.mendeley.com/documents/?uuid=6af88d63-546d-4d9a-a5f3-9604442d127b"]},{"id":"ITEM-2","itemData":{"DOI":"10.1002/smj","author":[{"dropping-particle":"","family":"Zhao","given":"Eric Y.","non-dropping-particle":"","parse-names":false,"suffix":""},{"dropping-particle":"","family":"Fisher","given":"Greg","non-dropping-particle":"","parse-names":false,"suffix":""},{"dropping-particle":"","family":"Lounsbury","given":"Michael","non-dropping-particle":"","parse-names":false,"suffix":""},{"dropping-particle":"","family":"Miller","given":"Danny","non-dropping-particle":"","parse-names":false,"suffix":""}],"container-title":"Strategic Management Journal","id":"ITEM-2","issue":"1","issued":{"date-parts":[["2017"]]},"page":"93-113","title":"Optimal distinctiveness: Broadening the interface between institutional theory and strategic management","type":"article-journal","volume":"38"},"uris":["http://www.mendeley.com/documents/?uuid=b2560e21-3895-41eb-a649-a80a343a65ce"]},{"id":"ITEM-3","itemData":{"DOI":"10.1002/smj.3229","ISSN":"10970266","abstract":"Research summary: Optimal distinctiveness theory highlights that firms need to balance opposing pressures for differentiation (to gain competitive benefits) and conformity (to gain legitimacy). Yet, extant optimal distinctiveness research rarely considers that the pressure for conformity can substantially vary between competing firms. Studying the positioning and growth performance of competing platforms in the market for Massive Open Online Courses (MOOCs), we find that platforms' access to high-status complementors—a common source of legitimacy in platform markets—substantially shapes the relationship between platforms' distinctiveness and user growth. Our longitudinal models show that platforms only benefit from a (moderately) distinctive positioning once they have buffered a certain amount of legitimacy. Our findings strongly suggest that firms can alleviate conformity pressures by accessing alternative sources of legitimacy. Managerial summary: When does differentiation pay off? We study this question in the increasingly important context of platform markets to explain differences in platforms' user growth. Our longitudinal study of competition in the market for Massive Open Online Courses (MOOCs)—in which platforms like Coursera and Udacity compete for online learners as users—shows that the performance implications of a distinctive positioning substantially depend on the legitimacy that a platform has gained from attracting high-status organizations as complementors. Platforms only benefit from differentiation once they surpass a certain legitimacy threshold, and the legitimacy they gain beyond this threshold accelerates the benefits of a (moderately) distinctive positioning.","author":[{"dropping-particle":"","family":"Taeuscher","given":"Karl","non-dropping-particle":"","parse-names":false,"suffix":""},{"dropping-particle":"","family":"Rothe","given":"Hannes","non-dropping-particle":"","parse-names":false,"suffix":""}],"container-title":"Strategic Management Journal","id":"ITEM-3","issue":"2","issued":{"date-parts":[["2021"]]},"page":"435-461","title":"Optimal distinctiveness in platform markets: Leveraging complementors as legitimacy buffers","type":"article-journal","volume":"42"},"uris":["http://www.mendeley.com/documents/?uuid=39917113-3adb-4743-9877-463086a4c548"]}],"mendeley":{"formattedCitation":"(Pontikes, 2012; Taeuscher &amp; Rothe, 2021; Zhao, Fisher, Lounsbury, &amp; Miller, 2017)","manualFormatting":"(Pontikes, 2012; Taeuscher &amp; Rothe, 2021; Zhao, Fisher, Lounsbury, &amp; Miller, 2017)","plainTextFormattedCitation":"(Pontikes, 2012; Taeuscher &amp; Rothe, 2021; Zhao, Fisher, Lounsbury, &amp; Miller, 2017)","previouslyFormattedCitation":"(Pontikes, 2012; Taeuscher &amp; Rothe, 2021; Zhao, Fisher, Lounsbury, &amp; Miller, 2017)"},"properties":{"noteIndex":0},"schema":"https://github.com/citation-style-language/schema/raw/master/csl-citation.json"}</w:instrText>
      </w:r>
      <w:r w:rsidR="00BC2E13" w:rsidRPr="00101A2A">
        <w:fldChar w:fldCharType="separate"/>
      </w:r>
      <w:r w:rsidR="00BC2E13" w:rsidRPr="00101A2A">
        <w:rPr>
          <w:noProof/>
        </w:rPr>
        <w:t>(Pontikes</w:t>
      </w:r>
      <w:r w:rsidR="00D359AB" w:rsidRPr="00101A2A">
        <w:rPr>
          <w:noProof/>
        </w:rPr>
        <w:t>,</w:t>
      </w:r>
      <w:r w:rsidR="00BC2E13" w:rsidRPr="00101A2A">
        <w:rPr>
          <w:noProof/>
        </w:rPr>
        <w:t xml:space="preserve"> 2012</w:t>
      </w:r>
      <w:r w:rsidR="00D359AB" w:rsidRPr="00101A2A">
        <w:rPr>
          <w:noProof/>
        </w:rPr>
        <w:t>;</w:t>
      </w:r>
      <w:r w:rsidR="00BC2E13" w:rsidRPr="00101A2A">
        <w:rPr>
          <w:noProof/>
        </w:rPr>
        <w:t xml:space="preserve"> Taeuscher </w:t>
      </w:r>
      <w:r w:rsidR="00D359AB" w:rsidRPr="00101A2A">
        <w:rPr>
          <w:noProof/>
        </w:rPr>
        <w:t>&amp;</w:t>
      </w:r>
      <w:r w:rsidR="00BC2E13" w:rsidRPr="00101A2A">
        <w:rPr>
          <w:noProof/>
        </w:rPr>
        <w:t xml:space="preserve"> Rothe</w:t>
      </w:r>
      <w:r w:rsidR="00D359AB" w:rsidRPr="00101A2A">
        <w:rPr>
          <w:noProof/>
        </w:rPr>
        <w:t>,</w:t>
      </w:r>
      <w:r w:rsidR="00BC2E13" w:rsidRPr="00101A2A">
        <w:rPr>
          <w:noProof/>
        </w:rPr>
        <w:t xml:space="preserve"> 2021</w:t>
      </w:r>
      <w:r w:rsidR="00D359AB" w:rsidRPr="00101A2A">
        <w:rPr>
          <w:noProof/>
        </w:rPr>
        <w:t>;</w:t>
      </w:r>
      <w:r w:rsidR="00BC2E13" w:rsidRPr="00101A2A">
        <w:rPr>
          <w:noProof/>
        </w:rPr>
        <w:t xml:space="preserve"> Zhao</w:t>
      </w:r>
      <w:r w:rsidR="00D359AB" w:rsidRPr="00101A2A">
        <w:rPr>
          <w:noProof/>
        </w:rPr>
        <w:t>, Fisher, Lounsbury, &amp; Miller,</w:t>
      </w:r>
      <w:r w:rsidR="00BC2E13" w:rsidRPr="00101A2A">
        <w:rPr>
          <w:noProof/>
        </w:rPr>
        <w:t xml:space="preserve"> 2017)</w:t>
      </w:r>
      <w:r w:rsidR="00BC2E13" w:rsidRPr="00101A2A">
        <w:fldChar w:fldCharType="end"/>
      </w:r>
      <w:r w:rsidR="00BC2E13" w:rsidRPr="00101A2A">
        <w:t xml:space="preserve">. However, </w:t>
      </w:r>
      <w:r w:rsidR="002A4485" w:rsidRPr="00101A2A">
        <w:t xml:space="preserve">our </w:t>
      </w:r>
      <w:r w:rsidR="00BC2E13" w:rsidRPr="00101A2A">
        <w:t>study suggests that audiences influence each other</w:t>
      </w:r>
      <w:r w:rsidR="002A4485" w:rsidRPr="00101A2A">
        <w:t>;</w:t>
      </w:r>
      <w:r w:rsidR="008A6831" w:rsidRPr="00101A2A">
        <w:t xml:space="preserve"> regulators and consumers have intertwined effect</w:t>
      </w:r>
      <w:r w:rsidR="002A4485" w:rsidRPr="00101A2A">
        <w:t>s</w:t>
      </w:r>
      <w:r w:rsidR="008A6831" w:rsidRPr="00101A2A">
        <w:t>.</w:t>
      </w:r>
      <w:r w:rsidR="00B50AA1" w:rsidRPr="00101A2A">
        <w:t xml:space="preserve"> </w:t>
      </w:r>
      <w:r w:rsidR="0026298E" w:rsidRPr="00101A2A">
        <w:t>More</w:t>
      </w:r>
      <w:r w:rsidR="00B50AA1" w:rsidRPr="00101A2A">
        <w:t xml:space="preserve"> research </w:t>
      </w:r>
      <w:r w:rsidR="0026298E" w:rsidRPr="00101A2A">
        <w:t xml:space="preserve">is needed </w:t>
      </w:r>
      <w:r w:rsidR="00B50AA1" w:rsidRPr="00101A2A">
        <w:t>to investigate the conditions under which heterogeneous audiences</w:t>
      </w:r>
      <w:r w:rsidR="008A6831" w:rsidRPr="00101A2A">
        <w:t xml:space="preserve"> (beyond</w:t>
      </w:r>
      <w:r w:rsidR="002A4485" w:rsidRPr="00101A2A">
        <w:t xml:space="preserve"> these two</w:t>
      </w:r>
      <w:r w:rsidR="008A6831" w:rsidRPr="00101A2A">
        <w:t>)</w:t>
      </w:r>
      <w:r w:rsidR="00B50AA1" w:rsidRPr="00101A2A">
        <w:t xml:space="preserve"> develop a </w:t>
      </w:r>
      <w:r w:rsidR="00B50AA1" w:rsidRPr="00101A2A">
        <w:lastRenderedPageBreak/>
        <w:t xml:space="preserve">homogeneous understanding of the same </w:t>
      </w:r>
      <w:r w:rsidR="00C7691C" w:rsidRPr="00101A2A">
        <w:t>industry</w:t>
      </w:r>
      <w:r w:rsidR="00B50AA1" w:rsidRPr="00101A2A">
        <w:t xml:space="preserve">. </w:t>
      </w:r>
      <w:r w:rsidR="00204BD4" w:rsidRPr="00101A2A">
        <w:t>Furthermore</w:t>
      </w:r>
      <w:r w:rsidR="00B50AA1" w:rsidRPr="00101A2A">
        <w:t xml:space="preserve">, </w:t>
      </w:r>
      <w:r w:rsidR="00393D28" w:rsidRPr="00101A2A">
        <w:t>d</w:t>
      </w:r>
      <w:r w:rsidR="00B50AA1" w:rsidRPr="00101A2A">
        <w:t xml:space="preserve">ifferent types of consumers (or other audiences) might respond differently to </w:t>
      </w:r>
      <w:r w:rsidR="003A3010">
        <w:t>third-party pressures</w:t>
      </w:r>
      <w:r w:rsidR="00B50AA1" w:rsidRPr="00101A2A">
        <w:t xml:space="preserve"> (e.g., certifiers</w:t>
      </w:r>
      <w:r w:rsidR="00985C14" w:rsidRPr="00101A2A">
        <w:t xml:space="preserve"> or</w:t>
      </w:r>
      <w:r w:rsidR="00B50AA1" w:rsidRPr="00101A2A">
        <w:t xml:space="preserve"> regulators).</w:t>
      </w:r>
      <w:r w:rsidR="00B62B3F" w:rsidRPr="00101A2A">
        <w:t xml:space="preserve"> </w:t>
      </w:r>
      <w:r w:rsidR="00272930" w:rsidRPr="00101A2A">
        <w:t xml:space="preserve"> </w:t>
      </w:r>
    </w:p>
    <w:p w14:paraId="61EBCCC0" w14:textId="29D40F33" w:rsidR="00B723BA" w:rsidRDefault="0096554C" w:rsidP="005F46B5">
      <w:r w:rsidRPr="00101A2A">
        <w:t>Second, b</w:t>
      </w:r>
      <w:r w:rsidR="00AE2F1D" w:rsidRPr="00101A2A">
        <w:t xml:space="preserve">uilding </w:t>
      </w:r>
      <w:r w:rsidR="006149E9" w:rsidRPr="00101A2A">
        <w:t>on research</w:t>
      </w:r>
      <w:r w:rsidR="00AE2F1D" w:rsidRPr="00101A2A">
        <w:t xml:space="preserve"> on the effect of spanning on competition </w:t>
      </w:r>
      <w:r w:rsidR="00AE2F1D" w:rsidRPr="00101A2A">
        <w:fldChar w:fldCharType="begin" w:fldLock="1"/>
      </w:r>
      <w:r w:rsidR="003749C2">
        <w:instrText>ADDIN CSL_CITATION {"citationItems":[{"id":"ITEM-1","itemData":{"DOI":"10.1287/orsc.2016.1064","ISBN":"1047-7039","ISSN":"1047-7039","PMID":"24340869","abstract":"In this paper, we conceptualize categories as regions of a cognitive map that structure the market and guide the investment decisions of potential entrants—i.e., of new and established organizations. We advance that, as a category appears altered via incumbents’ acts of recombination, potential entrants face market-specific uncertainty and are discouraged to invest in that category. These negative effects of recombination on market entries are, however, mitigated at increasing values of category status. We test our arguments in the market for electronic music. The analyses of product and organizational entries in music styles between 1978 and 2011 lend support to our arguments.","author":[{"dropping-particle":"","family":"Montauti","given":"Martina","non-dropping-particle":"","parse-names":false,"suffix":""},{"dropping-particle":"","family":"Wezel","given":"Filippo Carlo","non-dropping-particle":"","parse-names":false,"suffix":""}],"container-title":"Organization Science","id":"ITEM-1","issue":"4","issued":{"date-parts":[["2016"]]},"page":"954-971","title":"Charting the Territory: Recombination as a Source of Uncertainty for Potential Entrants","type":"article-journal","volume":"27"},"uris":["http://www.mendeley.com/documents/?uuid=b0a2a5da-bbdc-49a5-9937-537a152dadc8"]},{"id":"ITEM-2","itemData":{"DOI":"10.1287/orsc.2015.1011","ISSN":"1047-7039","abstract":"? 2015 INFORMS.Extant organizational literature argues that straddling institutionalized categories begets an illegitimacy discount, leading organizations to reproduce established categorical boundaries. If gaining legitimacy requires compliance with this \"categorical imperative,\" why do we frequently observe categorical straddling even in uncontested and fully institutionalized categorical structures? To address this question, we propose that de novo (i.e., newly founded) and de alio (i.e., diversifying) organizations respond differently to the categorical imperative. Specifically, de novo organizations are more likely to enter and fit in high-contrast categories than in low-contrast ones, whereas the opposite is true for de alio entrants. To test these hypotheses, we follow technological entry dynamics within the semiconductor industry between 1976 and 2002. Using patent information, we examine how category contrast affects which technological categories de novo and de alio organizations enter, and the performance associated with those entry events. A comprehensive set of empirical analyses lend support to our hypotheses. Besides clarifying the link between the categorical imperative and structural reproduction, this study bears implications for entrepreneurship and strategy research on entry dynamics.","author":[{"dropping-particle":"","family":"Carnabuci","given":"Gianluca","non-dropping-particle":"","parse-names":false,"suffix":""},{"dropping-particle":"","family":"Operti","given":"Elisa","non-dropping-particle":"","parse-names":false,"suffix":""},{"dropping-particle":"","family":"Kovács","given":"Balázs","non-dropping-particle":"","parse-names":false,"suffix":""}],"container-title":"Organization Science","id":"ITEM-2","issue":"6","issued":{"date-parts":[["2015"]]},"page":"1734-1751","title":"The Categorical Imperative and Structural Reproduction: Dynamics of Technological Entry in the Semiconductor Industry","type":"article-journal","volume":"26"},"uris":["http://www.mendeley.com/documents/?uuid=99db9771-a235-47e3-b686-b01302650fef"]},{"id":"ITEM-3","itemData":{"author":[{"dropping-particle":"","family":"Zuckerman","given":"Ezra W","non-dropping-particle":"","parse-names":false,"suffix":""}],"container-title":"American Journal of Sociology","id":"ITEM-3","issue":"5","issued":{"date-parts":[["1999"]]},"page":"1398-1438","title":"The Categorical Imperative : Securities Analysts and the Illegitimacy Discount 1","type":"article-journal","volume":"104"},"uris":["http://www.mendeley.com/documents/?uuid=7f48d0d4-4ac2-4547-98ee-42718da7d341"]}],"mendeley":{"formattedCitation":"(Carnabuci et al., 2015; Montauti &amp; Wezel, 2016; Zuckerman, 1999)","manualFormatting":"(Carnabuci et al., 2015; Montauti &amp; Wezel, 2016; Zuckerman, 1999)","plainTextFormattedCitation":"(Carnabuci et al., 2015; Montauti &amp; Wezel, 2016; Zuckerman, 1999)","previouslyFormattedCitation":"(Carnabuci et al., 2015; Montauti &amp; Wezel, 2016; Zuckerman, 1999)"},"properties":{"noteIndex":0},"schema":"https://github.com/citation-style-language/schema/raw/master/csl-citation.json"}</w:instrText>
      </w:r>
      <w:r w:rsidR="00AE2F1D" w:rsidRPr="00101A2A">
        <w:fldChar w:fldCharType="separate"/>
      </w:r>
      <w:r w:rsidR="005242E8" w:rsidRPr="00101A2A">
        <w:rPr>
          <w:noProof/>
        </w:rPr>
        <w:t>(Carnabuci et al.</w:t>
      </w:r>
      <w:r w:rsidR="00D359AB" w:rsidRPr="00101A2A">
        <w:rPr>
          <w:noProof/>
        </w:rPr>
        <w:t>,</w:t>
      </w:r>
      <w:r w:rsidR="005242E8" w:rsidRPr="00101A2A">
        <w:rPr>
          <w:noProof/>
        </w:rPr>
        <w:t xml:space="preserve"> 2015</w:t>
      </w:r>
      <w:r w:rsidR="00D359AB" w:rsidRPr="00101A2A">
        <w:rPr>
          <w:noProof/>
        </w:rPr>
        <w:t>;</w:t>
      </w:r>
      <w:r w:rsidR="005242E8" w:rsidRPr="00101A2A">
        <w:rPr>
          <w:noProof/>
        </w:rPr>
        <w:t xml:space="preserve"> Montauti </w:t>
      </w:r>
      <w:r w:rsidR="00D359AB" w:rsidRPr="00101A2A">
        <w:rPr>
          <w:noProof/>
        </w:rPr>
        <w:t>&amp;</w:t>
      </w:r>
      <w:r w:rsidR="005242E8" w:rsidRPr="00101A2A">
        <w:rPr>
          <w:noProof/>
        </w:rPr>
        <w:t xml:space="preserve"> Wezel</w:t>
      </w:r>
      <w:r w:rsidR="00D359AB" w:rsidRPr="00101A2A">
        <w:rPr>
          <w:noProof/>
        </w:rPr>
        <w:t>,</w:t>
      </w:r>
      <w:r w:rsidR="005242E8" w:rsidRPr="00101A2A">
        <w:rPr>
          <w:noProof/>
        </w:rPr>
        <w:t xml:space="preserve"> 2016</w:t>
      </w:r>
      <w:r w:rsidR="00D359AB" w:rsidRPr="00101A2A">
        <w:rPr>
          <w:noProof/>
        </w:rPr>
        <w:t>;</w:t>
      </w:r>
      <w:r w:rsidR="005242E8" w:rsidRPr="00101A2A">
        <w:rPr>
          <w:noProof/>
        </w:rPr>
        <w:t xml:space="preserve"> Zuckerman</w:t>
      </w:r>
      <w:r w:rsidR="00D359AB" w:rsidRPr="00101A2A">
        <w:rPr>
          <w:noProof/>
        </w:rPr>
        <w:t>,</w:t>
      </w:r>
      <w:r w:rsidR="005242E8" w:rsidRPr="00101A2A">
        <w:rPr>
          <w:noProof/>
        </w:rPr>
        <w:t xml:space="preserve"> 1999)</w:t>
      </w:r>
      <w:r w:rsidR="00AE2F1D" w:rsidRPr="00101A2A">
        <w:fldChar w:fldCharType="end"/>
      </w:r>
      <w:r w:rsidR="00EA2C21" w:rsidRPr="00101A2A">
        <w:t>,</w:t>
      </w:r>
      <w:r w:rsidR="00AE2F1D" w:rsidRPr="00101A2A">
        <w:t xml:space="preserve"> we </w:t>
      </w:r>
      <w:r w:rsidR="000C223C" w:rsidRPr="00101A2A">
        <w:t>discover</w:t>
      </w:r>
      <w:r w:rsidR="001A0E21" w:rsidRPr="00101A2A">
        <w:t xml:space="preserve"> </w:t>
      </w:r>
      <w:r w:rsidR="00414D0A" w:rsidRPr="00101A2A">
        <w:t>that th</w:t>
      </w:r>
      <w:r w:rsidR="00393D28" w:rsidRPr="00101A2A">
        <w:t>is</w:t>
      </w:r>
      <w:r w:rsidR="00414D0A" w:rsidRPr="00101A2A">
        <w:t xml:space="preserve"> effect is not limited to the category where spanners enter </w:t>
      </w:r>
      <w:r w:rsidR="00414D0A" w:rsidRPr="00101A2A">
        <w:fldChar w:fldCharType="begin" w:fldLock="1"/>
      </w:r>
      <w:r w:rsidR="003749C2">
        <w:instrText>ADDIN CSL_CITATION {"citationItems":[{"id":"ITEM-1","itemData":{"DOI":"10.1287/orsc.2016.1064","ISBN":"1047-7039","ISSN":"1047-7039","PMID":"24340869","abstract":"In this paper, we conceptualize categories as regions of a cognitive map that structure the market and guide the investment decisions of potential entrants—i.e., of new and established organizations. We advance that, as a category appears altered via incumbents’ acts of recombination, potential entrants face market-specific uncertainty and are discouraged to invest in that category. These negative effects of recombination on market entries are, however, mitigated at increasing values of category status. We test our arguments in the market for electronic music. The analyses of product and organizational entries in music styles between 1978 and 2011 lend support to our arguments.","author":[{"dropping-particle":"","family":"Montauti","given":"Martina","non-dropping-particle":"","parse-names":false,"suffix":""},{"dropping-particle":"","family":"Wezel","given":"Filippo Carlo","non-dropping-particle":"","parse-names":false,"suffix":""}],"container-title":"Organization Science","id":"ITEM-1","issue":"4","issued":{"date-parts":[["2016"]]},"page":"954-971","title":"Charting the Territory: Recombination as a Source of Uncertainty for Potential Entrants","type":"article-journal","volume":"27"},"uris":["http://www.mendeley.com/documents/?uuid=b0a2a5da-bbdc-49a5-9937-537a152dadc8"]}],"mendeley":{"formattedCitation":"(Montauti &amp; Wezel, 2016)","manualFormatting":"(Montauti &amp; Wezel, 2016)","plainTextFormattedCitation":"(Montauti &amp; Wezel, 2016)","previouslyFormattedCitation":"(Montauti &amp; Wezel, 2016)"},"properties":{"noteIndex":0},"schema":"https://github.com/citation-style-language/schema/raw/master/csl-citation.json"}</w:instrText>
      </w:r>
      <w:r w:rsidR="00414D0A" w:rsidRPr="00101A2A">
        <w:fldChar w:fldCharType="separate"/>
      </w:r>
      <w:r w:rsidR="00B87A57" w:rsidRPr="00101A2A">
        <w:rPr>
          <w:noProof/>
        </w:rPr>
        <w:t xml:space="preserve">(Montauti </w:t>
      </w:r>
      <w:r w:rsidR="00D359AB" w:rsidRPr="00101A2A">
        <w:rPr>
          <w:noProof/>
        </w:rPr>
        <w:t>&amp;</w:t>
      </w:r>
      <w:r w:rsidR="00B87A57" w:rsidRPr="00101A2A">
        <w:rPr>
          <w:noProof/>
        </w:rPr>
        <w:t xml:space="preserve"> Wezel</w:t>
      </w:r>
      <w:r w:rsidR="00D359AB" w:rsidRPr="00101A2A">
        <w:rPr>
          <w:noProof/>
        </w:rPr>
        <w:t>,</w:t>
      </w:r>
      <w:r w:rsidR="00B87A57" w:rsidRPr="00101A2A">
        <w:rPr>
          <w:noProof/>
        </w:rPr>
        <w:t xml:space="preserve"> 2016)</w:t>
      </w:r>
      <w:r w:rsidR="00414D0A" w:rsidRPr="00101A2A">
        <w:fldChar w:fldCharType="end"/>
      </w:r>
      <w:r w:rsidR="00414D0A" w:rsidRPr="00101A2A">
        <w:t xml:space="preserve">, but </w:t>
      </w:r>
      <w:r w:rsidR="00393D28" w:rsidRPr="00101A2A">
        <w:t>also</w:t>
      </w:r>
      <w:r w:rsidR="00414D0A" w:rsidRPr="00101A2A">
        <w:t xml:space="preserve"> shape</w:t>
      </w:r>
      <w:r w:rsidR="00D05C10" w:rsidRPr="00101A2A">
        <w:t>s</w:t>
      </w:r>
      <w:r w:rsidR="00414D0A" w:rsidRPr="00101A2A">
        <w:t xml:space="preserve"> prices in the larger </w:t>
      </w:r>
      <w:r w:rsidR="00FD1B72" w:rsidRPr="00101A2A">
        <w:t xml:space="preserve">competitive </w:t>
      </w:r>
      <w:r w:rsidR="00414D0A" w:rsidRPr="00101A2A">
        <w:t xml:space="preserve">space. </w:t>
      </w:r>
      <w:r w:rsidR="00A718FF" w:rsidRPr="00101A2A">
        <w:t>H</w:t>
      </w:r>
      <w:r w:rsidR="00BE7C48" w:rsidRPr="00101A2A">
        <w:t xml:space="preserve">osts switching properties across the long-term rental market </w:t>
      </w:r>
      <w:r w:rsidR="00D05C10" w:rsidRPr="00101A2A">
        <w:t xml:space="preserve">and the SE </w:t>
      </w:r>
      <w:r w:rsidR="00D86368" w:rsidRPr="00101A2A">
        <w:t>increas</w:t>
      </w:r>
      <w:r w:rsidR="00393D28" w:rsidRPr="00101A2A">
        <w:t>e</w:t>
      </w:r>
      <w:r w:rsidR="00D86368" w:rsidRPr="00101A2A">
        <w:t xml:space="preserve"> the competition for resources needed to operate in either category (i.e., houses)</w:t>
      </w:r>
      <w:r w:rsidR="003A3010">
        <w:t>. Hence,</w:t>
      </w:r>
      <w:r w:rsidR="00D86368" w:rsidRPr="00101A2A">
        <w:t xml:space="preserve"> </w:t>
      </w:r>
      <w:r w:rsidR="00A718FF" w:rsidRPr="00101A2A">
        <w:t>– we f</w:t>
      </w:r>
      <w:r w:rsidR="005373B3">
        <w:t>ou</w:t>
      </w:r>
      <w:r w:rsidR="00A718FF" w:rsidRPr="00101A2A">
        <w:t>nd –</w:t>
      </w:r>
      <w:r w:rsidR="00D86368" w:rsidRPr="00101A2A">
        <w:t>increas</w:t>
      </w:r>
      <w:r w:rsidR="00393D28" w:rsidRPr="00101A2A">
        <w:t>e</w:t>
      </w:r>
      <w:r w:rsidR="00D86368" w:rsidRPr="00101A2A">
        <w:t xml:space="preserve"> their prices. </w:t>
      </w:r>
      <w:r w:rsidR="00AC359E" w:rsidRPr="00101A2A">
        <w:t>C</w:t>
      </w:r>
      <w:r w:rsidR="00F73B5D" w:rsidRPr="00101A2A">
        <w:t>ontribut</w:t>
      </w:r>
      <w:r w:rsidR="00C410D0" w:rsidRPr="00101A2A">
        <w:t>ing</w:t>
      </w:r>
      <w:r w:rsidR="00F73B5D" w:rsidRPr="00101A2A">
        <w:t xml:space="preserve"> to the growing discussion </w:t>
      </w:r>
      <w:r w:rsidR="00AC12EB" w:rsidRPr="00101A2A">
        <w:t>about</w:t>
      </w:r>
      <w:r w:rsidR="00F73B5D" w:rsidRPr="00101A2A">
        <w:t xml:space="preserve"> categories as competitive barriers </w:t>
      </w:r>
      <w:r w:rsidR="00F73B5D" w:rsidRPr="00101A2A">
        <w:fldChar w:fldCharType="begin" w:fldLock="1"/>
      </w:r>
      <w:r w:rsidR="003749C2">
        <w:instrText>ADDIN CSL_CITATION {"citationItems":[{"id":"ITEM-1","itemData":{"DOI":"10.1002/smj","ISBN":"1097-0266","ISSN":"00014273","PMID":"31767271","abstract":"Like governance structure and alliance scope, partner selection may serve to safeguard firms’ intellectual assets in R&amp;D alliances. We categorize potential alliance partners into friends, acquaintances, and strangers, depending on their previous alliance experience. Data on 1,159 R&amp;D alliances indicate that the more radical an alliance’s innovation goals, the more likely it is that partners are friends rather than strangers. However, strangers are preferred to acquaintances, suggesting partner selection preferences are not transitive. Moreover, results suggest that firms use partner selection, governance structure, and alliance scope as substitute mechanisms to protect valuable technological assets from appropriation in R&amp;D alliances.","author":[{"dropping-particle":"","family":"Cattani","given":"Gino","non-dropping-particle":"","parse-names":false,"suffix":""},{"dropping-particle":"","family":"Porac","given":"Joseph F.","non-dropping-particle":"","parse-names":false,"suffix":""},{"dropping-particle":"","family":"Thomas","given":"Howard","non-dropping-particle":"","parse-names":false,"suffix":""}],"container-title":"Strategic Management Journal","id":"ITEM-1","issue":"1","issued":{"date-parts":[["2017"]]},"page":"64-92","title":"Categories and Competition","type":"article-journal","volume":"38"},"uris":["http://www.mendeley.com/documents/?uuid=64182eeb-a8bd-4894-a778-d5a9522e425e"]}],"mendeley":{"formattedCitation":"(Cattani et al., 2017)","manualFormatting":"(Cattani, Porac, &amp; Thomas, 2017)","plainTextFormattedCitation":"(Cattani et al., 2017)","previouslyFormattedCitation":"(Cattani et al., 2017)"},"properties":{"noteIndex":0},"schema":"https://github.com/citation-style-language/schema/raw/master/csl-citation.json"}</w:instrText>
      </w:r>
      <w:r w:rsidR="00F73B5D" w:rsidRPr="00101A2A">
        <w:fldChar w:fldCharType="separate"/>
      </w:r>
      <w:r w:rsidR="00A4611B" w:rsidRPr="00101A2A">
        <w:rPr>
          <w:noProof/>
        </w:rPr>
        <w:t>(</w:t>
      </w:r>
      <w:r w:rsidR="00D359AB" w:rsidRPr="00101A2A">
        <w:rPr>
          <w:noProof/>
        </w:rPr>
        <w:t>Cattani, Porac, &amp; Thomas,</w:t>
      </w:r>
      <w:r w:rsidR="00A4611B" w:rsidRPr="00101A2A">
        <w:rPr>
          <w:noProof/>
        </w:rPr>
        <w:t xml:space="preserve"> 2017)</w:t>
      </w:r>
      <w:r w:rsidR="00F73B5D" w:rsidRPr="00101A2A">
        <w:fldChar w:fldCharType="end"/>
      </w:r>
      <w:r w:rsidR="00C410D0" w:rsidRPr="00101A2A">
        <w:t xml:space="preserve">, </w:t>
      </w:r>
      <w:r w:rsidR="001635A9" w:rsidRPr="00101A2A">
        <w:t xml:space="preserve">our </w:t>
      </w:r>
      <w:r w:rsidR="00B36364" w:rsidRPr="00101A2A">
        <w:t>findings</w:t>
      </w:r>
      <w:r w:rsidR="001635A9" w:rsidRPr="00101A2A">
        <w:t xml:space="preserve"> </w:t>
      </w:r>
      <w:r w:rsidR="00C410D0" w:rsidRPr="00101A2A">
        <w:t xml:space="preserve">invite </w:t>
      </w:r>
      <w:r w:rsidR="005C060E" w:rsidRPr="00101A2A">
        <w:t xml:space="preserve">future </w:t>
      </w:r>
      <w:r w:rsidR="00CD544E" w:rsidRPr="00101A2A">
        <w:t xml:space="preserve">research </w:t>
      </w:r>
      <w:r w:rsidR="00C410D0" w:rsidRPr="00101A2A">
        <w:t xml:space="preserve">to expand its focus from the category entered by spanners to the system of categories in </w:t>
      </w:r>
      <w:r w:rsidR="00281888" w:rsidRPr="00101A2A">
        <w:t>which</w:t>
      </w:r>
      <w:r w:rsidR="00C410D0" w:rsidRPr="00101A2A">
        <w:t xml:space="preserve"> spanners operate.</w:t>
      </w:r>
    </w:p>
    <w:p w14:paraId="4615FEBF" w14:textId="07F9606A" w:rsidR="0021768C" w:rsidRDefault="0021768C" w:rsidP="008D3D3C">
      <w:r w:rsidRPr="00101A2A">
        <w:t xml:space="preserve">In sum, while the research on platforms and </w:t>
      </w:r>
      <w:r w:rsidR="00500CB9" w:rsidRPr="00101A2A">
        <w:t xml:space="preserve">the research </w:t>
      </w:r>
      <w:r w:rsidRPr="00101A2A">
        <w:t xml:space="preserve">on categories have </w:t>
      </w:r>
      <w:r w:rsidR="003A3010">
        <w:t>yet to interact</w:t>
      </w:r>
      <w:r w:rsidRPr="00101A2A">
        <w:t>, the findings of this study suggest that the inclusion of the scholarship on categories in work focused on platforms deserves greater attention. Part of the challenge is that these two scholarly traditions have different research objectives and that data about categorization processes and platforms and their ecosystems are difficult to obtain.</w:t>
      </w:r>
      <w:r w:rsidR="008D3D3C">
        <w:t xml:space="preserve"> </w:t>
      </w:r>
      <w:r w:rsidRPr="00101A2A">
        <w:t>To overcome these difficulties, we used automated textual analysis to understand the role of audiences’ attention as a moderator of the effect of spanners on real estate prices and to ensure that the two types of hosts differ in the eyes of consumers. We then performed a sentiment analysis in consumers’ reviews to explore whether</w:t>
      </w:r>
      <w:r w:rsidR="003A3010">
        <w:t>,</w:t>
      </w:r>
      <w:r w:rsidRPr="00101A2A">
        <w:t xml:space="preserve"> after a regulatory change that stresses the atypicality of spanners in the Airbnb platform, the effect of spanners on real estate prices decreases. Building on our empirical approach and beyond our focus on the categorization </w:t>
      </w:r>
      <w:r w:rsidR="003A3010">
        <w:t>explicitly associated</w:t>
      </w:r>
      <w:r w:rsidRPr="00101A2A">
        <w:t xml:space="preserve"> with </w:t>
      </w:r>
      <w:r w:rsidRPr="00101A2A">
        <w:lastRenderedPageBreak/>
        <w:t xml:space="preserve">consumers and regulation, future studies can </w:t>
      </w:r>
      <w:r w:rsidR="003A3010">
        <w:t>use sentiment</w:t>
      </w:r>
      <w:r w:rsidRPr="00101A2A">
        <w:t xml:space="preserve"> and textual analyses to tease out the mechanisms underlying platform dynamics.</w:t>
      </w:r>
    </w:p>
    <w:p w14:paraId="09973ECA" w14:textId="66F4E183" w:rsidR="000F079F" w:rsidRDefault="000F079F" w:rsidP="005F46B5">
      <w:pPr>
        <w:rPr>
          <w:b/>
          <w:i/>
        </w:rPr>
      </w:pPr>
      <w:r w:rsidRPr="001D04B8">
        <w:rPr>
          <w:b/>
          <w:i/>
        </w:rPr>
        <w:t xml:space="preserve">The </w:t>
      </w:r>
      <w:r>
        <w:rPr>
          <w:b/>
          <w:i/>
        </w:rPr>
        <w:t>role</w:t>
      </w:r>
      <w:r w:rsidRPr="001D04B8">
        <w:rPr>
          <w:b/>
          <w:i/>
        </w:rPr>
        <w:t xml:space="preserve"> of regulators</w:t>
      </w:r>
      <w:r>
        <w:rPr>
          <w:b/>
          <w:i/>
        </w:rPr>
        <w:t xml:space="preserve"> as third parties</w:t>
      </w:r>
    </w:p>
    <w:p w14:paraId="4444B2F0" w14:textId="3C6602E9" w:rsidR="000F079F" w:rsidRDefault="000F079F" w:rsidP="00515FF6">
      <w:r>
        <w:rPr>
          <w:bCs/>
          <w:iCs/>
        </w:rPr>
        <w:t xml:space="preserve">This study highlights the importance of regulators beyond their enforcement ability. </w:t>
      </w:r>
      <w:r w:rsidR="003A3010">
        <w:rPr>
          <w:bCs/>
          <w:iCs/>
        </w:rPr>
        <w:t xml:space="preserve">Doing so contributes to the long-term interest of management scholars on the role of regulators in shaping organizations </w:t>
      </w:r>
      <w:r w:rsidR="00E63399">
        <w:rPr>
          <w:bCs/>
          <w:iCs/>
        </w:rPr>
        <w:fldChar w:fldCharType="begin" w:fldLock="1"/>
      </w:r>
      <w:r w:rsidR="00920500">
        <w:rPr>
          <w:bCs/>
          <w:iCs/>
        </w:rPr>
        <w:instrText>ADDIN CSL_CITATION {"citationItems":[{"id":"ITEM-1","itemData":{"DOI":"10.1177/00018392221085677","ISSN":"19303815","abstract":"This article suggests that regulations targeting the U.S. public sector may influence racial inequality in the private sector. Since the 1990s, nine states have banned affirmative action practice in public universities and state governments. I theorize that although these bans have no legal jurisdiction over private-sector firms, they could influence such firms normatively. After such a ban, executives who have been skeptical of Equal Employment Opportunity (EEO) policies may feel more normative license to reduce commitment to EEO practices. Using a difference-in-differences estimation on 11,311 firms from 1985 to 2015, I find that the bans are indeed associated with slower racial progress in private-sector firms: after a state adopts the affirmative action ban, growth in the proportion of Black managers in establishments with corporate headquarters in that state slows by more than 50 percent, and this slowdown is mostly concentrated in firms with politically conservative CEOs. These findings suggest a mechanism for the persistence of racial inequality and show that regulations can influence actors well beyond legal jurisdictions.","author":[{"dropping-particle":"","family":"Zhang","given":"Letian","non-dropping-particle":"","parse-names":false,"suffix":""}],"container-title":"Administrative Science Quarterly","id":"ITEM-1","issue":"3","issued":{"date-parts":[["2022"]]},"note":"add this paper and argument to discussion session AMD\n\nsimple theory but ample description of the context and important question/finding","page":"595-629","title":"Regulatory Spillover and Workplace Racial Inequality","type":"article-journal","volume":"67"},"uris":["http://www.mendeley.com/documents/?uuid=ca942100-8690-45b3-a9ab-d3ba5f8de049"]},{"id":"ITEM-2","itemData":{"DOI":"10.1146/annurev.soc.23.1.479","ISSN":"03600572","abstract":"Sociology has recently witnessed a rapprochement between research on organizations and research on law. This essay reviews a number of central developments and tendencies in this emerging literature, with a particular emphasis on the characteristics of law as an element of the organizational environment. We begin by distinguishing two metatheoretical perspectives on law and organizations: the materialist perspective, which portrays organizations as rational wealth-maximizers and sees the law as a system of substantive incentives and penalties; and the cultural perspective, which portrays organizations as cultural rule-followers and sees the law as a system of moral principles, scripted roles, and sacred symbols. Within each of these traditions, we examine three distinct facets of organizations' legal environments: the facilitative environment, in which law passively provides an arena for organizational action; the regulatory environment, in which law actively seeks to control organizational behavior; and the constitutive environment, in which law defines the basic building blocks of organizational forms and interorganizational relations. Finally, we distinguish between literature that sees law as an independent variable, determining organizational behavior; literature that sees law as a dependent variable, determined by organizational behavior; and a growing literature that discusses the endogeneity between law and organizations. Although any taxonomy tends to depict clear lines where they are in fact murky, we think that this approach not only provides a means of categorizing the literature on law and organizations, it also calls attention to the many different ways in which law and organizations are dynamically intertwined.","author":[{"dropping-particle":"","family":"Edelman","given":"Lauren B.","non-dropping-particle":"","parse-names":false,"suffix":""},{"dropping-particle":"","family":"Suchman","given":"Mark C.","non-dropping-particle":"","parse-names":false,"suffix":""}],"container-title":"Annual Review of Sociology","id":"ITEM-2","issued":{"date-parts":[["1997"]]},"page":"479-515","title":"The legal environments of organizations","type":"article-journal","volume":"23"},"uris":["http://www.mendeley.com/documents/?uuid=7dc92529-de50-4be1-87a4-a5fd95894514"]},{"id":"ITEM-3","itemData":{"DOI":"10.1177/00018392221112641","ISSN":"19303815","abstract":"In nascent industries―whose new technologies are often poorly understood by regulators―contending with regulatory uncertainty can be crucial to organizational survival and growth. Prior research on nonmarket strategy has largely focused on established firms in mature industries, but such strategies are apt to differ for new ventures, which generally have limited resources and market power and operate in novel domains in which the rules of the game are underdeveloped. How do new ventures navigate regulatory uncertainty? To explore this question, we conduct an inductive, multi-case research study of five ventures that pioneered the nascent personal-genomics industry. Drawing on extensive qualitative data, we develop an emergent theoretical framework that elucidates how ventures navigate evolving regulatory uncertainty. Grounded in a power versus industry-evolution logic, this framework illuminates how ventures’ strategies for doing so vary and theorizes why certain strategies appear more effective than others. In doing so, we also introduce a novel logic of interaction—regulatory co-creation—that ventures can employ to shape emerging regulations. Taken together, our theory and findings challenge existing perspectives on strategy in nascent industries, shed light on the dynamic interplay between market and nonmarket strategy, and recast the relationship between ventures and regulators during the emergence of new technology industries.","author":[{"dropping-particle":"","family":"Gao","given":"Cheng","non-dropping-particle":"","parse-names":false,"suffix":""},{"dropping-particle":"","family":"McDonald","given":"Rory","non-dropping-particle":"","parse-names":false,"suffix":""}],"container-title":"Administrative Science Quarterly","id":"ITEM-3","issue":"4","issued":{"date-parts":[["2022"]]},"note":"read results\nquestion and positioning is pertinent to jmp","page":"915-967","title":"Shaping Nascent Industries: Innovation Strategy and Regulatory Uncertainty in Personal Genomics","type":"article-journal","volume":"67"},"uris":["http://www.mendeley.com/documents/?uuid=0a36d381-dbbf-4eb9-b9fe-1a14bb70e658"]},{"id":"ITEM-4","itemData":{"DOI":"10.5465/AMJ.2020.1688","ISSN":"00014273","abstract":"Myriad cross-sector initiatives seek to remake capitalism into a more just, sustainable, and inclusive system. But how do these distributed efforts-which often vary in strength-interact? To answer this question, we attend to the interaction between weak and strong governance reforms. Drawing on longstanding research on organizational values and the sociology of law, we theorize how the enactment of weak and broad sustainability legislation is likely to increase pressure on values-driven businesses to pursue both values authentication and material authentication by way of strong third-party certification. We test our conceptual model by examining the effects of the frequently criticized benefit corporation legislation passed in 36 U.S. jurisdictions on the related B Corporation certification. We find that new certifications and recertifications both increase in jurisdictions with such legislation and these effects are amplified or attenuated depending on corporate sustainability norms in the region. Taken together, our findings contribute to the intensifying societal conversation regarding the prospects for remaking capitalism, illustrating how even weak legislation can contribute to systems change not only by encouraging incremental sustainability reforms within a field but also by triggering an authentication imperative that mobilizes values-driven businesses to pursue rigorous certifications.","author":[{"dropping-particle":"","family":"Lucas","given":"David S.","non-dropping-particle":"","parse-names":false,"suffix":""},{"dropping-particle":"","family":"Grimes","given":"Matthew G.","non-dropping-particle":"","parse-names":false,"suffix":""},{"dropping-particle":"","family":"Gehman","given":"Joel","non-dropping-particle":"","parse-names":false,"suffix":""}],"container-title":"Academy of Management Journal","id":"ITEM-4","issue":"3","issued":{"date-parts":[["2022"]]},"page":"958-987","title":"Remaking Capitalism: the Strength of Weak Legislation in Mobilizing B Corporation Certification","type":"article-journal","volume":"65"},"uris":["http://www.mendeley.com/documents/?uuid=99fa185d-ba42-42fa-b9cd-0e273803f757"]}],"mendeley":{"formattedCitation":"(Edelman &amp; Suchman, 1997; Gao &amp; McDonald, 2022; Lucas, Grimes, &amp; Gehman, 2022; Zhang, 2022)","plainTextFormattedCitation":"(Edelman &amp; Suchman, 1997; Gao &amp; McDonald, 2022; Lucas, Grimes, &amp; Gehman, 2022; Zhang, 2022)","previouslyFormattedCitation":"(Edelman &amp; Suchman, 1997; Gao &amp; McDonald, 2022; Lucas, Grimes, &amp; Gehman, 2022; Zhang, 2022)"},"properties":{"noteIndex":0},"schema":"https://github.com/citation-style-language/schema/raw/master/csl-citation.json"}</w:instrText>
      </w:r>
      <w:r w:rsidR="00E63399">
        <w:rPr>
          <w:bCs/>
          <w:iCs/>
        </w:rPr>
        <w:fldChar w:fldCharType="separate"/>
      </w:r>
      <w:r w:rsidR="006A7A22" w:rsidRPr="006A7A22">
        <w:rPr>
          <w:bCs/>
          <w:iCs/>
          <w:noProof/>
        </w:rPr>
        <w:t>(Edelman &amp; Suchman, 1997; Gao &amp; McDonald, 2022; Lucas, Grimes, &amp; Gehman, 2022; Zhang, 2022)</w:t>
      </w:r>
      <w:r w:rsidR="00E63399">
        <w:rPr>
          <w:bCs/>
          <w:iCs/>
        </w:rPr>
        <w:fldChar w:fldCharType="end"/>
      </w:r>
      <w:r w:rsidR="00E63399">
        <w:rPr>
          <w:bCs/>
          <w:iCs/>
        </w:rPr>
        <w:t xml:space="preserve">. By </w:t>
      </w:r>
      <w:r w:rsidR="00515FF6">
        <w:rPr>
          <w:bCs/>
          <w:iCs/>
        </w:rPr>
        <w:t>documenting</w:t>
      </w:r>
      <w:r w:rsidR="00E63399">
        <w:rPr>
          <w:bCs/>
          <w:iCs/>
        </w:rPr>
        <w:t xml:space="preserve"> the influence exercised by regulators on audiences</w:t>
      </w:r>
      <w:r w:rsidR="00A76481">
        <w:rPr>
          <w:bCs/>
          <w:iCs/>
        </w:rPr>
        <w:t>’</w:t>
      </w:r>
      <w:r w:rsidR="00E63399">
        <w:rPr>
          <w:bCs/>
          <w:iCs/>
        </w:rPr>
        <w:t xml:space="preserve"> perceptions, our study </w:t>
      </w:r>
      <w:r w:rsidR="00515FF6">
        <w:rPr>
          <w:bCs/>
          <w:iCs/>
        </w:rPr>
        <w:t>shows</w:t>
      </w:r>
      <w:r w:rsidR="00E63399">
        <w:rPr>
          <w:bCs/>
          <w:iCs/>
        </w:rPr>
        <w:t xml:space="preserve"> the culturalist approach</w:t>
      </w:r>
      <w:r w:rsidR="00515FF6">
        <w:rPr>
          <w:bCs/>
          <w:iCs/>
        </w:rPr>
        <w:t xml:space="preserve"> at play</w:t>
      </w:r>
      <w:r w:rsidR="00E63399">
        <w:rPr>
          <w:bCs/>
          <w:iCs/>
        </w:rPr>
        <w:t>. While the enforcement approach sees laws as influencing organizational behaviors by setting incentives and punishments, the culturalist approach focuses on the influence of legal symbols</w:t>
      </w:r>
      <w:r w:rsidR="00515FF6">
        <w:rPr>
          <w:bCs/>
          <w:iCs/>
        </w:rPr>
        <w:t xml:space="preserve"> to induce desirable behaviors </w:t>
      </w:r>
      <w:r w:rsidR="00515FF6">
        <w:rPr>
          <w:bCs/>
          <w:iCs/>
        </w:rPr>
        <w:fldChar w:fldCharType="begin" w:fldLock="1"/>
      </w:r>
      <w:r w:rsidR="003749C2">
        <w:rPr>
          <w:bCs/>
          <w:iCs/>
        </w:rPr>
        <w:instrText>ADDIN CSL_CITATION {"citationItems":[{"id":"ITEM-1","itemData":{"DOI":"10.1177/00018392221085677","ISSN":"19303815","abstract":"This article suggests that regulations targeting the U.S. public sector may influence racial inequality in the private sector. Since the 1990s, nine states have banned affirmative action practice in public universities and state governments. I theorize that although these bans have no legal jurisdiction over private-sector firms, they could influence such firms normatively. After such a ban, executives who have been skeptical of Equal Employment Opportunity (EEO) policies may feel more normative license to reduce commitment to EEO practices. Using a difference-in-differences estimation on 11,311 firms from 1985 to 2015, I find that the bans are indeed associated with slower racial progress in private-sector firms: after a state adopts the affirmative action ban, growth in the proportion of Black managers in establishments with corporate headquarters in that state slows by more than 50 percent, and this slowdown is mostly concentrated in firms with politically conservative CEOs. These findings suggest a mechanism for the persistence of racial inequality and show that regulations can influence actors well beyond legal jurisdictions.","author":[{"dropping-particle":"","family":"Zhang","given":"Letian","non-dropping-particle":"","parse-names":false,"suffix":""}],"container-title":"Administrative Science Quarterly","id":"ITEM-1","issue":"3","issued":{"date-parts":[["2022"]]},"note":"add this paper and argument to discussion session AMD\n\nsimple theory but ample description of the context and important question/finding","page":"595-629","title":"Regulatory Spillover and Workplace Racial Inequality","type":"article-journal","volume":"67"},"uris":["http://www.mendeley.com/documents/?uuid=ca942100-8690-45b3-a9ab-d3ba5f8de049"]}],"mendeley":{"formattedCitation":"(Zhang, 2022)","plainTextFormattedCitation":"(Zhang, 2022)","previouslyFormattedCitation":"(Zhang, 2022)"},"properties":{"noteIndex":0},"schema":"https://github.com/citation-style-language/schema/raw/master/csl-citation.json"}</w:instrText>
      </w:r>
      <w:r w:rsidR="00515FF6">
        <w:rPr>
          <w:bCs/>
          <w:iCs/>
        </w:rPr>
        <w:fldChar w:fldCharType="separate"/>
      </w:r>
      <w:r w:rsidR="006A7A22" w:rsidRPr="006A7A22">
        <w:rPr>
          <w:bCs/>
          <w:iCs/>
          <w:noProof/>
        </w:rPr>
        <w:t>(Zhang, 2022)</w:t>
      </w:r>
      <w:r w:rsidR="00515FF6">
        <w:rPr>
          <w:bCs/>
          <w:iCs/>
        </w:rPr>
        <w:fldChar w:fldCharType="end"/>
      </w:r>
      <w:r w:rsidR="00515FF6">
        <w:rPr>
          <w:bCs/>
          <w:iCs/>
        </w:rPr>
        <w:t xml:space="preserve">. </w:t>
      </w:r>
      <w:r w:rsidR="00515FF6">
        <w:t xml:space="preserve">This study </w:t>
      </w:r>
      <w:r w:rsidR="00E55711">
        <w:t>found</w:t>
      </w:r>
      <w:r w:rsidR="00E55711" w:rsidRPr="00101A2A">
        <w:t xml:space="preserve"> </w:t>
      </w:r>
      <w:r w:rsidR="00515FF6" w:rsidRPr="00101A2A">
        <w:t xml:space="preserve">that </w:t>
      </w:r>
      <w:r w:rsidR="003A3010">
        <w:t xml:space="preserve">SE regulation </w:t>
      </w:r>
      <w:r w:rsidR="00515FF6" w:rsidRPr="00101A2A">
        <w:t>reduced the positive impact of spanners on real estate prices</w:t>
      </w:r>
      <w:r w:rsidR="00515FF6">
        <w:t xml:space="preserve"> by focusing consumers</w:t>
      </w:r>
      <w:r w:rsidR="00A76481">
        <w:t>’</w:t>
      </w:r>
      <w:r w:rsidR="00515FF6">
        <w:t xml:space="preserve"> attention </w:t>
      </w:r>
      <w:r w:rsidR="00A76481">
        <w:t>on</w:t>
      </w:r>
      <w:r w:rsidR="00515FF6" w:rsidRPr="00101A2A">
        <w:t xml:space="preserve"> the differences between spanners and single-listing</w:t>
      </w:r>
      <w:r w:rsidR="00515FF6">
        <w:t xml:space="preserve">. </w:t>
      </w:r>
    </w:p>
    <w:p w14:paraId="3B640220" w14:textId="7285FB1E" w:rsidR="000E0745" w:rsidRDefault="00515FF6" w:rsidP="008D3D3C">
      <w:pPr>
        <w:rPr>
          <w:rFonts w:ascii="Calibri" w:hAnsi="Calibri" w:cs="Calibri"/>
          <w:color w:val="000000"/>
          <w:sz w:val="22"/>
          <w:szCs w:val="22"/>
        </w:rPr>
      </w:pPr>
      <w:r>
        <w:t xml:space="preserve">Future research should </w:t>
      </w:r>
      <w:r w:rsidR="003A3010">
        <w:t>further disentangle</w:t>
      </w:r>
      <w:r>
        <w:t xml:space="preserve"> the pathways through which regulators </w:t>
      </w:r>
      <w:r w:rsidR="00A57AA7">
        <w:t>affect consumers</w:t>
      </w:r>
      <w:r w:rsidR="00A76481">
        <w:t>’</w:t>
      </w:r>
      <w:r w:rsidR="00A57AA7">
        <w:t xml:space="preserve"> perceptions and prices in a market. A promising avenue for research is the growing literature on how categories change consumer attention and</w:t>
      </w:r>
      <w:r w:rsidR="003A3010">
        <w:t>,</w:t>
      </w:r>
      <w:r w:rsidR="00A57AA7">
        <w:t xml:space="preserve"> consequently</w:t>
      </w:r>
      <w:r w:rsidR="008565A0">
        <w:t>,</w:t>
      </w:r>
      <w:r w:rsidR="00A57AA7">
        <w:t xml:space="preserve"> the bargaining power of organization</w:t>
      </w:r>
      <w:r w:rsidR="00A76481">
        <w:t>s</w:t>
      </w:r>
      <w:r w:rsidR="00A57AA7">
        <w:t xml:space="preserve"> competing in a market </w:t>
      </w:r>
      <w:r w:rsidR="00A57AA7">
        <w:fldChar w:fldCharType="begin" w:fldLock="1"/>
      </w:r>
      <w:r w:rsidR="003749C2">
        <w:instrText>ADDIN CSL_CITATION {"citationItems":[{"id":"ITEM-1","itemData":{"DOI":"10.1002/smj","ISBN":"1097-0266","ISSN":"00014273","PMID":"31767271","abstract":"Like governance structure and alliance scope, partner selection may serve to safeguard firms’ intellectual assets in R&amp;D alliances. We categorize potential alliance partners into friends, acquaintances, and strangers, depending on their previous alliance experience. Data on 1,159 R&amp;D alliances indicate that the more radical an alliance’s innovation goals, the more likely it is that partners are friends rather than strangers. However, strangers are preferred to acquaintances, suggesting partner selection preferences are not transitive. Moreover, results suggest that firms use partner selection, governance structure, and alliance scope as substitute mechanisms to protect valuable technological assets from appropriation in R&amp;D alliances.","author":[{"dropping-particle":"","family":"Cattani","given":"Gino","non-dropping-particle":"","parse-names":false,"suffix":""},{"dropping-particle":"","family":"Porac","given":"Joseph F.","non-dropping-particle":"","parse-names":false,"suffix":""},{"dropping-particle":"","family":"Thomas","given":"Howard","non-dropping-particle":"","parse-names":false,"suffix":""}],"container-title":"Strategic Management Journal","id":"ITEM-1","issue":"1","issued":{"date-parts":[["2017"]]},"page":"64-92","title":"Categories and Competition","type":"article-journal","volume":"38"},"uris":["http://www.mendeley.com/documents/?uuid=64182eeb-a8bd-4894-a778-d5a9522e425e"]},{"id":"ITEM-2","itemData":{"DOI":"10.1287/stsc.2018.0069","ISSN":"2333-2050","abstract":"We suggest that a systematic socio-cognitive approach to “competitive sensemaking” has been absent from theory and research on competitive strategy. We define competitive sensemaking as the social and cognitive processes that underlie how firms detect, define, and conceptualize their competitive relationships with other firms. Competitive sensemaking is a subset of the more general process of strategic sensemaking, which is the “making plausible sense” of the broad array of stimuli and circumstances that characterize complex market situations. Using the value-based view of value creation and capture as a conceptual base for our arguments, we unpack four cognitive underpinnings of competitive sensemaking: mental time travel, comparability, counterfactual reasoning, and stories. We then show how these four components were differentially involved in shaping competitive sensemaking in four actual market situations. In doing so, we illustrate how competitive sensemaking provides fundamental inputs into the value creation and value capture process. We conclude the paper by drawing out the implications of competitive sensemaking for strategy theory and research.","author":[{"dropping-particle":"","family":"Cattani","given":"Gino","non-dropping-particle":"","parse-names":false,"suffix":""},{"dropping-particle":"","family":"Sands","given":"Daniel","non-dropping-particle":"","parse-names":false,"suffix":""},{"dropping-particle":"","family":"Porac","given":"Joe","non-dropping-particle":"","parse-names":false,"suffix":""},{"dropping-particle":"","family":"Greenberg","given":"Jason","non-dropping-particle":"","parse-names":false,"suffix":""}],"container-title":"Strategy Science","id":"ITEM-2","issue":"4","issued":{"date-parts":[["2018"]]},"page":"632-657","title":"Competitive sensemaking in value creation and capture","type":"article-journal","volume":"3"},"uris":["http://www.mendeley.com/documents/?uuid=3d82be84-c1b2-4d8d-9fbb-fac632b68f26"]}],"mendeley":{"formattedCitation":"(Cattani et al., 2017; Cattani, Sands, Porac, &amp; Greenberg, 2018)","plainTextFormattedCitation":"(Cattani et al., 2017; Cattani, Sands, Porac, &amp; Greenberg, 2018)","previouslyFormattedCitation":"(Cattani et al., 2017; Cattani, Sands, Porac, &amp; Greenberg, 2018)"},"properties":{"noteIndex":0},"schema":"https://github.com/citation-style-language/schema/raw/master/csl-citation.json"}</w:instrText>
      </w:r>
      <w:r w:rsidR="00A57AA7">
        <w:fldChar w:fldCharType="separate"/>
      </w:r>
      <w:r w:rsidR="006A7A22" w:rsidRPr="006A7A22">
        <w:rPr>
          <w:noProof/>
        </w:rPr>
        <w:t>(Cattani et al., 2017; Cattani, Sands, Porac, &amp; Greenberg, 2018)</w:t>
      </w:r>
      <w:r w:rsidR="00A57AA7">
        <w:fldChar w:fldCharType="end"/>
      </w:r>
      <w:r w:rsidR="00A57AA7">
        <w:t xml:space="preserve">. The study of how regulators affect organizations’ value creation and capture appears particularly interesting in platform markets, where complementors contributing the most to the platform growth might be able to capture the </w:t>
      </w:r>
      <w:r w:rsidR="003A3010">
        <w:t>most negligible</w:t>
      </w:r>
      <w:r w:rsidR="00A57AA7">
        <w:t xml:space="preserve"> value due to regulators</w:t>
      </w:r>
      <w:r w:rsidR="00A76481">
        <w:t>’</w:t>
      </w:r>
      <w:r w:rsidR="00A57AA7">
        <w:t xml:space="preserve"> interventions. This hypothetical scenario can have important and </w:t>
      </w:r>
      <w:r w:rsidR="008565A0">
        <w:t>hard-to-predict</w:t>
      </w:r>
      <w:r w:rsidR="00A57AA7">
        <w:t xml:space="preserve"> consequences for the viability </w:t>
      </w:r>
      <w:r w:rsidR="00A76481">
        <w:t xml:space="preserve">of </w:t>
      </w:r>
      <w:r w:rsidR="00A57AA7">
        <w:t>the overall ecosystem.</w:t>
      </w:r>
    </w:p>
    <w:p w14:paraId="0083A2D8" w14:textId="24945B1F" w:rsidR="00456CD7" w:rsidRPr="00101A2A" w:rsidRDefault="00456CD7" w:rsidP="00B723BA">
      <w:pPr>
        <w:pStyle w:val="Heading2"/>
      </w:pPr>
      <w:r w:rsidRPr="00101A2A">
        <w:t>Limitations</w:t>
      </w:r>
    </w:p>
    <w:p w14:paraId="22CBBA5D" w14:textId="3EB1379B" w:rsidR="00D42BAD" w:rsidRPr="00101A2A" w:rsidRDefault="006448E2" w:rsidP="00CF04AA">
      <w:r w:rsidRPr="00101A2A">
        <w:rPr>
          <w:rFonts w:eastAsia="Times New Roman"/>
          <w:shd w:val="clear" w:color="auto" w:fill="auto"/>
          <w:lang w:eastAsia="en-US"/>
        </w:rPr>
        <w:lastRenderedPageBreak/>
        <w:t xml:space="preserve">We note here two </w:t>
      </w:r>
      <w:r w:rsidR="00204BD4" w:rsidRPr="00101A2A">
        <w:rPr>
          <w:rFonts w:eastAsia="Times New Roman"/>
          <w:shd w:val="clear" w:color="auto" w:fill="auto"/>
          <w:lang w:eastAsia="en-US"/>
        </w:rPr>
        <w:t>specific</w:t>
      </w:r>
      <w:r w:rsidR="00204BD4" w:rsidRPr="00101A2A">
        <w:t xml:space="preserve"> </w:t>
      </w:r>
      <w:r w:rsidRPr="00101A2A">
        <w:t xml:space="preserve">limitations of our study. </w:t>
      </w:r>
      <w:r w:rsidR="00D42BAD" w:rsidRPr="00101A2A">
        <w:t xml:space="preserve">First, this study </w:t>
      </w:r>
      <w:r w:rsidR="00E55711">
        <w:t xml:space="preserve">examines </w:t>
      </w:r>
      <w:r w:rsidR="00D42BAD" w:rsidRPr="00101A2A">
        <w:t>the earlier years of the sharing economy. This choice allows us to focus our investigation on audience</w:t>
      </w:r>
      <w:r w:rsidR="001A585B" w:rsidRPr="00101A2A">
        <w:t>s’</w:t>
      </w:r>
      <w:r w:rsidR="00D42BAD" w:rsidRPr="00101A2A">
        <w:t xml:space="preserve"> categorization of the </w:t>
      </w:r>
      <w:r w:rsidR="00A718FF" w:rsidRPr="00101A2A">
        <w:t>SE</w:t>
      </w:r>
      <w:r w:rsidR="00D42BAD" w:rsidRPr="00101A2A">
        <w:t xml:space="preserve"> and its consequences for </w:t>
      </w:r>
      <w:r w:rsidR="00393D28" w:rsidRPr="00101A2A">
        <w:t>real estate</w:t>
      </w:r>
      <w:r w:rsidR="00D42BAD" w:rsidRPr="00101A2A">
        <w:t xml:space="preserve"> prices. </w:t>
      </w:r>
      <w:r w:rsidRPr="00101A2A">
        <w:t>However</w:t>
      </w:r>
      <w:r w:rsidR="00D42BAD" w:rsidRPr="00101A2A">
        <w:t xml:space="preserve">, </w:t>
      </w:r>
      <w:r w:rsidR="00393D28" w:rsidRPr="00101A2A">
        <w:t xml:space="preserve">more data will be needed to study </w:t>
      </w:r>
      <w:r w:rsidR="004C1817" w:rsidRPr="00101A2A">
        <w:t>hosts’</w:t>
      </w:r>
      <w:r w:rsidR="00D42BAD" w:rsidRPr="00101A2A">
        <w:t xml:space="preserve"> reactions to this categorization process and </w:t>
      </w:r>
      <w:r w:rsidR="003A3010">
        <w:t>its</w:t>
      </w:r>
      <w:r w:rsidR="00D42BAD" w:rsidRPr="00101A2A">
        <w:t xml:space="preserve"> </w:t>
      </w:r>
      <w:r w:rsidR="003A3010">
        <w:t>implications</w:t>
      </w:r>
      <w:r w:rsidR="00D42BAD" w:rsidRPr="00101A2A">
        <w:t xml:space="preserve">. </w:t>
      </w:r>
      <w:r w:rsidR="00367F93" w:rsidRPr="00101A2A">
        <w:t>Similarly, more research will be necessary to tease out specific preferences, e.g.</w:t>
      </w:r>
      <w:r w:rsidR="003A3010">
        <w:t>,</w:t>
      </w:r>
      <w:r w:rsidR="00367F93" w:rsidRPr="00101A2A">
        <w:t xml:space="preserve"> business </w:t>
      </w:r>
      <w:r w:rsidR="008565A0">
        <w:t>travelers</w:t>
      </w:r>
      <w:r w:rsidR="00367F93" w:rsidRPr="00101A2A">
        <w:t xml:space="preserve"> versus tourists, especially after Airbnb started diversifying into the </w:t>
      </w:r>
      <w:r w:rsidR="008565A0">
        <w:t>hotel</w:t>
      </w:r>
      <w:r w:rsidR="00367F93" w:rsidRPr="00101A2A">
        <w:t xml:space="preserve"> industry, e.g.</w:t>
      </w:r>
      <w:r w:rsidR="008565A0">
        <w:t>,</w:t>
      </w:r>
      <w:r w:rsidR="00367F93" w:rsidRPr="00101A2A">
        <w:t xml:space="preserve"> </w:t>
      </w:r>
      <w:r w:rsidR="00514AB5">
        <w:t>by purchasing</w:t>
      </w:r>
      <w:r w:rsidR="008565A0">
        <w:t xml:space="preserve"> </w:t>
      </w:r>
      <w:proofErr w:type="spellStart"/>
      <w:r w:rsidR="00367F93" w:rsidRPr="00101A2A">
        <w:t>HotelTonight</w:t>
      </w:r>
      <w:proofErr w:type="spellEnd"/>
      <w:r w:rsidR="00367F93" w:rsidRPr="00101A2A">
        <w:t xml:space="preserve"> in 2019.</w:t>
      </w:r>
    </w:p>
    <w:p w14:paraId="5BE591BB" w14:textId="1B932903" w:rsidR="00D42BAD" w:rsidRPr="00101A2A" w:rsidRDefault="00D42BAD" w:rsidP="00CF04AA">
      <w:r w:rsidRPr="00101A2A">
        <w:t xml:space="preserve">Second, we did not collect data on </w:t>
      </w:r>
      <w:r w:rsidR="00B6620A" w:rsidRPr="00101A2A">
        <w:t>hosts</w:t>
      </w:r>
      <w:r w:rsidR="00C27813" w:rsidRPr="00101A2A">
        <w:t>’</w:t>
      </w:r>
      <w:r w:rsidR="00B6620A" w:rsidRPr="00101A2A">
        <w:t xml:space="preserve"> </w:t>
      </w:r>
      <w:r w:rsidRPr="00101A2A">
        <w:t xml:space="preserve">performance over time. </w:t>
      </w:r>
      <w:r w:rsidR="00C27813" w:rsidRPr="00101A2A">
        <w:t xml:space="preserve">Although </w:t>
      </w:r>
      <w:r w:rsidR="00B36364" w:rsidRPr="00101A2A">
        <w:t>the fact</w:t>
      </w:r>
      <w:r w:rsidR="00C27813" w:rsidRPr="00101A2A">
        <w:t xml:space="preserve"> that reduced consumer appeal decreases host performance is</w:t>
      </w:r>
      <w:r w:rsidRPr="00101A2A">
        <w:t xml:space="preserve"> </w:t>
      </w:r>
      <w:r w:rsidR="00B14AC0" w:rsidRPr="00101A2A">
        <w:t>well</w:t>
      </w:r>
      <w:r w:rsidR="00B14AC0">
        <w:t>-</w:t>
      </w:r>
      <w:r w:rsidRPr="00101A2A">
        <w:t xml:space="preserve">established and largely replicated </w:t>
      </w:r>
      <w:r w:rsidR="00C27813" w:rsidRPr="00101A2A">
        <w:t>in</w:t>
      </w:r>
      <w:r w:rsidRPr="00101A2A">
        <w:t xml:space="preserve"> the </w:t>
      </w:r>
      <w:r w:rsidR="008565A0">
        <w:t>categories</w:t>
      </w:r>
      <w:r w:rsidRPr="00101A2A">
        <w:t xml:space="preserve"> literature </w:t>
      </w:r>
      <w:r w:rsidRPr="00101A2A">
        <w:fldChar w:fldCharType="begin" w:fldLock="1"/>
      </w:r>
      <w:r w:rsidR="003749C2">
        <w:instrText>ADDIN CSL_CITATION {"citationItems":[{"id":"ITEM-1","itemData":{"author":[{"dropping-particle":"","family":"Zuckerman","given":"Ezra W","non-dropping-particle":"","parse-names":false,"suffix":""}],"container-title":"American Journal of Sociology","id":"ITEM-1","issue":"5","issued":{"date-parts":[["1999"]]},"page":"1398-1438","title":"The Categorical Imperative : Securities Analysts and the Illegitimacy Discount 1","type":"article-journal","volume":"104"},"uris":["http://www.mendeley.com/documents/?uuid=7f48d0d4-4ac2-4547-98ee-42718da7d341"]},{"id":"ITEM-2","itemData":{"DOI":"10.1177/000312240907400108","ISBN":"0003122409","ISSN":"0003-1224","PMID":"36450215","abstract":"This article examines the effects of market specialization on economic and social outcomes. Integrating two perspectives, we explore why products that span multiple categories suffer social and economic disadvantages. According to the audience-side perspective, audience members refer to established categories to make sense of products. Products that incorporate features from multiple categories are perceived to be poor fits with category expectations and less appealing than category specialists. The producer-side view holds that spanning categories reduces one’s ability to effectively target each category’s audience, which decreases appeal to audience members. Rather than treating these as rival explanations, we propose that both processes matter and offer a systematic, integrated account of how penalties arise as a consequence of audience-side and producer-side processes. We analyze data from two dissimilar contexts, eBay auctions and U.S. feature-film projects, to test the central implications of our theory. Together, these tests provide support for our integrated approach and suggest that both processes contribute to the penalties associated with category spanning.","author":[{"dropping-particle":"","family":"Hsu","given":"G.","non-dropping-particle":"","parse-names":false,"suffix":""},{"dropping-particle":"","family":"Hannan","given":"M. T.","non-dropping-particle":"","parse-names":false,"suffix":""},{"dropping-particle":"","family":"Kocak","given":"O.","non-dropping-particle":"","parse-names":false,"suffix":""}],"container-title":"American Sociological Review","id":"ITEM-2","issue":"1","issued":{"date-parts":[["2009"]]},"page":"150-169","title":"Multiple category memberships in markets: An integrative theory and two empirical tests","type":"article-journal","volume":"74"},"uris":["http://www.mendeley.com/documents/?uuid=35e817e0-13de-45e7-a170-00efe3cfe8dd"]},{"id":"ITEM-3","itemData":{"DOI":"10.1287/orsc.1120.0764","ISBN":"1047-7039","ISSN":"1047-7039","abstract":"L iterature to date has demonstrated that producers and products spanning multiple categories have inferior market performance. However, two related but distinct explanations exist as to the source of such a discount. One explanation suggests that “actual” skills are degraded when producers attempt to engage across diverse categories. Another explanation involves perceptual fit to category representations held by an audience as the cause. These two explanations tend to be confounded in archival studies because external observers, responsible for the evaluation of market performance, are often aware of both the identity of producers and the underlying characteristics of their products. This leaves researchers unable to empirically separate effects. We present an analysis conducted in a setting in which it was possible to distinguish the two mechanisms: critics’ ratings of the same wines through “blind” and “nonblind” tastings. The findings indicate that after controlling for the value of ratings assigned blindly, the wines made by wineries spanning styles continue to receive lower ratings in the nonblind situation.","author":[{"dropping-particle":"","family":"Negro","given":"Giacomo","non-dropping-particle":"","parse-names":false,"suffix":""},{"dropping-particle":"","family":"Leung","given":"Ming D.","non-dropping-particle":"","parse-names":false,"suffix":""}],"container-title":"Organization Science","id":"ITEM-3","issue":"3","issued":{"date-parts":[["2013"]]},"page":"684-696","title":"\"Actual\" and Perceptual Effects of Category Spanning","type":"article-journal","volume":"24"},"uris":["http://www.mendeley.com/documents/?uuid=14ab5317-81ab-4bf6-b5b5-1c0567f39a14"]}],"mendeley":{"formattedCitation":"(Hsu et al., 2009; Negro &amp; Leung, 2013; Zuckerman, 1999)","manualFormatting":"(Hsu et al., 2009; Negro &amp; Leung, 2013, Zuckerman, 1999)","plainTextFormattedCitation":"(Hsu et al., 2009; Negro &amp; Leung, 2013; Zuckerman, 1999)","previouslyFormattedCitation":"(Hsu et al., 2009; Negro &amp; Leung, 2013; Zuckerman, 1999)"},"properties":{"noteIndex":0},"schema":"https://github.com/citation-style-language/schema/raw/master/csl-citation.json"}</w:instrText>
      </w:r>
      <w:r w:rsidRPr="00101A2A">
        <w:fldChar w:fldCharType="separate"/>
      </w:r>
      <w:r w:rsidR="00056834" w:rsidRPr="00101A2A">
        <w:rPr>
          <w:noProof/>
        </w:rPr>
        <w:t>(Hsu et al.</w:t>
      </w:r>
      <w:r w:rsidR="00D359AB" w:rsidRPr="00101A2A">
        <w:rPr>
          <w:noProof/>
        </w:rPr>
        <w:t>,</w:t>
      </w:r>
      <w:r w:rsidR="00056834" w:rsidRPr="00101A2A">
        <w:rPr>
          <w:noProof/>
        </w:rPr>
        <w:t xml:space="preserve"> 2009</w:t>
      </w:r>
      <w:r w:rsidR="00D359AB" w:rsidRPr="00101A2A">
        <w:rPr>
          <w:noProof/>
        </w:rPr>
        <w:t>;</w:t>
      </w:r>
      <w:r w:rsidR="00056834" w:rsidRPr="00101A2A">
        <w:rPr>
          <w:noProof/>
        </w:rPr>
        <w:t xml:space="preserve"> Negro </w:t>
      </w:r>
      <w:r w:rsidR="00D359AB" w:rsidRPr="00101A2A">
        <w:rPr>
          <w:noProof/>
        </w:rPr>
        <w:t>&amp;</w:t>
      </w:r>
      <w:r w:rsidR="00056834" w:rsidRPr="00101A2A">
        <w:rPr>
          <w:noProof/>
        </w:rPr>
        <w:t xml:space="preserve"> Leung</w:t>
      </w:r>
      <w:r w:rsidR="00D359AB" w:rsidRPr="00101A2A">
        <w:rPr>
          <w:noProof/>
        </w:rPr>
        <w:t>,</w:t>
      </w:r>
      <w:r w:rsidR="00056834" w:rsidRPr="00101A2A">
        <w:rPr>
          <w:noProof/>
        </w:rPr>
        <w:t xml:space="preserve"> 2013, Zuckerman</w:t>
      </w:r>
      <w:r w:rsidR="00D359AB" w:rsidRPr="00101A2A">
        <w:rPr>
          <w:noProof/>
        </w:rPr>
        <w:t>,</w:t>
      </w:r>
      <w:r w:rsidR="00056834" w:rsidRPr="00101A2A">
        <w:rPr>
          <w:noProof/>
        </w:rPr>
        <w:t xml:space="preserve"> 1999)</w:t>
      </w:r>
      <w:r w:rsidRPr="00101A2A">
        <w:fldChar w:fldCharType="end"/>
      </w:r>
      <w:r w:rsidRPr="00101A2A">
        <w:t xml:space="preserve">, </w:t>
      </w:r>
      <w:r w:rsidR="00104B50" w:rsidRPr="00101A2A">
        <w:t xml:space="preserve">we </w:t>
      </w:r>
      <w:r w:rsidR="00B36364" w:rsidRPr="00101A2A">
        <w:t>could not directly test the effect of audience categorization on hosts</w:t>
      </w:r>
      <w:r w:rsidR="00282F09" w:rsidRPr="00101A2A">
        <w:t>’</w:t>
      </w:r>
      <w:r w:rsidR="00B36364" w:rsidRPr="00101A2A">
        <w:t xml:space="preserve"> performance </w:t>
      </w:r>
      <w:r w:rsidR="00C27813" w:rsidRPr="00101A2A">
        <w:t>for Airbnb</w:t>
      </w:r>
      <w:r w:rsidRPr="00101A2A">
        <w:t>.</w:t>
      </w:r>
      <w:r w:rsidR="000002BF" w:rsidRPr="00101A2A">
        <w:t xml:space="preserve"> Moreover, our data suffer</w:t>
      </w:r>
      <w:r w:rsidR="00B14AC0">
        <w:t>s</w:t>
      </w:r>
      <w:r w:rsidR="000002BF" w:rsidRPr="00101A2A">
        <w:t xml:space="preserve"> </w:t>
      </w:r>
      <w:r w:rsidR="00B14AC0">
        <w:t>from</w:t>
      </w:r>
      <w:r w:rsidR="000002BF" w:rsidRPr="00101A2A">
        <w:t xml:space="preserve"> a survival bias as we could collect data only on hosts who remained active on Airbnb until 2015 (the time of our data collection). While we </w:t>
      </w:r>
      <w:r w:rsidR="007F45DF" w:rsidRPr="00101A2A">
        <w:t>do not</w:t>
      </w:r>
      <w:r w:rsidR="000002BF" w:rsidRPr="00101A2A">
        <w:t xml:space="preserve"> expect that this </w:t>
      </w:r>
      <w:r w:rsidR="008565A0">
        <w:t>will affect</w:t>
      </w:r>
      <w:r w:rsidR="000002BF" w:rsidRPr="00101A2A">
        <w:t xml:space="preserve"> our conclusions, </w:t>
      </w:r>
      <w:r w:rsidR="008565A0">
        <w:t xml:space="preserve">though </w:t>
      </w:r>
      <w:r w:rsidR="000002BF" w:rsidRPr="00101A2A">
        <w:t>it might affect the size effect of our results.</w:t>
      </w:r>
    </w:p>
    <w:p w14:paraId="2CA89BDD" w14:textId="78D2FC45" w:rsidR="00456CD7" w:rsidRPr="00101A2A" w:rsidRDefault="00456CD7" w:rsidP="00B723BA">
      <w:pPr>
        <w:pStyle w:val="Heading2"/>
      </w:pPr>
      <w:r w:rsidRPr="00101A2A">
        <w:t>Normative implications</w:t>
      </w:r>
    </w:p>
    <w:p w14:paraId="0002A935" w14:textId="2EC18F2B" w:rsidR="00204BD4" w:rsidRPr="00101A2A" w:rsidRDefault="00204BD4" w:rsidP="00204BD4">
      <w:r w:rsidRPr="00101A2A">
        <w:t xml:space="preserve">From a normative perspective, this study </w:t>
      </w:r>
      <w:r w:rsidR="00282F09" w:rsidRPr="00101A2A">
        <w:t xml:space="preserve">offers </w:t>
      </w:r>
      <w:r w:rsidRPr="00101A2A">
        <w:t xml:space="preserve">important insights about institutional contexts, specifically regulations, and </w:t>
      </w:r>
      <w:r w:rsidR="00C7691C" w:rsidRPr="00101A2A">
        <w:t xml:space="preserve">industry </w:t>
      </w:r>
      <w:r w:rsidRPr="00101A2A">
        <w:t xml:space="preserve">dynamics. In 2016, Airbnb received several </w:t>
      </w:r>
      <w:r w:rsidR="00C91278" w:rsidRPr="00101A2A">
        <w:t>criticisms</w:t>
      </w:r>
      <w:r w:rsidRPr="00101A2A">
        <w:t xml:space="preserve"> about its distorti</w:t>
      </w:r>
      <w:r w:rsidR="00282F09" w:rsidRPr="00101A2A">
        <w:t>ng</w:t>
      </w:r>
      <w:r w:rsidRPr="00101A2A">
        <w:t xml:space="preserve"> effect on housing prices. The Federal Trade Commission began investigating how Airbnb affected housing costs</w:t>
      </w:r>
      <w:r w:rsidR="00C91278" w:rsidRPr="00101A2A">
        <w:t xml:space="preserve">, and </w:t>
      </w:r>
      <w:r w:rsidRPr="00101A2A">
        <w:t>New York Governor Andrew Cuomo signed a bill charging Airbnb fines for violations of local housing laws.</w:t>
      </w:r>
      <w:r w:rsidRPr="00101A2A">
        <w:rPr>
          <w:rStyle w:val="FootnoteReference"/>
        </w:rPr>
        <w:footnoteReference w:id="7"/>
      </w:r>
      <w:r w:rsidRPr="00101A2A">
        <w:t xml:space="preserve"> The </w:t>
      </w:r>
      <w:r w:rsidRPr="00101A2A">
        <w:rPr>
          <w:i/>
          <w:iCs/>
        </w:rPr>
        <w:t>New York Times</w:t>
      </w:r>
      <w:r w:rsidRPr="00101A2A">
        <w:t xml:space="preserve"> </w:t>
      </w:r>
      <w:r w:rsidRPr="00101A2A">
        <w:lastRenderedPageBreak/>
        <w:t>reported that these events were part of a “plan that the hotel association started in early 2016 to thwart Airbnb</w:t>
      </w:r>
      <w:r w:rsidR="00282F09" w:rsidRPr="00101A2A">
        <w:t>.</w:t>
      </w:r>
      <w:r w:rsidRPr="00101A2A">
        <w:t>” Airbnb denied “the so-called ‘Airbnb effect’ on local housing</w:t>
      </w:r>
      <w:r w:rsidR="00282F09" w:rsidRPr="00101A2A">
        <w:t>,</w:t>
      </w:r>
      <w:r w:rsidRPr="00101A2A">
        <w:t xml:space="preserve">” </w:t>
      </w:r>
      <w:r w:rsidR="00C91278" w:rsidRPr="00101A2A">
        <w:t>but</w:t>
      </w:r>
      <w:r w:rsidRPr="00101A2A">
        <w:t xml:space="preserve"> in 2019 it pledged to invest $25 million toward affordable housing and other community needs in the U</w:t>
      </w:r>
      <w:r w:rsidR="00282F09" w:rsidRPr="00101A2A">
        <w:t xml:space="preserve">nited </w:t>
      </w:r>
      <w:r w:rsidRPr="00101A2A">
        <w:t>S</w:t>
      </w:r>
      <w:r w:rsidR="00282F09" w:rsidRPr="00101A2A">
        <w:t>tates</w:t>
      </w:r>
      <w:r w:rsidRPr="00101A2A">
        <w:t>. The findings of our study are aligned with these reactions and suggest that</w:t>
      </w:r>
      <w:r w:rsidR="00282EA4">
        <w:t>,</w:t>
      </w:r>
      <w:r w:rsidRPr="00101A2A">
        <w:t xml:space="preserve"> in fact</w:t>
      </w:r>
      <w:r w:rsidR="00282EA4">
        <w:t>,</w:t>
      </w:r>
      <w:r w:rsidRPr="00101A2A">
        <w:t xml:space="preserve"> Airbnb</w:t>
      </w:r>
      <w:r w:rsidR="00282F09" w:rsidRPr="00101A2A">
        <w:t xml:space="preserve"> </w:t>
      </w:r>
      <w:r w:rsidRPr="00101A2A">
        <w:t>and possibly other major operators in other sharing economy industries</w:t>
      </w:r>
      <w:r w:rsidR="00282F09" w:rsidRPr="00101A2A">
        <w:t xml:space="preserve"> </w:t>
      </w:r>
      <w:r w:rsidRPr="00101A2A">
        <w:t xml:space="preserve">do distort the competitive dynamics in industries proximate to the one they </w:t>
      </w:r>
      <w:r w:rsidR="00282F09" w:rsidRPr="00101A2A">
        <w:t xml:space="preserve">help </w:t>
      </w:r>
      <w:r w:rsidRPr="00101A2A">
        <w:t xml:space="preserve">create. Our findings also suggest that different </w:t>
      </w:r>
      <w:r w:rsidR="00B6620A" w:rsidRPr="00101A2A">
        <w:t xml:space="preserve">hosts </w:t>
      </w:r>
      <w:r w:rsidRPr="00101A2A">
        <w:t xml:space="preserve">follow different competitive strategies that have heterogeneous implications for the competitive dynamics in the industry. </w:t>
      </w:r>
    </w:p>
    <w:p w14:paraId="20712FE9" w14:textId="77777777" w:rsidR="006C0185" w:rsidRPr="00101A2A" w:rsidRDefault="006C0185">
      <w:pPr>
        <w:spacing w:after="160" w:line="259" w:lineRule="auto"/>
        <w:ind w:firstLine="0"/>
        <w:rPr>
          <w:b/>
          <w:caps/>
        </w:rPr>
      </w:pPr>
      <w:r w:rsidRPr="00101A2A">
        <w:br w:type="page"/>
      </w:r>
    </w:p>
    <w:p w14:paraId="056C12AC" w14:textId="1E32F621" w:rsidR="000818CA" w:rsidRPr="00AA63F1" w:rsidRDefault="00F74DE0" w:rsidP="00F26AE7">
      <w:pPr>
        <w:pStyle w:val="Heading1"/>
        <w:rPr>
          <w:lang w:val="es-ES"/>
        </w:rPr>
      </w:pPr>
      <w:r w:rsidRPr="00AA63F1">
        <w:rPr>
          <w:lang w:val="es-ES"/>
        </w:rPr>
        <w:lastRenderedPageBreak/>
        <w:t>References</w:t>
      </w:r>
    </w:p>
    <w:p w14:paraId="29E673F5" w14:textId="45182BE9" w:rsidR="00920500" w:rsidRPr="00920500" w:rsidRDefault="00920500" w:rsidP="00920500">
      <w:pPr>
        <w:widowControl w:val="0"/>
        <w:autoSpaceDE w:val="0"/>
        <w:autoSpaceDN w:val="0"/>
        <w:adjustRightInd w:val="0"/>
        <w:spacing w:line="240" w:lineRule="auto"/>
        <w:ind w:left="480" w:hanging="480"/>
        <w:rPr>
          <w:noProof/>
        </w:rPr>
      </w:pPr>
      <w:r>
        <w:fldChar w:fldCharType="begin" w:fldLock="1"/>
      </w:r>
      <w:r>
        <w:instrText xml:space="preserve">ADDIN Mendeley Bibliography CSL_BIBLIOGRAPHY </w:instrText>
      </w:r>
      <w:r>
        <w:fldChar w:fldCharType="separate"/>
      </w:r>
      <w:r w:rsidRPr="00920500">
        <w:rPr>
          <w:noProof/>
        </w:rPr>
        <w:t xml:space="preserve">Adams, P., Fontana, R., &amp; Malerba, F. 2015. User-Industry Spinouts: Downstream Industry Knowledge as a Source of New Firm Entry and Survival. </w:t>
      </w:r>
      <w:r w:rsidRPr="00920500">
        <w:rPr>
          <w:b/>
          <w:bCs/>
          <w:i/>
          <w:iCs/>
          <w:noProof/>
        </w:rPr>
        <w:t>Organization Science</w:t>
      </w:r>
      <w:r w:rsidRPr="00920500">
        <w:rPr>
          <w:noProof/>
        </w:rPr>
        <w:t>, 27(1): 18–35.</w:t>
      </w:r>
    </w:p>
    <w:p w14:paraId="08FB59CB"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Afuah, A. 2013. Are network effects really about size? The role of structure and conduct. </w:t>
      </w:r>
      <w:r w:rsidRPr="00920500">
        <w:rPr>
          <w:b/>
          <w:bCs/>
          <w:i/>
          <w:iCs/>
          <w:noProof/>
        </w:rPr>
        <w:t>Strategic Management Journal</w:t>
      </w:r>
      <w:r w:rsidRPr="00920500">
        <w:rPr>
          <w:noProof/>
        </w:rPr>
        <w:t>, 34(3): 257–273.</w:t>
      </w:r>
    </w:p>
    <w:p w14:paraId="2DB087C8"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Alexy, O., &amp; George, G. 2013. Category Divergence, Straddling, and Currency: Open Innovation and the Legitimation of Illegitimate Categories. </w:t>
      </w:r>
      <w:r w:rsidRPr="00920500">
        <w:rPr>
          <w:b/>
          <w:bCs/>
          <w:i/>
          <w:iCs/>
          <w:noProof/>
        </w:rPr>
        <w:t>Journal of Management Studies</w:t>
      </w:r>
      <w:r w:rsidRPr="00920500">
        <w:rPr>
          <w:noProof/>
        </w:rPr>
        <w:t>, 50(2): 173–203.</w:t>
      </w:r>
    </w:p>
    <w:p w14:paraId="6855BE9F"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Ameri, M., Rogers, S., Schur, L., &amp; Kruse, D. 2017. No room at the inn? Disability access in the new sharing economy. </w:t>
      </w:r>
      <w:r w:rsidRPr="00920500">
        <w:rPr>
          <w:b/>
          <w:bCs/>
          <w:i/>
          <w:iCs/>
          <w:noProof/>
        </w:rPr>
        <w:t>Academy of Management Discoveries</w:t>
      </w:r>
      <w:r w:rsidRPr="00920500">
        <w:rPr>
          <w:noProof/>
        </w:rPr>
        <w:t>.</w:t>
      </w:r>
    </w:p>
    <w:p w14:paraId="3C7ED817"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Arellano, M., &amp; Bond, S. 1991. The Review of Economic Studies, Ltd. Some Tests of Specification for Panel Data: Monte Carlo Evidence and an Application to Employment Equations Some Tests of Specification for Panel Data: Monte Carlo Evidence and an Application t o Employment Equations. </w:t>
      </w:r>
      <w:r w:rsidRPr="00920500">
        <w:rPr>
          <w:b/>
          <w:bCs/>
          <w:i/>
          <w:iCs/>
          <w:noProof/>
        </w:rPr>
        <w:t>Review of Economic Studies</w:t>
      </w:r>
      <w:r w:rsidRPr="00920500">
        <w:rPr>
          <w:noProof/>
        </w:rPr>
        <w:t>, 58(58): 277–297.</w:t>
      </w:r>
    </w:p>
    <w:p w14:paraId="6934CDA2"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Bamberger, P., &amp; Ang, S. 2016. The Quantitative Discovery: What is it and How to Get it Published. </w:t>
      </w:r>
      <w:r w:rsidRPr="00920500">
        <w:rPr>
          <w:b/>
          <w:bCs/>
          <w:i/>
          <w:iCs/>
          <w:noProof/>
        </w:rPr>
        <w:t>Academy of Management Discoveries</w:t>
      </w:r>
      <w:r w:rsidRPr="00920500">
        <w:rPr>
          <w:noProof/>
        </w:rPr>
        <w:t>, 2(1): 1–6.</w:t>
      </w:r>
    </w:p>
    <w:p w14:paraId="29C1B38B"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Barley, S. R. 2015. Why the internet makes buying a car less loathsome: How technologies change role relations. </w:t>
      </w:r>
      <w:r w:rsidRPr="00920500">
        <w:rPr>
          <w:b/>
          <w:bCs/>
          <w:i/>
          <w:iCs/>
          <w:noProof/>
        </w:rPr>
        <w:t>Academy of Management Discoveries</w:t>
      </w:r>
      <w:r w:rsidRPr="00920500">
        <w:rPr>
          <w:noProof/>
        </w:rPr>
        <w:t>, 1(1): 31–60.</w:t>
      </w:r>
    </w:p>
    <w:p w14:paraId="0711A05C"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Barron, K., Kung, E., &amp; Proserpio, D. 2021. The effect of home-sharing on house prices and rents: Evidence from Airbnb. </w:t>
      </w:r>
      <w:r w:rsidRPr="00920500">
        <w:rPr>
          <w:b/>
          <w:bCs/>
          <w:i/>
          <w:iCs/>
          <w:noProof/>
        </w:rPr>
        <w:t>Marketing Science</w:t>
      </w:r>
      <w:r w:rsidRPr="00920500">
        <w:rPr>
          <w:noProof/>
        </w:rPr>
        <w:t>, 40(1): 23–47.</w:t>
      </w:r>
    </w:p>
    <w:p w14:paraId="4A419A20"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Bermiss, S. Y., Zajac, E. J., &amp; King, B. G. 2014. Under construction: How commensuration and management fashion affect corporate reputation rankings. </w:t>
      </w:r>
      <w:r w:rsidRPr="00920500">
        <w:rPr>
          <w:b/>
          <w:bCs/>
          <w:i/>
          <w:iCs/>
          <w:noProof/>
        </w:rPr>
        <w:t>Organization Science</w:t>
      </w:r>
      <w:r w:rsidRPr="00920500">
        <w:rPr>
          <w:noProof/>
        </w:rPr>
        <w:t>, 25(2): 591–608.</w:t>
      </w:r>
    </w:p>
    <w:p w14:paraId="51C29A03"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Bork, L., &amp; Møller, S. V. 2015. Forecasting house prices in the 50 states using Dynamic Model Averaging and Dynamic Model Selection. </w:t>
      </w:r>
      <w:r w:rsidRPr="00920500">
        <w:rPr>
          <w:b/>
          <w:bCs/>
          <w:i/>
          <w:iCs/>
          <w:noProof/>
        </w:rPr>
        <w:t>International Journal of Forecasting</w:t>
      </w:r>
      <w:r w:rsidRPr="00920500">
        <w:rPr>
          <w:noProof/>
        </w:rPr>
        <w:t>, vol. 31. https://doi.org/10.1016/j.ijforecast.2014.05.005.</w:t>
      </w:r>
    </w:p>
    <w:p w14:paraId="319B3D82"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Bucher, E., Fieseler, C., Fleck, M., &amp; Lutz, C. 2018. Authenticity and the Sharing Economy. </w:t>
      </w:r>
      <w:r w:rsidRPr="00920500">
        <w:rPr>
          <w:b/>
          <w:bCs/>
          <w:i/>
          <w:iCs/>
          <w:noProof/>
        </w:rPr>
        <w:t>Academy of Management Discoveries</w:t>
      </w:r>
      <w:r w:rsidRPr="00920500">
        <w:rPr>
          <w:noProof/>
        </w:rPr>
        <w:t>, 4(3): 294–313.</w:t>
      </w:r>
    </w:p>
    <w:p w14:paraId="2B936497"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Carnabuci, G., Operti, E., &amp; Kovács, B. 2015. The Categorical Imperative and Structural Reproduction: Dynamics of Technological Entry in the Semiconductor Industry. </w:t>
      </w:r>
      <w:r w:rsidRPr="00920500">
        <w:rPr>
          <w:b/>
          <w:bCs/>
          <w:i/>
          <w:iCs/>
          <w:noProof/>
        </w:rPr>
        <w:t>Organization Science</w:t>
      </w:r>
      <w:r w:rsidRPr="00920500">
        <w:rPr>
          <w:noProof/>
        </w:rPr>
        <w:t>, 26(6): 1734–1751.</w:t>
      </w:r>
    </w:p>
    <w:p w14:paraId="5086CFD1"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Carroll, G. R., Bigelow, L. S., Seidel, M.-D. L., &amp; Tsai, L. B. 1996. The fates of De Novo and De Alio producers in the American Automobile Industry 1885-1981. </w:t>
      </w:r>
      <w:r w:rsidRPr="00920500">
        <w:rPr>
          <w:b/>
          <w:bCs/>
          <w:i/>
          <w:iCs/>
          <w:noProof/>
        </w:rPr>
        <w:t>Strategic Management Journal</w:t>
      </w:r>
      <w:r w:rsidRPr="00920500">
        <w:rPr>
          <w:noProof/>
        </w:rPr>
        <w:t>, 17(S1): 117–137.</w:t>
      </w:r>
    </w:p>
    <w:p w14:paraId="5EDF7265"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Carroll, G. R., &amp; Swaminathan, A. 2000. Why the Microbrewery Movement? Organizational Dynamics of Resource Partitioning in the U.S. Brewing Industry. </w:t>
      </w:r>
      <w:r w:rsidRPr="00920500">
        <w:rPr>
          <w:b/>
          <w:bCs/>
          <w:i/>
          <w:iCs/>
          <w:noProof/>
        </w:rPr>
        <w:t>American Journal of Sociology</w:t>
      </w:r>
      <w:r w:rsidRPr="00920500">
        <w:rPr>
          <w:noProof/>
        </w:rPr>
        <w:t>, 106(3): 715–762.</w:t>
      </w:r>
    </w:p>
    <w:p w14:paraId="3D3474FE"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Cattani, G., Porac, J. F., &amp; Thomas, H. 2017. Categories and Competition. </w:t>
      </w:r>
      <w:r w:rsidRPr="00920500">
        <w:rPr>
          <w:b/>
          <w:bCs/>
          <w:i/>
          <w:iCs/>
          <w:noProof/>
        </w:rPr>
        <w:t>Strategic Management Journal</w:t>
      </w:r>
      <w:r w:rsidRPr="00920500">
        <w:rPr>
          <w:noProof/>
        </w:rPr>
        <w:t>, 38(1): 64–92.</w:t>
      </w:r>
    </w:p>
    <w:p w14:paraId="2079081F"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Cattani, G., Sands, D., Porac, J., &amp; Greenberg, J. 2018. Competitive sensemaking in value creation and capture. </w:t>
      </w:r>
      <w:r w:rsidRPr="00920500">
        <w:rPr>
          <w:b/>
          <w:bCs/>
          <w:i/>
          <w:iCs/>
          <w:noProof/>
        </w:rPr>
        <w:t>Strategy Science</w:t>
      </w:r>
      <w:r w:rsidRPr="00920500">
        <w:rPr>
          <w:noProof/>
        </w:rPr>
        <w:t>, 3(4): 632–657.</w:t>
      </w:r>
    </w:p>
    <w:p w14:paraId="5E394A8D"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Cennamo, C., &amp; Santalo, J. 2013. Platform competition: Strategic trade-offs in platform markets. </w:t>
      </w:r>
      <w:r w:rsidRPr="00920500">
        <w:rPr>
          <w:b/>
          <w:bCs/>
          <w:i/>
          <w:iCs/>
          <w:noProof/>
        </w:rPr>
        <w:t>Strategic Management Journal</w:t>
      </w:r>
      <w:r w:rsidRPr="00920500">
        <w:rPr>
          <w:noProof/>
        </w:rPr>
        <w:t>, 34: 1331–1350.</w:t>
      </w:r>
    </w:p>
    <w:p w14:paraId="56EDF364"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Chen, W., Wei, Z., &amp; Xie, K. 2022. The Battle for Homes: How Does Home Sharing Disrupt Local Residential Markets? </w:t>
      </w:r>
      <w:r w:rsidRPr="00920500">
        <w:rPr>
          <w:b/>
          <w:bCs/>
          <w:i/>
          <w:iCs/>
          <w:noProof/>
        </w:rPr>
        <w:t>Management Science</w:t>
      </w:r>
      <w:r w:rsidRPr="00920500">
        <w:rPr>
          <w:noProof/>
        </w:rPr>
        <w:t>, 68(12): 8589–8612.</w:t>
      </w:r>
    </w:p>
    <w:p w14:paraId="019F19F3"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lastRenderedPageBreak/>
        <w:t xml:space="preserve">Cusumano, M. A. 2022. The Evolution of Research on Industry Platforms. </w:t>
      </w:r>
      <w:r w:rsidRPr="00920500">
        <w:rPr>
          <w:b/>
          <w:bCs/>
          <w:i/>
          <w:iCs/>
          <w:noProof/>
        </w:rPr>
        <w:t>Academy of Management Discoveries</w:t>
      </w:r>
      <w:r w:rsidRPr="00920500">
        <w:rPr>
          <w:noProof/>
        </w:rPr>
        <w:t>, 8(1): 7–14.</w:t>
      </w:r>
    </w:p>
    <w:p w14:paraId="4FB331DA"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Edelman, B. G., &amp; Geradin, D. 2015. Efficiencies and regulatory shortcuts: How should we regulate companies like Airbnb and Uber? </w:t>
      </w:r>
      <w:r w:rsidRPr="00920500">
        <w:rPr>
          <w:b/>
          <w:bCs/>
          <w:i/>
          <w:iCs/>
          <w:noProof/>
        </w:rPr>
        <w:t>Stanford Technology Law Review</w:t>
      </w:r>
      <w:r w:rsidRPr="00920500">
        <w:rPr>
          <w:noProof/>
        </w:rPr>
        <w:t>, 19: 293.</w:t>
      </w:r>
    </w:p>
    <w:p w14:paraId="288C6957"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Edelman, L. B., &amp; Suchman, M. C. 1997. The legal environments of organizations. </w:t>
      </w:r>
      <w:r w:rsidRPr="00920500">
        <w:rPr>
          <w:b/>
          <w:bCs/>
          <w:i/>
          <w:iCs/>
          <w:noProof/>
        </w:rPr>
        <w:t>Annual Review of Sociology</w:t>
      </w:r>
      <w:r w:rsidRPr="00920500">
        <w:rPr>
          <w:noProof/>
        </w:rPr>
        <w:t>, 23: 479–515.</w:t>
      </w:r>
    </w:p>
    <w:p w14:paraId="2DB1F830"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Elfenbein, D. W., Fisman, R., &amp; McManus, B. 2015. Market Structure, Reputation, and the Value of Quality Certification. </w:t>
      </w:r>
      <w:r w:rsidRPr="00920500">
        <w:rPr>
          <w:b/>
          <w:bCs/>
          <w:i/>
          <w:iCs/>
          <w:noProof/>
        </w:rPr>
        <w:t>American Econimic Association</w:t>
      </w:r>
      <w:r w:rsidRPr="00920500">
        <w:rPr>
          <w:noProof/>
        </w:rPr>
        <w:t>, 7(4): 83–108.</w:t>
      </w:r>
    </w:p>
    <w:p w14:paraId="1F8B0B27"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Filippas, A., Horton, J. J., &amp; Zeckhauser, R. J. 2020. Owning, using and renting: Some simple economics of the “Sharing Economy.” </w:t>
      </w:r>
      <w:r w:rsidRPr="00920500">
        <w:rPr>
          <w:b/>
          <w:bCs/>
          <w:i/>
          <w:iCs/>
          <w:noProof/>
        </w:rPr>
        <w:t>Management Science</w:t>
      </w:r>
      <w:r w:rsidRPr="00920500">
        <w:rPr>
          <w:noProof/>
        </w:rPr>
        <w:t>, 66(9): 4152–4172.</w:t>
      </w:r>
    </w:p>
    <w:p w14:paraId="3437961C"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Fradkin, A., Grewal, E., &amp; Holtz, D. 2021. Reciprocity and Unveiling in Two-Sided Reputation Systems: Evidence from an Experiment on Airbnb. </w:t>
      </w:r>
      <w:r w:rsidRPr="00920500">
        <w:rPr>
          <w:b/>
          <w:bCs/>
          <w:i/>
          <w:iCs/>
          <w:noProof/>
        </w:rPr>
        <w:t>Marketing Science</w:t>
      </w:r>
      <w:r w:rsidRPr="00920500">
        <w:rPr>
          <w:noProof/>
        </w:rPr>
        <w:t>, 40(6): 1013–1029.</w:t>
      </w:r>
    </w:p>
    <w:p w14:paraId="538679D3"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Funk, R. J., &amp; Hirschman, D. 2014. Derivatives and Deregulation: Financial Innovation and the Demise of Glass–Steagall. </w:t>
      </w:r>
      <w:r w:rsidRPr="00920500">
        <w:rPr>
          <w:b/>
          <w:bCs/>
          <w:i/>
          <w:iCs/>
          <w:noProof/>
        </w:rPr>
        <w:t>Administrative Science Quarterly</w:t>
      </w:r>
      <w:r w:rsidRPr="00920500">
        <w:rPr>
          <w:noProof/>
        </w:rPr>
        <w:t>, 59(4): 669–704.</w:t>
      </w:r>
    </w:p>
    <w:p w14:paraId="68FC82B2"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Gao, C., &amp; McDonald, R. 2022. Shaping Nascent Industries: Innovation Strategy and Regulatory Uncertainty in Personal Genomics. </w:t>
      </w:r>
      <w:r w:rsidRPr="00920500">
        <w:rPr>
          <w:b/>
          <w:bCs/>
          <w:i/>
          <w:iCs/>
          <w:noProof/>
        </w:rPr>
        <w:t>Administrative Science Quarterly</w:t>
      </w:r>
      <w:r w:rsidRPr="00920500">
        <w:rPr>
          <w:noProof/>
        </w:rPr>
        <w:t>, 67(4): 915–967.</w:t>
      </w:r>
    </w:p>
    <w:p w14:paraId="3A2EC7D9"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Garg, N., Schiebinger, L., Jurafsky, D., &amp; Zou, J. 2018. Word Embeddings Quantify 100 Years of Gender and Ethnic Stereotypes. </w:t>
      </w:r>
      <w:r w:rsidRPr="00920500">
        <w:rPr>
          <w:b/>
          <w:bCs/>
          <w:i/>
          <w:iCs/>
          <w:noProof/>
        </w:rPr>
        <w:t>Proceedings of the National Academy of Sciences</w:t>
      </w:r>
      <w:r w:rsidRPr="00920500">
        <w:rPr>
          <w:noProof/>
        </w:rPr>
        <w:t>, 115(16): E3635–E3644.</w:t>
      </w:r>
    </w:p>
    <w:p w14:paraId="2FB599DD"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Gerwe, O., Silva, R., &amp; Castro, J. de. 2020. Entry of providers onto a sharing economy platform: Macro-level factors and social interaction. </w:t>
      </w:r>
      <w:r w:rsidRPr="00920500">
        <w:rPr>
          <w:b/>
          <w:bCs/>
          <w:i/>
          <w:iCs/>
          <w:noProof/>
        </w:rPr>
        <w:t>Entrepreneurship: Theory and Practice</w:t>
      </w:r>
      <w:r w:rsidRPr="00920500">
        <w:rPr>
          <w:noProof/>
        </w:rPr>
        <w:t>, 46(4): 833–856.</w:t>
      </w:r>
    </w:p>
    <w:p w14:paraId="64DC7871"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Gottlieb, C. 2013. Residential Short-Term Rentals: Should Local Governments Regulate the “Industry”? </w:t>
      </w:r>
      <w:r w:rsidRPr="00920500">
        <w:rPr>
          <w:b/>
          <w:bCs/>
          <w:i/>
          <w:iCs/>
          <w:noProof/>
        </w:rPr>
        <w:t>Planning and Environmental Law</w:t>
      </w:r>
      <w:r w:rsidRPr="00920500">
        <w:rPr>
          <w:noProof/>
        </w:rPr>
        <w:t>, 65(2): 4–9.</w:t>
      </w:r>
    </w:p>
    <w:p w14:paraId="790579FD"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Grodal, S., Gotsopoulos, A., &amp; Suarez, F. F. 2015. The Coevolution of technologies and Categories During Industry Emergence. </w:t>
      </w:r>
      <w:r w:rsidRPr="00920500">
        <w:rPr>
          <w:b/>
          <w:bCs/>
          <w:i/>
          <w:iCs/>
          <w:noProof/>
        </w:rPr>
        <w:t>Academy of Management Review</w:t>
      </w:r>
      <w:r w:rsidRPr="00920500">
        <w:rPr>
          <w:noProof/>
        </w:rPr>
        <w:t>, 40(3): 423–445.</w:t>
      </w:r>
    </w:p>
    <w:p w14:paraId="6225D12D"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Guo, Y., Li, X., &amp; Zeng, X. 2019. Platform Competition in the Sharing Economy: Understanding How Ride-Hailing Services Influence New Car Purchases. </w:t>
      </w:r>
      <w:r w:rsidRPr="00920500">
        <w:rPr>
          <w:b/>
          <w:bCs/>
          <w:i/>
          <w:iCs/>
          <w:noProof/>
        </w:rPr>
        <w:t>Journal of Management Information Systems</w:t>
      </w:r>
      <w:r w:rsidRPr="00920500">
        <w:rPr>
          <w:noProof/>
        </w:rPr>
        <w:t>, 36(4): 1043–1070.</w:t>
      </w:r>
    </w:p>
    <w:p w14:paraId="5FD68556"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Hagiu, A., Jullien, B., &amp; Wright, J. 2020. Creating platforms by hosting rivals. </w:t>
      </w:r>
      <w:r w:rsidRPr="00920500">
        <w:rPr>
          <w:b/>
          <w:bCs/>
          <w:i/>
          <w:iCs/>
          <w:noProof/>
        </w:rPr>
        <w:t>Management Science</w:t>
      </w:r>
      <w:r w:rsidRPr="00920500">
        <w:rPr>
          <w:noProof/>
        </w:rPr>
        <w:t>, 66(7): 3234–3248.</w:t>
      </w:r>
    </w:p>
    <w:p w14:paraId="43C613DA"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Harrison, J. S., Thurgood, G. R., Boivie, S., &amp; Pfarrer, M. D. 2019. Measuring CEO personality: Developing, validating, and testing a linguistic tool. </w:t>
      </w:r>
      <w:r w:rsidRPr="00920500">
        <w:rPr>
          <w:b/>
          <w:bCs/>
          <w:i/>
          <w:iCs/>
          <w:noProof/>
        </w:rPr>
        <w:t>Strategic Management Journal</w:t>
      </w:r>
      <w:r w:rsidRPr="00920500">
        <w:rPr>
          <w:noProof/>
        </w:rPr>
        <w:t>, 40(8): 1316–1330.</w:t>
      </w:r>
    </w:p>
    <w:p w14:paraId="20F46358"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Hsu, G. 2006. Jacks of All Trades and Masters of None: Audiences’ Reactions to Spanning Genres in Feature Film Production. </w:t>
      </w:r>
      <w:r w:rsidRPr="00920500">
        <w:rPr>
          <w:b/>
          <w:bCs/>
          <w:i/>
          <w:iCs/>
          <w:noProof/>
        </w:rPr>
        <w:t>Administrative Science Quarterly</w:t>
      </w:r>
      <w:r w:rsidRPr="00920500">
        <w:rPr>
          <w:noProof/>
        </w:rPr>
        <w:t>, 51(3): 420–450.</w:t>
      </w:r>
    </w:p>
    <w:p w14:paraId="5A93F5F1"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Hsu, G., Hannan, M. T., &amp; Kocak, O. 2009. Multiple category memberships in markets: An integrative theory and two empirical tests. </w:t>
      </w:r>
      <w:r w:rsidRPr="00920500">
        <w:rPr>
          <w:b/>
          <w:bCs/>
          <w:i/>
          <w:iCs/>
          <w:noProof/>
        </w:rPr>
        <w:t>American Sociological Review</w:t>
      </w:r>
      <w:r w:rsidRPr="00920500">
        <w:rPr>
          <w:noProof/>
        </w:rPr>
        <w:t>, 74(1): 150–169.</w:t>
      </w:r>
    </w:p>
    <w:p w14:paraId="794F099F"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Hukal, P., Henfridsson, O., Shaikh, M., &amp; Parker, G. 2020. Platform signaling for generating platform content. </w:t>
      </w:r>
      <w:r w:rsidRPr="00920500">
        <w:rPr>
          <w:b/>
          <w:bCs/>
          <w:i/>
          <w:iCs/>
          <w:noProof/>
        </w:rPr>
        <w:t>MIS Quarterly: Management Information Systems</w:t>
      </w:r>
      <w:r w:rsidRPr="00920500">
        <w:rPr>
          <w:noProof/>
        </w:rPr>
        <w:t>, 44(3): 1177–1206.</w:t>
      </w:r>
    </w:p>
    <w:p w14:paraId="68310841"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Kalnins, A. 2018. Multicollinearity: How common factors cause Type 1 errors in multivariate regression. </w:t>
      </w:r>
      <w:r w:rsidRPr="00920500">
        <w:rPr>
          <w:b/>
          <w:bCs/>
          <w:i/>
          <w:iCs/>
          <w:noProof/>
        </w:rPr>
        <w:t>Strategic Management Journal</w:t>
      </w:r>
      <w:r w:rsidRPr="00920500">
        <w:rPr>
          <w:noProof/>
        </w:rPr>
        <w:t>, 39(8): 2362–2385.</w:t>
      </w:r>
    </w:p>
    <w:p w14:paraId="3C168A3E"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Kennedy, M. T., Lo, J. Y. C., &amp; Lounsbury, M. 2010. Category currency: The changing value of conformity as a function of ongoing meaning construction. </w:t>
      </w:r>
      <w:r w:rsidRPr="00920500">
        <w:rPr>
          <w:b/>
          <w:bCs/>
          <w:i/>
          <w:iCs/>
          <w:noProof/>
        </w:rPr>
        <w:t>Research in the Sociology of Organizations</w:t>
      </w:r>
      <w:r w:rsidRPr="00920500">
        <w:rPr>
          <w:noProof/>
        </w:rPr>
        <w:t>, vol. 31. Elsevier. https://doi.org/10.1108/S0733-558X(2010)0000031014.</w:t>
      </w:r>
    </w:p>
    <w:p w14:paraId="47C24430"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Kessler, J. S. 2017. ScatterText: A browser-based tool for visualizing how corpora differ. </w:t>
      </w:r>
      <w:r w:rsidRPr="00920500">
        <w:rPr>
          <w:b/>
          <w:bCs/>
          <w:i/>
          <w:iCs/>
          <w:noProof/>
        </w:rPr>
        <w:t xml:space="preserve">ACL </w:t>
      </w:r>
      <w:r w:rsidRPr="00920500">
        <w:rPr>
          <w:b/>
          <w:bCs/>
          <w:i/>
          <w:iCs/>
          <w:noProof/>
        </w:rPr>
        <w:lastRenderedPageBreak/>
        <w:t>2017 - 55th Annual Meeting of the Association for Computational Linguistics, Proceedings of System Demonstrations</w:t>
      </w:r>
      <w:r w:rsidRPr="00920500">
        <w:rPr>
          <w:noProof/>
        </w:rPr>
        <w:t>, 85–90.</w:t>
      </w:r>
    </w:p>
    <w:p w14:paraId="02BED336"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Klepper, S., &amp; Simons, K. L. 2000. Dominance by birthright: entry of prior radio producers and competitive ramifications in the U.S. television receiver industry. </w:t>
      </w:r>
      <w:r w:rsidRPr="00920500">
        <w:rPr>
          <w:b/>
          <w:bCs/>
          <w:i/>
          <w:iCs/>
          <w:noProof/>
        </w:rPr>
        <w:t>Strategic Management Journal</w:t>
      </w:r>
      <w:r w:rsidRPr="00920500">
        <w:rPr>
          <w:noProof/>
        </w:rPr>
        <w:t>, 21(10–11): 997–1016.</w:t>
      </w:r>
    </w:p>
    <w:p w14:paraId="7EF32D89"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Koster, H., Van Ommeren, J., &amp; Volkhausen, N. 2021. Short-term rentals and the housing market: Quasi-experimental evidence from Airbnb in Los Angeles. </w:t>
      </w:r>
      <w:r w:rsidRPr="00920500">
        <w:rPr>
          <w:b/>
          <w:bCs/>
          <w:i/>
          <w:iCs/>
          <w:noProof/>
        </w:rPr>
        <w:t>Journal of Urban Economics</w:t>
      </w:r>
      <w:r w:rsidRPr="00920500">
        <w:rPr>
          <w:noProof/>
        </w:rPr>
        <w:t>, 124: 103356.</w:t>
      </w:r>
    </w:p>
    <w:p w14:paraId="5226DCED"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Laamanen, T., Pfeffer, J., Rong, K., &amp; Van de Ven, A. 2018. Business Models , Ecosystems , and Society in the Sharing Economy. </w:t>
      </w:r>
      <w:r w:rsidRPr="00920500">
        <w:rPr>
          <w:b/>
          <w:bCs/>
          <w:i/>
          <w:iCs/>
          <w:noProof/>
        </w:rPr>
        <w:t>Academy of Management Discoveries</w:t>
      </w:r>
      <w:r w:rsidRPr="00920500">
        <w:rPr>
          <w:noProof/>
        </w:rPr>
        <w:t>, 4(3): 213–219.</w:t>
      </w:r>
    </w:p>
    <w:p w14:paraId="37F64930"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Lampinen, A., &amp; Cheshire, C. 2016. Hosting via airbnb: Motivations and financial assurances in monetized network hospitality. </w:t>
      </w:r>
      <w:r w:rsidRPr="00920500">
        <w:rPr>
          <w:b/>
          <w:bCs/>
          <w:i/>
          <w:iCs/>
          <w:noProof/>
        </w:rPr>
        <w:t>Conference on Human Factors in Computing Systems - Proceedings</w:t>
      </w:r>
      <w:r w:rsidRPr="00920500">
        <w:rPr>
          <w:noProof/>
        </w:rPr>
        <w:t>, 1669–1680.</w:t>
      </w:r>
    </w:p>
    <w:p w14:paraId="7E628F26"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Lee, B. H., Hiatt, S. R., &amp; Lounsbury, M. 2017. Market Mediators and the Trade-offs of Legitimacy- Seeking Behaviors in a Nascent Category Market Mediators and the Trade-offs of Legitimacy-Seeking Behaviors in a Nascent Category. </w:t>
      </w:r>
      <w:r w:rsidRPr="00920500">
        <w:rPr>
          <w:b/>
          <w:bCs/>
          <w:i/>
          <w:iCs/>
          <w:noProof/>
        </w:rPr>
        <w:t>Organization Science</w:t>
      </w:r>
      <w:r w:rsidRPr="00920500">
        <w:rPr>
          <w:noProof/>
        </w:rPr>
        <w:t>, 3(28): 447–470.</w:t>
      </w:r>
    </w:p>
    <w:p w14:paraId="261AA768"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Li, H., Kim, Y., &amp; Srinivasan, K. 2022. Market Shifts in the Sharing Economy: The Impact of Airbnb on Housing Rentals. </w:t>
      </w:r>
      <w:r w:rsidRPr="00920500">
        <w:rPr>
          <w:b/>
          <w:bCs/>
          <w:i/>
          <w:iCs/>
          <w:noProof/>
        </w:rPr>
        <w:t>Management Science</w:t>
      </w:r>
      <w:r w:rsidRPr="00920500">
        <w:rPr>
          <w:noProof/>
        </w:rPr>
        <w:t>, 68(11): 8015–8044.</w:t>
      </w:r>
    </w:p>
    <w:p w14:paraId="67950B55"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Lo, J. Y., Nag, R., Xu, L., &amp; Agung, S. D. 2020. Organizational innovation efforts in multiple emerging market categories: Exploring the interplay of opportunity, ambiguity, and socio-cognitive contexts. </w:t>
      </w:r>
      <w:r w:rsidRPr="00920500">
        <w:rPr>
          <w:b/>
          <w:bCs/>
          <w:i/>
          <w:iCs/>
          <w:noProof/>
        </w:rPr>
        <w:t>Research Policy</w:t>
      </w:r>
      <w:r w:rsidRPr="00920500">
        <w:rPr>
          <w:noProof/>
        </w:rPr>
        <w:t>, 49(3): 103911.</w:t>
      </w:r>
    </w:p>
    <w:p w14:paraId="5BE0B1D1"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Lucas, D. S., Grimes, M. G., &amp; Gehman, J. 2022. Remaking Capitalism: the Strength of Weak Legislation in Mobilizing B Corporation Certification. </w:t>
      </w:r>
      <w:r w:rsidRPr="00920500">
        <w:rPr>
          <w:b/>
          <w:bCs/>
          <w:i/>
          <w:iCs/>
          <w:noProof/>
        </w:rPr>
        <w:t>Academy of Management Journal</w:t>
      </w:r>
      <w:r w:rsidRPr="00920500">
        <w:rPr>
          <w:noProof/>
        </w:rPr>
        <w:t>, 65(3): 958–987.</w:t>
      </w:r>
    </w:p>
    <w:p w14:paraId="56127504"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Mata, J., &amp; Alves, C. 2018. The survival of firms founded by immigrants: Institutional distance between home and host country, and experience in the host country. </w:t>
      </w:r>
      <w:r w:rsidRPr="00920500">
        <w:rPr>
          <w:b/>
          <w:bCs/>
          <w:i/>
          <w:iCs/>
          <w:noProof/>
        </w:rPr>
        <w:t>Strategic Management Journal</w:t>
      </w:r>
      <w:r w:rsidRPr="00920500">
        <w:rPr>
          <w:noProof/>
        </w:rPr>
        <w:t>, 39(11): 2965–2991.</w:t>
      </w:r>
    </w:p>
    <w:p w14:paraId="1D200F58"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McDonald, J. F., &amp; McMillen, D. P. 2000. Residential Building Permits in Urban Counties: 1990-1997. </w:t>
      </w:r>
      <w:r w:rsidRPr="00920500">
        <w:rPr>
          <w:b/>
          <w:bCs/>
          <w:i/>
          <w:iCs/>
          <w:noProof/>
        </w:rPr>
        <w:t>Journal of Housing Economics</w:t>
      </w:r>
      <w:r w:rsidRPr="00920500">
        <w:rPr>
          <w:noProof/>
        </w:rPr>
        <w:t>, 9(3): 175–186.</w:t>
      </w:r>
    </w:p>
    <w:p w14:paraId="71F9643B"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McIntyre, D. P., &amp; Srinivasan, A. 2017. Network, platforms, and strategy: emerging views and next steps. </w:t>
      </w:r>
      <w:r w:rsidRPr="00920500">
        <w:rPr>
          <w:b/>
          <w:bCs/>
          <w:i/>
          <w:iCs/>
          <w:noProof/>
        </w:rPr>
        <w:t>Strategic Management Journal</w:t>
      </w:r>
      <w:r w:rsidRPr="00920500">
        <w:rPr>
          <w:noProof/>
        </w:rPr>
        <w:t>, 38(1): 141–160.</w:t>
      </w:r>
    </w:p>
    <w:p w14:paraId="07870D4B"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Montauti, M. 2019. Anchors in rough seas: Understanding category spanning as a source of market coordination. </w:t>
      </w:r>
      <w:r w:rsidRPr="00920500">
        <w:rPr>
          <w:b/>
          <w:bCs/>
          <w:i/>
          <w:iCs/>
          <w:noProof/>
        </w:rPr>
        <w:t>Journal of Management Studies</w:t>
      </w:r>
      <w:r w:rsidRPr="00920500">
        <w:rPr>
          <w:noProof/>
        </w:rPr>
        <w:t>, 56(4): 823–853.</w:t>
      </w:r>
    </w:p>
    <w:p w14:paraId="6315B243"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Montauti, M., &amp; Wezel, F. C. 2016. Charting the Territory: Recombination as a Source of Uncertainty for Potential Entrants. </w:t>
      </w:r>
      <w:r w:rsidRPr="00920500">
        <w:rPr>
          <w:b/>
          <w:bCs/>
          <w:i/>
          <w:iCs/>
          <w:noProof/>
        </w:rPr>
        <w:t>Organization Science</w:t>
      </w:r>
      <w:r w:rsidRPr="00920500">
        <w:rPr>
          <w:noProof/>
        </w:rPr>
        <w:t>, 27(4): 954–971.</w:t>
      </w:r>
    </w:p>
    <w:p w14:paraId="5264A123"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Moral-Benito, E., Allison, P., &amp; Williams, R. 2019. Dynamic panel data modelling using maximum likelihood: an alternative to Arellano-Bond. </w:t>
      </w:r>
      <w:r w:rsidRPr="00920500">
        <w:rPr>
          <w:b/>
          <w:bCs/>
          <w:i/>
          <w:iCs/>
          <w:noProof/>
        </w:rPr>
        <w:t>Applied Economics</w:t>
      </w:r>
      <w:r w:rsidRPr="00920500">
        <w:rPr>
          <w:noProof/>
        </w:rPr>
        <w:t>, 51(20): 2221–2232.</w:t>
      </w:r>
    </w:p>
    <w:p w14:paraId="79868BA9"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Munger, M. C. 2018. </w:t>
      </w:r>
      <w:r w:rsidRPr="00920500">
        <w:rPr>
          <w:b/>
          <w:bCs/>
          <w:i/>
          <w:iCs/>
          <w:noProof/>
        </w:rPr>
        <w:t>Tomorrow 3.0: transaction costs and the sharing economy.</w:t>
      </w:r>
      <w:r w:rsidRPr="00920500">
        <w:rPr>
          <w:noProof/>
        </w:rPr>
        <w:t xml:space="preserve"> Cambridge, United Kingdom: Cambridge University Press.</w:t>
      </w:r>
    </w:p>
    <w:p w14:paraId="39A8CB54"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Navis, C., &amp; Glynn, M. A. 2010. How New Market Categories Emerge: Temporal Dynamics of Legitimacy, Identity, and Entrepreneurship in Satellite Radio, 1990–2005. </w:t>
      </w:r>
      <w:r w:rsidRPr="00920500">
        <w:rPr>
          <w:b/>
          <w:bCs/>
          <w:i/>
          <w:iCs/>
          <w:noProof/>
        </w:rPr>
        <w:t>Administrative Science Quarterly</w:t>
      </w:r>
      <w:r w:rsidRPr="00920500">
        <w:rPr>
          <w:noProof/>
        </w:rPr>
        <w:t>, 55(3): 439–471.</w:t>
      </w:r>
    </w:p>
    <w:p w14:paraId="1B8D35CD"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Negro, G., &amp; Leung, M. D. 2013. “Actual” and Perceptual Effects of Category Spanning. </w:t>
      </w:r>
      <w:r w:rsidRPr="00920500">
        <w:rPr>
          <w:b/>
          <w:bCs/>
          <w:i/>
          <w:iCs/>
          <w:noProof/>
        </w:rPr>
        <w:lastRenderedPageBreak/>
        <w:t>Organization Science</w:t>
      </w:r>
      <w:r w:rsidRPr="00920500">
        <w:rPr>
          <w:noProof/>
        </w:rPr>
        <w:t>, 24(3): 684–696.</w:t>
      </w:r>
    </w:p>
    <w:p w14:paraId="1355BC9D"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O’Kane, C., Mangematin, V., Geoghegan, W., &amp; Fitzgerald, C. 2015. University technology transfer offices: The search for identity to build legitimacy. </w:t>
      </w:r>
      <w:r w:rsidRPr="00920500">
        <w:rPr>
          <w:b/>
          <w:bCs/>
          <w:i/>
          <w:iCs/>
          <w:noProof/>
        </w:rPr>
        <w:t>Research Policy</w:t>
      </w:r>
      <w:r w:rsidRPr="00920500">
        <w:rPr>
          <w:noProof/>
        </w:rPr>
        <w:t>, 44(2): 421–437.</w:t>
      </w:r>
    </w:p>
    <w:p w14:paraId="5B317CEB"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Ozcan, P., &amp; Gurses, K. 2018. Playing cat and mouse: Contests over regulatory categorization of dietary supplements in the US. </w:t>
      </w:r>
      <w:r w:rsidRPr="00920500">
        <w:rPr>
          <w:b/>
          <w:bCs/>
          <w:i/>
          <w:iCs/>
          <w:noProof/>
        </w:rPr>
        <w:t>Academy of Management Journal</w:t>
      </w:r>
      <w:r w:rsidRPr="00920500">
        <w:rPr>
          <w:noProof/>
        </w:rPr>
        <w:t>, 61(5): 1789–1820.</w:t>
      </w:r>
    </w:p>
    <w:p w14:paraId="149231D2"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Parker, S. C., Gamble, E. N., Moroz, P. W., &amp; Branzei, O. 2019. The Impact of B Lab Certification on Firm Growth. </w:t>
      </w:r>
      <w:r w:rsidRPr="00920500">
        <w:rPr>
          <w:b/>
          <w:bCs/>
          <w:i/>
          <w:iCs/>
          <w:noProof/>
        </w:rPr>
        <w:t>Academy of Management Discoveries</w:t>
      </w:r>
      <w:r w:rsidRPr="00920500">
        <w:rPr>
          <w:noProof/>
        </w:rPr>
        <w:t>, 5(1): 57–77.</w:t>
      </w:r>
    </w:p>
    <w:p w14:paraId="478DEEB9"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Pontikes, E. G. 2012. Two Sides of the Same Coin: How Category Leniency Affects Multiple Audience Evaluations. </w:t>
      </w:r>
      <w:r w:rsidRPr="00920500">
        <w:rPr>
          <w:b/>
          <w:bCs/>
          <w:i/>
          <w:iCs/>
          <w:noProof/>
        </w:rPr>
        <w:t>Administrative Science Quarterly</w:t>
      </w:r>
      <w:r w:rsidRPr="00920500">
        <w:rPr>
          <w:noProof/>
        </w:rPr>
        <w:t>, 57(1): 81–118.</w:t>
      </w:r>
    </w:p>
    <w:p w14:paraId="2B0C1A35"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Pontikes, E. G., &amp; Barnett, W. P. 2015. The persistence of lenient market labels. </w:t>
      </w:r>
      <w:r w:rsidRPr="00920500">
        <w:rPr>
          <w:b/>
          <w:bCs/>
          <w:i/>
          <w:iCs/>
          <w:noProof/>
        </w:rPr>
        <w:t>Organization Science</w:t>
      </w:r>
      <w:r w:rsidRPr="00920500">
        <w:rPr>
          <w:noProof/>
        </w:rPr>
        <w:t>, 26(5): 1415–1431.</w:t>
      </w:r>
    </w:p>
    <w:p w14:paraId="0A56256B"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Quattrone, G., Proserpio, D., Quercia, D., Capra, L., &amp; Musolesi, M. 2016. Who benefits from the “sharing” economy of airbnb? </w:t>
      </w:r>
      <w:r w:rsidRPr="00920500">
        <w:rPr>
          <w:b/>
          <w:bCs/>
          <w:i/>
          <w:iCs/>
          <w:noProof/>
        </w:rPr>
        <w:t>Proceedings of the 25th International Conference on World Wide Web</w:t>
      </w:r>
      <w:r w:rsidRPr="00920500">
        <w:rPr>
          <w:noProof/>
        </w:rPr>
        <w:t>, April: 1385–1394.</w:t>
      </w:r>
    </w:p>
    <w:p w14:paraId="25E63C42"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Reischauer, G., &amp; Mair, J. 2018. How Organizations Strategically Govern Online Communities: Lessons from the Sharing Economy. </w:t>
      </w:r>
      <w:r w:rsidRPr="00920500">
        <w:rPr>
          <w:b/>
          <w:bCs/>
          <w:i/>
          <w:iCs/>
          <w:noProof/>
        </w:rPr>
        <w:t>Academy of Management Discoveries</w:t>
      </w:r>
      <w:r w:rsidRPr="00920500">
        <w:rPr>
          <w:noProof/>
        </w:rPr>
        <w:t>, 4(3): 220–247.</w:t>
      </w:r>
    </w:p>
    <w:p w14:paraId="0CA28745"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Rietveld, J., &amp; Eggers, J. P. 2018. Demand heterogeneity in platform markets: Implications for complementors. </w:t>
      </w:r>
      <w:r w:rsidRPr="00920500">
        <w:rPr>
          <w:b/>
          <w:bCs/>
          <w:i/>
          <w:iCs/>
          <w:noProof/>
        </w:rPr>
        <w:t>Organization Science</w:t>
      </w:r>
      <w:r w:rsidRPr="00920500">
        <w:rPr>
          <w:noProof/>
        </w:rPr>
        <w:t>, 29(2): 304–322.</w:t>
      </w:r>
    </w:p>
    <w:p w14:paraId="522C2CFE"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Rietveld, J., &amp; Schilling, M. A. 2020. Platform competition: A systematic and interdisciplinary review of the literature. </w:t>
      </w:r>
      <w:r w:rsidRPr="00920500">
        <w:rPr>
          <w:b/>
          <w:bCs/>
          <w:i/>
          <w:iCs/>
          <w:noProof/>
        </w:rPr>
        <w:t>Journal of Management</w:t>
      </w:r>
      <w:r w:rsidRPr="00920500">
        <w:rPr>
          <w:noProof/>
        </w:rPr>
        <w:t>, 0–56.</w:t>
      </w:r>
    </w:p>
    <w:p w14:paraId="03C6FEB1"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Rietveld, J., Seamans, R., &amp; Meggiorin, K. 2021. Market orchestrators: The effects of certification on platforms and their complementors. </w:t>
      </w:r>
      <w:r w:rsidRPr="00920500">
        <w:rPr>
          <w:b/>
          <w:bCs/>
          <w:i/>
          <w:iCs/>
          <w:noProof/>
        </w:rPr>
        <w:t>Strategy Science</w:t>
      </w:r>
      <w:r w:rsidRPr="00920500">
        <w:rPr>
          <w:noProof/>
        </w:rPr>
        <w:t>, 6(3): 244–264.</w:t>
      </w:r>
    </w:p>
    <w:p w14:paraId="04258DCB"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Rochet, J., &amp; Tirole, J. 2006. Two-sided markets : a progress report. </w:t>
      </w:r>
      <w:r w:rsidRPr="00920500">
        <w:rPr>
          <w:b/>
          <w:bCs/>
          <w:i/>
          <w:iCs/>
          <w:noProof/>
        </w:rPr>
        <w:t>RAND Journal of Economics</w:t>
      </w:r>
      <w:r w:rsidRPr="00920500">
        <w:rPr>
          <w:noProof/>
        </w:rPr>
        <w:t>, 37(3): 645–667.</w:t>
      </w:r>
    </w:p>
    <w:p w14:paraId="2FBD4EC8"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Roodman, D. 2009. Practitioners’ corner: A note on the theme of too many instruments. </w:t>
      </w:r>
      <w:r w:rsidRPr="00920500">
        <w:rPr>
          <w:b/>
          <w:bCs/>
          <w:i/>
          <w:iCs/>
          <w:noProof/>
        </w:rPr>
        <w:t>Oxford Bulletin of Economics and Statistics</w:t>
      </w:r>
      <w:r w:rsidRPr="00920500">
        <w:rPr>
          <w:noProof/>
        </w:rPr>
        <w:t>, 71(1): 135–158.</w:t>
      </w:r>
    </w:p>
    <w:p w14:paraId="0C8424AD"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Suarez, F. F., Grodal, S., &amp; Gotsopoulos, A. 2015. Perfect timing? Dominant category, dominant design, and the window of opportunity for firm entry. </w:t>
      </w:r>
      <w:r w:rsidRPr="00920500">
        <w:rPr>
          <w:b/>
          <w:bCs/>
          <w:i/>
          <w:iCs/>
          <w:noProof/>
        </w:rPr>
        <w:t>Strategic Management Journal</w:t>
      </w:r>
      <w:r w:rsidRPr="00920500">
        <w:rPr>
          <w:noProof/>
        </w:rPr>
        <w:t>, 36(3): 437–448.</w:t>
      </w:r>
    </w:p>
    <w:p w14:paraId="447FC867"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Sundararajan, A. 2016. </w:t>
      </w:r>
      <w:r w:rsidRPr="00920500">
        <w:rPr>
          <w:b/>
          <w:bCs/>
          <w:i/>
          <w:iCs/>
          <w:noProof/>
        </w:rPr>
        <w:t>The sharing economy: The end of employment and the rise of crowd-based capitalism</w:t>
      </w:r>
      <w:r w:rsidRPr="00920500">
        <w:rPr>
          <w:noProof/>
        </w:rPr>
        <w:t>. Boston, MA: MIT Press.</w:t>
      </w:r>
    </w:p>
    <w:p w14:paraId="75380329"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Taeuscher, K., &amp; Rothe, H. 2021. Optimal distinctiveness in platform markets: Leveraging complementors as legitimacy buffers. </w:t>
      </w:r>
      <w:r w:rsidRPr="00920500">
        <w:rPr>
          <w:b/>
          <w:bCs/>
          <w:i/>
          <w:iCs/>
          <w:noProof/>
        </w:rPr>
        <w:t>Strategic Management Journal</w:t>
      </w:r>
      <w:r w:rsidRPr="00920500">
        <w:rPr>
          <w:noProof/>
        </w:rPr>
        <w:t>, 42(2): 435–461.</w:t>
      </w:r>
    </w:p>
    <w:p w14:paraId="00DE43BE"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Uzunca, B., Rigtering, J. P. C., &amp; Ozcan, P. 2018. Sharing and Shaping: A cross-country comparison of how sharing economy firms shape their institutional environment to gain legitimacy. </w:t>
      </w:r>
      <w:r w:rsidRPr="00920500">
        <w:rPr>
          <w:b/>
          <w:bCs/>
          <w:i/>
          <w:iCs/>
          <w:noProof/>
        </w:rPr>
        <w:t>Academy of Management Discoveries</w:t>
      </w:r>
      <w:r w:rsidRPr="00920500">
        <w:rPr>
          <w:noProof/>
        </w:rPr>
        <w:t>, 4(3): 248–272.</w:t>
      </w:r>
    </w:p>
    <w:p w14:paraId="69D98FA3"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Uzunca, B., Sharapov, D., &amp; Tee, R. 2022. Governance rigidity, industry evolution, and value capture in platform ecosystems. </w:t>
      </w:r>
      <w:r w:rsidRPr="00920500">
        <w:rPr>
          <w:b/>
          <w:bCs/>
          <w:i/>
          <w:iCs/>
          <w:noProof/>
        </w:rPr>
        <w:t>Research Policy</w:t>
      </w:r>
      <w:r w:rsidRPr="00920500">
        <w:rPr>
          <w:noProof/>
        </w:rPr>
        <w:t>, 51(7): 104560.</w:t>
      </w:r>
    </w:p>
    <w:p w14:paraId="5A684239"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Valentin, M. 2021. Regulating short-term rental housing: Evidence from New Orleans. </w:t>
      </w:r>
      <w:r w:rsidRPr="00920500">
        <w:rPr>
          <w:b/>
          <w:bCs/>
          <w:i/>
          <w:iCs/>
          <w:noProof/>
        </w:rPr>
        <w:t>Real Estate Economics</w:t>
      </w:r>
      <w:r w:rsidRPr="00920500">
        <w:rPr>
          <w:noProof/>
        </w:rPr>
        <w:t>, 49(1): 152–186.</w:t>
      </w:r>
    </w:p>
    <w:p w14:paraId="6CC15A1F"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Vaskelainen, T., &amp; Munzel, K. 2018. The effect of institutional logics on business model development in the sharing economy: The case of German carsharing services. </w:t>
      </w:r>
      <w:r w:rsidRPr="00920500">
        <w:rPr>
          <w:b/>
          <w:bCs/>
          <w:i/>
          <w:iCs/>
          <w:noProof/>
        </w:rPr>
        <w:t>Academy of Management Discoveries</w:t>
      </w:r>
      <w:r w:rsidRPr="00920500">
        <w:rPr>
          <w:noProof/>
        </w:rPr>
        <w:t>, 4(3): 273–293.</w:t>
      </w:r>
    </w:p>
    <w:p w14:paraId="50AB5A29"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Verbeek, M. 2008. </w:t>
      </w:r>
      <w:r w:rsidRPr="00920500">
        <w:rPr>
          <w:b/>
          <w:bCs/>
          <w:i/>
          <w:iCs/>
          <w:noProof/>
        </w:rPr>
        <w:t>A guide to modern econometrics</w:t>
      </w:r>
      <w:r w:rsidRPr="00920500">
        <w:rPr>
          <w:noProof/>
        </w:rPr>
        <w:t>. (John Wiley &amp; Sons, Ed.).</w:t>
      </w:r>
    </w:p>
    <w:p w14:paraId="58AEBD52"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Vergne, J. P., &amp; Wry, T. 2014. Categorizing categorization research: Review, integration, and </w:t>
      </w:r>
      <w:r w:rsidRPr="00920500">
        <w:rPr>
          <w:noProof/>
        </w:rPr>
        <w:lastRenderedPageBreak/>
        <w:t xml:space="preserve">future directions. </w:t>
      </w:r>
      <w:r w:rsidRPr="00920500">
        <w:rPr>
          <w:b/>
          <w:bCs/>
          <w:i/>
          <w:iCs/>
          <w:noProof/>
        </w:rPr>
        <w:t>Journal of Management Studies</w:t>
      </w:r>
      <w:r w:rsidRPr="00920500">
        <w:rPr>
          <w:noProof/>
        </w:rPr>
        <w:t>, 51(1): 56–94.</w:t>
      </w:r>
    </w:p>
    <w:p w14:paraId="42A1D83E"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Zervas, G., Proserpio, D., &amp; Byers, J. 2017. The Rise of the Sharing Economy: Estimating the Impact of Airbnb on the Hotel Industry. </w:t>
      </w:r>
      <w:r w:rsidRPr="00920500">
        <w:rPr>
          <w:b/>
          <w:bCs/>
          <w:i/>
          <w:iCs/>
          <w:noProof/>
        </w:rPr>
        <w:t>Journal of Marketing Research</w:t>
      </w:r>
      <w:r w:rsidRPr="00920500">
        <w:rPr>
          <w:noProof/>
        </w:rPr>
        <w:t>, 54(5): 687–705.</w:t>
      </w:r>
    </w:p>
    <w:p w14:paraId="55F19A1D"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Zhang, L. 2022. Regulatory Spillover and Workplace Racial Inequality. </w:t>
      </w:r>
      <w:r w:rsidRPr="00920500">
        <w:rPr>
          <w:b/>
          <w:bCs/>
          <w:i/>
          <w:iCs/>
          <w:noProof/>
        </w:rPr>
        <w:t>Administrative Science Quarterly</w:t>
      </w:r>
      <w:r w:rsidRPr="00920500">
        <w:rPr>
          <w:noProof/>
        </w:rPr>
        <w:t>, 67(3): 595–629.</w:t>
      </w:r>
    </w:p>
    <w:p w14:paraId="30B23157"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Zhao, E. Y., Fisher, G., Lounsbury, M., &amp; Miller, D. 2017. Optimal distinctiveness: Broadening the interface between institutional theory and strategic management. </w:t>
      </w:r>
      <w:r w:rsidRPr="00920500">
        <w:rPr>
          <w:b/>
          <w:bCs/>
          <w:i/>
          <w:iCs/>
          <w:noProof/>
        </w:rPr>
        <w:t>Strategic Management Journal</w:t>
      </w:r>
      <w:r w:rsidRPr="00920500">
        <w:rPr>
          <w:noProof/>
        </w:rPr>
        <w:t>, 38(1): 93–113.</w:t>
      </w:r>
    </w:p>
    <w:p w14:paraId="3F1B922D"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Zhelezniak, V., Savkov, A., Shen, A., &amp; Hammerla, N. Y. 2019. Correlation coefficients and semantic textual similarity. </w:t>
      </w:r>
      <w:r w:rsidRPr="00920500">
        <w:rPr>
          <w:b/>
          <w:bCs/>
          <w:i/>
          <w:iCs/>
          <w:noProof/>
        </w:rPr>
        <w:t>NAACL HLT</w:t>
      </w:r>
      <w:r w:rsidRPr="00920500">
        <w:rPr>
          <w:noProof/>
        </w:rPr>
        <w:t>, 951–962.</w:t>
      </w:r>
    </w:p>
    <w:p w14:paraId="1FC38B56" w14:textId="77777777" w:rsidR="00920500" w:rsidRPr="00920500" w:rsidRDefault="00920500" w:rsidP="00920500">
      <w:pPr>
        <w:widowControl w:val="0"/>
        <w:autoSpaceDE w:val="0"/>
        <w:autoSpaceDN w:val="0"/>
        <w:adjustRightInd w:val="0"/>
        <w:spacing w:line="240" w:lineRule="auto"/>
        <w:ind w:left="480" w:hanging="480"/>
        <w:rPr>
          <w:noProof/>
        </w:rPr>
      </w:pPr>
      <w:r w:rsidRPr="00920500">
        <w:rPr>
          <w:noProof/>
        </w:rPr>
        <w:t xml:space="preserve">Zuckerman, E. W. 1999. The Categorical Imperative : Securities Analysts and the Illegitimacy Discount 1. </w:t>
      </w:r>
      <w:r w:rsidRPr="00920500">
        <w:rPr>
          <w:b/>
          <w:bCs/>
          <w:i/>
          <w:iCs/>
          <w:noProof/>
        </w:rPr>
        <w:t>American Journal of Sociology</w:t>
      </w:r>
      <w:r w:rsidRPr="00920500">
        <w:rPr>
          <w:noProof/>
        </w:rPr>
        <w:t>, 104(5): 1398–1438.</w:t>
      </w:r>
    </w:p>
    <w:p w14:paraId="32CA2766" w14:textId="2BC5248E" w:rsidR="0051503D" w:rsidRPr="00101A2A" w:rsidRDefault="00920500" w:rsidP="00920500">
      <w:pPr>
        <w:widowControl w:val="0"/>
        <w:autoSpaceDE w:val="0"/>
        <w:autoSpaceDN w:val="0"/>
        <w:adjustRightInd w:val="0"/>
        <w:spacing w:line="240" w:lineRule="auto"/>
        <w:ind w:left="480" w:hanging="480"/>
      </w:pPr>
      <w:r>
        <w:fldChar w:fldCharType="end"/>
      </w:r>
    </w:p>
    <w:p w14:paraId="1FE41CE2" w14:textId="59691F0E" w:rsidR="009733BB" w:rsidRPr="00101A2A" w:rsidRDefault="009733BB" w:rsidP="00DB69EF">
      <w:pPr>
        <w:rPr>
          <w:noProof/>
        </w:rPr>
      </w:pPr>
      <w:r w:rsidRPr="00101A2A">
        <w:rPr>
          <w:noProof/>
        </w:rPr>
        <w:br w:type="page"/>
      </w:r>
    </w:p>
    <w:p w14:paraId="2719E05F" w14:textId="54ED9D73" w:rsidR="008E1741" w:rsidRPr="00101A2A" w:rsidRDefault="00EA0424" w:rsidP="009B154F">
      <w:pPr>
        <w:pStyle w:val="Heading1"/>
        <w:rPr>
          <w:noProof/>
          <w:lang w:val="en-US"/>
        </w:rPr>
      </w:pPr>
      <w:r w:rsidRPr="00101A2A">
        <w:rPr>
          <w:noProof/>
          <w:lang w:val="en-US"/>
        </w:rPr>
        <w:lastRenderedPageBreak/>
        <w:t>TABLES</w:t>
      </w:r>
      <w:r w:rsidR="005E3325">
        <w:rPr>
          <w:noProof/>
          <w:lang w:val="en-US"/>
        </w:rPr>
        <w:t xml:space="preserve"> and figures</w:t>
      </w:r>
    </w:p>
    <w:p w14:paraId="6F8F4F75" w14:textId="1689FE0B" w:rsidR="00AA20D7" w:rsidRPr="00101A2A" w:rsidRDefault="00AA20D7" w:rsidP="005E3325">
      <w:pPr>
        <w:ind w:firstLine="0"/>
      </w:pPr>
    </w:p>
    <w:p w14:paraId="51523135" w14:textId="03BDCF11" w:rsidR="00DA54F1" w:rsidRPr="00101A2A" w:rsidRDefault="00C466F8">
      <w:pPr>
        <w:pStyle w:val="Tables"/>
        <w:rPr>
          <w:b/>
          <w:bCs/>
          <w:sz w:val="24"/>
          <w:lang w:val="en-US"/>
        </w:rPr>
      </w:pPr>
      <w:r w:rsidRPr="00101A2A">
        <w:rPr>
          <w:b/>
          <w:bCs/>
          <w:sz w:val="24"/>
          <w:lang w:val="en-US"/>
        </w:rPr>
        <w:t>Table</w:t>
      </w:r>
      <w:r w:rsidR="00506FCE" w:rsidRPr="00101A2A">
        <w:rPr>
          <w:b/>
          <w:bCs/>
          <w:sz w:val="24"/>
          <w:lang w:val="en-US"/>
        </w:rPr>
        <w:t xml:space="preserve"> 1</w:t>
      </w:r>
      <w:r w:rsidR="00DA54F1" w:rsidRPr="00101A2A">
        <w:rPr>
          <w:b/>
          <w:bCs/>
          <w:sz w:val="24"/>
          <w:lang w:val="en-US"/>
        </w:rPr>
        <w:t xml:space="preserve">: </w:t>
      </w:r>
      <w:r w:rsidR="001F626A" w:rsidRPr="00101A2A">
        <w:rPr>
          <w:b/>
          <w:bCs/>
          <w:sz w:val="24"/>
          <w:lang w:val="en-US"/>
        </w:rPr>
        <w:t>C</w:t>
      </w:r>
      <w:r w:rsidR="00875D0F" w:rsidRPr="00101A2A">
        <w:rPr>
          <w:b/>
          <w:bCs/>
          <w:sz w:val="24"/>
          <w:lang w:val="en-US"/>
        </w:rPr>
        <w:t>omparison of</w:t>
      </w:r>
      <w:r w:rsidR="00D04B55" w:rsidRPr="00101A2A">
        <w:rPr>
          <w:b/>
          <w:bCs/>
          <w:sz w:val="24"/>
          <w:lang w:val="en-US"/>
        </w:rPr>
        <w:t xml:space="preserve"> Airbnb</w:t>
      </w:r>
      <w:r w:rsidR="00875D0F" w:rsidRPr="00101A2A">
        <w:rPr>
          <w:b/>
          <w:bCs/>
          <w:sz w:val="24"/>
          <w:lang w:val="en-US"/>
        </w:rPr>
        <w:t xml:space="preserve"> </w:t>
      </w:r>
      <w:r w:rsidR="001042C9" w:rsidRPr="00101A2A">
        <w:rPr>
          <w:b/>
          <w:bCs/>
          <w:sz w:val="24"/>
          <w:lang w:val="en-US"/>
        </w:rPr>
        <w:t>listings</w:t>
      </w:r>
      <w:r w:rsidR="006C71A5" w:rsidRPr="00101A2A">
        <w:rPr>
          <w:b/>
          <w:bCs/>
          <w:sz w:val="24"/>
          <w:lang w:val="en-US"/>
        </w:rPr>
        <w:t>’</w:t>
      </w:r>
      <w:r w:rsidR="001042C9" w:rsidRPr="00101A2A">
        <w:rPr>
          <w:b/>
          <w:bCs/>
          <w:sz w:val="24"/>
          <w:lang w:val="en-US"/>
        </w:rPr>
        <w:t xml:space="preserve"> features of </w:t>
      </w:r>
      <w:r w:rsidR="001E5BD0" w:rsidRPr="00101A2A">
        <w:rPr>
          <w:b/>
          <w:bCs/>
          <w:sz w:val="24"/>
          <w:lang w:val="en-US"/>
        </w:rPr>
        <w:t>s</w:t>
      </w:r>
      <w:r w:rsidR="002D475E" w:rsidRPr="00101A2A">
        <w:rPr>
          <w:b/>
          <w:bCs/>
          <w:sz w:val="24"/>
          <w:lang w:val="en-US"/>
        </w:rPr>
        <w:t>panner</w:t>
      </w:r>
      <w:r w:rsidR="001E5BD0" w:rsidRPr="00101A2A">
        <w:rPr>
          <w:b/>
          <w:bCs/>
          <w:sz w:val="24"/>
          <w:lang w:val="en-US"/>
        </w:rPr>
        <w:t>s</w:t>
      </w:r>
      <w:r w:rsidR="00EA40ED" w:rsidRPr="00101A2A">
        <w:rPr>
          <w:b/>
          <w:bCs/>
          <w:sz w:val="24"/>
          <w:lang w:val="en-US"/>
        </w:rPr>
        <w:t xml:space="preserve"> </w:t>
      </w:r>
      <w:r w:rsidR="001E5BD0" w:rsidRPr="00101A2A">
        <w:rPr>
          <w:b/>
          <w:bCs/>
          <w:sz w:val="24"/>
          <w:lang w:val="en-US"/>
        </w:rPr>
        <w:t xml:space="preserve">and </w:t>
      </w:r>
      <w:r w:rsidR="00EA40ED" w:rsidRPr="00101A2A">
        <w:rPr>
          <w:b/>
          <w:bCs/>
          <w:sz w:val="24"/>
          <w:lang w:val="en-US"/>
        </w:rPr>
        <w:t>single-listing hosts</w:t>
      </w:r>
      <w:r w:rsidR="00DF0BC8" w:rsidRPr="00101A2A">
        <w:rPr>
          <w:b/>
          <w:bCs/>
          <w:sz w:val="24"/>
          <w:lang w:val="en-US"/>
        </w:rPr>
        <w:t>.</w:t>
      </w:r>
    </w:p>
    <w:p w14:paraId="060B0E4C" w14:textId="77777777" w:rsidR="00DF0BC8" w:rsidRPr="00101A2A" w:rsidRDefault="00DF0BC8" w:rsidP="00DB69EF">
      <w:pPr>
        <w:pStyle w:val="Tables"/>
        <w:rPr>
          <w:lang w:val="en-US"/>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16"/>
        <w:gridCol w:w="1301"/>
        <w:gridCol w:w="1406"/>
        <w:gridCol w:w="1408"/>
        <w:gridCol w:w="1292"/>
        <w:gridCol w:w="1237"/>
      </w:tblGrid>
      <w:tr w:rsidR="007C58E4" w:rsidRPr="00101A2A" w14:paraId="1B091C4B" w14:textId="77777777" w:rsidTr="007C58E4">
        <w:trPr>
          <w:trHeight w:val="320"/>
        </w:trPr>
        <w:tc>
          <w:tcPr>
            <w:tcW w:w="1451" w:type="pct"/>
            <w:tcBorders>
              <w:top w:val="single" w:sz="4" w:space="0" w:color="auto"/>
            </w:tcBorders>
            <w:noWrap/>
          </w:tcPr>
          <w:p w14:paraId="3B399AEB" w14:textId="77777777" w:rsidR="007C58E4" w:rsidRPr="00101A2A" w:rsidRDefault="007C58E4" w:rsidP="00D74569">
            <w:pPr>
              <w:pStyle w:val="Tables"/>
              <w:rPr>
                <w:sz w:val="18"/>
                <w:szCs w:val="18"/>
                <w:lang w:val="en-US"/>
              </w:rPr>
            </w:pPr>
          </w:p>
        </w:tc>
        <w:tc>
          <w:tcPr>
            <w:tcW w:w="1446" w:type="pct"/>
            <w:gridSpan w:val="2"/>
            <w:tcBorders>
              <w:top w:val="single" w:sz="4" w:space="0" w:color="auto"/>
              <w:bottom w:val="single" w:sz="4" w:space="0" w:color="auto"/>
              <w:right w:val="single" w:sz="4" w:space="0" w:color="auto"/>
            </w:tcBorders>
            <w:vAlign w:val="center"/>
          </w:tcPr>
          <w:p w14:paraId="140626A3" w14:textId="63A62FFB" w:rsidR="007C58E4" w:rsidRPr="00101A2A" w:rsidRDefault="007C58E4" w:rsidP="00DB69EF">
            <w:pPr>
              <w:pStyle w:val="Tables"/>
              <w:rPr>
                <w:b/>
                <w:bCs/>
                <w:sz w:val="18"/>
                <w:szCs w:val="18"/>
                <w:lang w:val="en-US"/>
              </w:rPr>
            </w:pPr>
            <w:r w:rsidRPr="00101A2A">
              <w:rPr>
                <w:b/>
                <w:bCs/>
                <w:sz w:val="18"/>
                <w:szCs w:val="18"/>
                <w:lang w:val="en-US"/>
              </w:rPr>
              <w:t xml:space="preserve">Spanners: 6 or more listings </w:t>
            </w:r>
          </w:p>
          <w:p w14:paraId="2BF8EAAC" w14:textId="798B9542" w:rsidR="007C58E4" w:rsidRPr="00101A2A" w:rsidRDefault="007C58E4" w:rsidP="00DB69EF">
            <w:pPr>
              <w:pStyle w:val="Tables"/>
              <w:rPr>
                <w:b/>
                <w:bCs/>
                <w:sz w:val="18"/>
                <w:szCs w:val="18"/>
                <w:lang w:val="en-US"/>
              </w:rPr>
            </w:pPr>
            <w:r w:rsidRPr="00101A2A">
              <w:rPr>
                <w:b/>
                <w:bCs/>
                <w:sz w:val="18"/>
                <w:szCs w:val="18"/>
                <w:lang w:val="en-US"/>
              </w:rPr>
              <w:t>(N = 7,995)</w:t>
            </w:r>
          </w:p>
        </w:tc>
        <w:tc>
          <w:tcPr>
            <w:tcW w:w="1442" w:type="pct"/>
            <w:gridSpan w:val="2"/>
            <w:tcBorders>
              <w:top w:val="single" w:sz="4" w:space="0" w:color="auto"/>
              <w:left w:val="single" w:sz="4" w:space="0" w:color="auto"/>
              <w:bottom w:val="single" w:sz="4" w:space="0" w:color="auto"/>
              <w:right w:val="single" w:sz="4" w:space="0" w:color="auto"/>
            </w:tcBorders>
            <w:vAlign w:val="center"/>
          </w:tcPr>
          <w:p w14:paraId="074F83AE" w14:textId="7AEA0673" w:rsidR="007C58E4" w:rsidRPr="00101A2A" w:rsidRDefault="007C58E4" w:rsidP="001F626A">
            <w:pPr>
              <w:pStyle w:val="Tables"/>
              <w:rPr>
                <w:b/>
                <w:bCs/>
                <w:sz w:val="18"/>
                <w:szCs w:val="18"/>
                <w:lang w:val="en-US"/>
              </w:rPr>
            </w:pPr>
            <w:r w:rsidRPr="00101A2A">
              <w:rPr>
                <w:b/>
                <w:bCs/>
                <w:sz w:val="18"/>
                <w:szCs w:val="18"/>
                <w:lang w:val="en-US"/>
              </w:rPr>
              <w:t>Single-listing hosts: 1 listing only (N = 48,577)</w:t>
            </w:r>
          </w:p>
        </w:tc>
        <w:tc>
          <w:tcPr>
            <w:tcW w:w="661" w:type="pct"/>
            <w:vMerge w:val="restart"/>
            <w:tcBorders>
              <w:top w:val="single" w:sz="4" w:space="0" w:color="auto"/>
              <w:left w:val="single" w:sz="4" w:space="0" w:color="auto"/>
            </w:tcBorders>
            <w:vAlign w:val="center"/>
          </w:tcPr>
          <w:p w14:paraId="107B70B9" w14:textId="7C18A2F1" w:rsidR="007C58E4" w:rsidRPr="00101A2A" w:rsidRDefault="007C58E4" w:rsidP="00DB69EF">
            <w:pPr>
              <w:pStyle w:val="Tables"/>
              <w:rPr>
                <w:b/>
                <w:bCs/>
                <w:sz w:val="18"/>
                <w:szCs w:val="18"/>
                <w:lang w:val="en-US"/>
              </w:rPr>
            </w:pPr>
            <w:r w:rsidRPr="00101A2A">
              <w:rPr>
                <w:b/>
                <w:bCs/>
                <w:sz w:val="18"/>
                <w:szCs w:val="18"/>
                <w:lang w:val="en-US"/>
              </w:rPr>
              <w:t>Mean Difference</w:t>
            </w:r>
          </w:p>
        </w:tc>
      </w:tr>
      <w:tr w:rsidR="007C58E4" w:rsidRPr="00101A2A" w14:paraId="11E967DD" w14:textId="77777777" w:rsidTr="007C58E4">
        <w:trPr>
          <w:trHeight w:val="320"/>
        </w:trPr>
        <w:tc>
          <w:tcPr>
            <w:tcW w:w="1451" w:type="pct"/>
            <w:tcBorders>
              <w:bottom w:val="single" w:sz="4" w:space="0" w:color="auto"/>
            </w:tcBorders>
            <w:noWrap/>
            <w:hideMark/>
          </w:tcPr>
          <w:p w14:paraId="478F238A" w14:textId="77777777" w:rsidR="007C58E4" w:rsidRPr="00101A2A" w:rsidRDefault="007C58E4" w:rsidP="001F626A">
            <w:pPr>
              <w:pStyle w:val="Tables"/>
              <w:rPr>
                <w:sz w:val="18"/>
                <w:szCs w:val="18"/>
                <w:lang w:val="en-US"/>
              </w:rPr>
            </w:pPr>
          </w:p>
        </w:tc>
        <w:tc>
          <w:tcPr>
            <w:tcW w:w="695" w:type="pct"/>
            <w:tcBorders>
              <w:bottom w:val="single" w:sz="4" w:space="0" w:color="auto"/>
            </w:tcBorders>
            <w:vAlign w:val="center"/>
          </w:tcPr>
          <w:p w14:paraId="59534B1C" w14:textId="77777777" w:rsidR="007C58E4" w:rsidRPr="00101A2A" w:rsidRDefault="007C58E4" w:rsidP="00DB69EF">
            <w:pPr>
              <w:pStyle w:val="Tables"/>
              <w:rPr>
                <w:b/>
                <w:bCs/>
                <w:sz w:val="18"/>
                <w:szCs w:val="18"/>
                <w:lang w:val="en-US"/>
              </w:rPr>
            </w:pPr>
            <w:r w:rsidRPr="00101A2A">
              <w:rPr>
                <w:b/>
                <w:bCs/>
                <w:sz w:val="18"/>
                <w:szCs w:val="18"/>
                <w:lang w:val="en-US"/>
              </w:rPr>
              <w:t>Mean</w:t>
            </w:r>
          </w:p>
        </w:tc>
        <w:tc>
          <w:tcPr>
            <w:tcW w:w="751" w:type="pct"/>
            <w:tcBorders>
              <w:bottom w:val="single" w:sz="4" w:space="0" w:color="auto"/>
              <w:right w:val="single" w:sz="4" w:space="0" w:color="auto"/>
            </w:tcBorders>
            <w:vAlign w:val="center"/>
          </w:tcPr>
          <w:p w14:paraId="6B75532D" w14:textId="77777777" w:rsidR="007C58E4" w:rsidRPr="00101A2A" w:rsidRDefault="007C58E4" w:rsidP="00DB69EF">
            <w:pPr>
              <w:pStyle w:val="Tables"/>
              <w:rPr>
                <w:b/>
                <w:bCs/>
                <w:sz w:val="18"/>
                <w:szCs w:val="18"/>
                <w:lang w:val="en-US"/>
              </w:rPr>
            </w:pPr>
            <w:r w:rsidRPr="00101A2A">
              <w:rPr>
                <w:b/>
                <w:bCs/>
                <w:sz w:val="18"/>
                <w:szCs w:val="18"/>
                <w:lang w:val="en-US"/>
              </w:rPr>
              <w:t>SD</w:t>
            </w:r>
          </w:p>
        </w:tc>
        <w:tc>
          <w:tcPr>
            <w:tcW w:w="752" w:type="pct"/>
            <w:tcBorders>
              <w:left w:val="single" w:sz="4" w:space="0" w:color="auto"/>
              <w:bottom w:val="single" w:sz="4" w:space="0" w:color="auto"/>
            </w:tcBorders>
            <w:vAlign w:val="center"/>
          </w:tcPr>
          <w:p w14:paraId="0F04D5AB" w14:textId="77777777" w:rsidR="007C58E4" w:rsidRPr="00101A2A" w:rsidRDefault="007C58E4" w:rsidP="00DB69EF">
            <w:pPr>
              <w:pStyle w:val="Tables"/>
              <w:rPr>
                <w:b/>
                <w:bCs/>
                <w:sz w:val="18"/>
                <w:szCs w:val="18"/>
                <w:lang w:val="en-US"/>
              </w:rPr>
            </w:pPr>
            <w:r w:rsidRPr="00101A2A">
              <w:rPr>
                <w:b/>
                <w:bCs/>
                <w:sz w:val="18"/>
                <w:szCs w:val="18"/>
                <w:lang w:val="en-US"/>
              </w:rPr>
              <w:t>Mean</w:t>
            </w:r>
          </w:p>
        </w:tc>
        <w:tc>
          <w:tcPr>
            <w:tcW w:w="690" w:type="pct"/>
            <w:tcBorders>
              <w:bottom w:val="single" w:sz="4" w:space="0" w:color="auto"/>
              <w:right w:val="single" w:sz="4" w:space="0" w:color="auto"/>
            </w:tcBorders>
            <w:vAlign w:val="center"/>
          </w:tcPr>
          <w:p w14:paraId="4785BF63" w14:textId="77777777" w:rsidR="007C58E4" w:rsidRPr="00101A2A" w:rsidRDefault="007C58E4" w:rsidP="00DB69EF">
            <w:pPr>
              <w:pStyle w:val="Tables"/>
              <w:rPr>
                <w:b/>
                <w:bCs/>
                <w:sz w:val="18"/>
                <w:szCs w:val="18"/>
                <w:lang w:val="en-US"/>
              </w:rPr>
            </w:pPr>
            <w:r w:rsidRPr="00101A2A">
              <w:rPr>
                <w:b/>
                <w:bCs/>
                <w:sz w:val="18"/>
                <w:szCs w:val="18"/>
                <w:lang w:val="en-US"/>
              </w:rPr>
              <w:t>SD</w:t>
            </w:r>
          </w:p>
        </w:tc>
        <w:tc>
          <w:tcPr>
            <w:tcW w:w="661" w:type="pct"/>
            <w:vMerge/>
            <w:tcBorders>
              <w:left w:val="single" w:sz="4" w:space="0" w:color="auto"/>
              <w:bottom w:val="single" w:sz="4" w:space="0" w:color="auto"/>
            </w:tcBorders>
            <w:vAlign w:val="center"/>
          </w:tcPr>
          <w:p w14:paraId="710C10A1" w14:textId="740B99CF" w:rsidR="007C58E4" w:rsidRPr="00101A2A" w:rsidRDefault="007C58E4" w:rsidP="00DB69EF">
            <w:pPr>
              <w:pStyle w:val="Tables"/>
              <w:rPr>
                <w:b/>
                <w:bCs/>
                <w:sz w:val="18"/>
                <w:szCs w:val="18"/>
                <w:lang w:val="en-US"/>
              </w:rPr>
            </w:pPr>
          </w:p>
        </w:tc>
      </w:tr>
      <w:tr w:rsidR="00797669" w:rsidRPr="00101A2A" w14:paraId="0F5C08E0" w14:textId="77777777" w:rsidTr="007C58E4">
        <w:trPr>
          <w:trHeight w:val="320"/>
        </w:trPr>
        <w:tc>
          <w:tcPr>
            <w:tcW w:w="1451" w:type="pct"/>
            <w:tcBorders>
              <w:top w:val="single" w:sz="4" w:space="0" w:color="auto"/>
            </w:tcBorders>
            <w:noWrap/>
            <w:hideMark/>
          </w:tcPr>
          <w:p w14:paraId="424253B0" w14:textId="77777777" w:rsidR="00C242C0" w:rsidRPr="00101A2A" w:rsidRDefault="00C242C0" w:rsidP="00DB69EF">
            <w:pPr>
              <w:pStyle w:val="Tables"/>
              <w:jc w:val="both"/>
              <w:rPr>
                <w:b/>
                <w:bCs/>
                <w:sz w:val="18"/>
                <w:szCs w:val="18"/>
                <w:lang w:val="en-US"/>
              </w:rPr>
            </w:pPr>
            <w:r w:rsidRPr="00101A2A">
              <w:rPr>
                <w:b/>
                <w:bCs/>
                <w:sz w:val="18"/>
                <w:szCs w:val="18"/>
                <w:lang w:val="en-US"/>
              </w:rPr>
              <w:t>Number of listings</w:t>
            </w:r>
          </w:p>
        </w:tc>
        <w:tc>
          <w:tcPr>
            <w:tcW w:w="695" w:type="pct"/>
            <w:tcBorders>
              <w:top w:val="single" w:sz="4" w:space="0" w:color="auto"/>
            </w:tcBorders>
            <w:vAlign w:val="center"/>
          </w:tcPr>
          <w:p w14:paraId="05916EF1" w14:textId="572CC368" w:rsidR="00C242C0" w:rsidRPr="00101A2A" w:rsidRDefault="00A96B61" w:rsidP="00DB69EF">
            <w:pPr>
              <w:pStyle w:val="Tables"/>
              <w:rPr>
                <w:sz w:val="18"/>
                <w:szCs w:val="18"/>
                <w:lang w:val="en-US"/>
              </w:rPr>
            </w:pPr>
            <w:r w:rsidRPr="00101A2A">
              <w:rPr>
                <w:sz w:val="18"/>
                <w:szCs w:val="18"/>
                <w:lang w:val="en-US"/>
              </w:rPr>
              <w:t>37.17</w:t>
            </w:r>
          </w:p>
        </w:tc>
        <w:tc>
          <w:tcPr>
            <w:tcW w:w="751" w:type="pct"/>
            <w:tcBorders>
              <w:top w:val="single" w:sz="4" w:space="0" w:color="auto"/>
              <w:right w:val="single" w:sz="4" w:space="0" w:color="auto"/>
            </w:tcBorders>
            <w:vAlign w:val="center"/>
          </w:tcPr>
          <w:p w14:paraId="3759CB86" w14:textId="6B51512F" w:rsidR="00C242C0" w:rsidRPr="00101A2A" w:rsidRDefault="00A96B61" w:rsidP="00DB69EF">
            <w:pPr>
              <w:pStyle w:val="Tables"/>
              <w:rPr>
                <w:sz w:val="18"/>
                <w:szCs w:val="18"/>
                <w:lang w:val="en-US"/>
              </w:rPr>
            </w:pPr>
            <w:r w:rsidRPr="00101A2A">
              <w:rPr>
                <w:sz w:val="18"/>
                <w:szCs w:val="18"/>
                <w:lang w:val="en-US"/>
              </w:rPr>
              <w:t>85.33</w:t>
            </w:r>
          </w:p>
        </w:tc>
        <w:tc>
          <w:tcPr>
            <w:tcW w:w="752" w:type="pct"/>
            <w:tcBorders>
              <w:top w:val="single" w:sz="4" w:space="0" w:color="auto"/>
              <w:left w:val="single" w:sz="4" w:space="0" w:color="auto"/>
            </w:tcBorders>
            <w:vAlign w:val="center"/>
          </w:tcPr>
          <w:p w14:paraId="0AE1A175" w14:textId="77777777" w:rsidR="00C242C0" w:rsidRPr="00101A2A" w:rsidRDefault="00C242C0" w:rsidP="00DB69EF">
            <w:pPr>
              <w:pStyle w:val="Tables"/>
              <w:rPr>
                <w:sz w:val="18"/>
                <w:szCs w:val="18"/>
                <w:lang w:val="en-US"/>
              </w:rPr>
            </w:pPr>
            <w:r w:rsidRPr="00101A2A">
              <w:rPr>
                <w:sz w:val="18"/>
                <w:szCs w:val="18"/>
                <w:lang w:val="en-US"/>
              </w:rPr>
              <w:t>1.00</w:t>
            </w:r>
          </w:p>
        </w:tc>
        <w:tc>
          <w:tcPr>
            <w:tcW w:w="690" w:type="pct"/>
            <w:tcBorders>
              <w:top w:val="single" w:sz="4" w:space="0" w:color="auto"/>
              <w:right w:val="single" w:sz="4" w:space="0" w:color="auto"/>
            </w:tcBorders>
            <w:vAlign w:val="center"/>
          </w:tcPr>
          <w:p w14:paraId="0CFBCDD0" w14:textId="77777777" w:rsidR="00C242C0" w:rsidRPr="00101A2A" w:rsidRDefault="00C242C0" w:rsidP="00DB69EF">
            <w:pPr>
              <w:pStyle w:val="Tables"/>
              <w:rPr>
                <w:sz w:val="18"/>
                <w:szCs w:val="18"/>
                <w:lang w:val="en-US"/>
              </w:rPr>
            </w:pPr>
            <w:r w:rsidRPr="00101A2A">
              <w:rPr>
                <w:sz w:val="18"/>
                <w:szCs w:val="18"/>
                <w:lang w:val="en-US"/>
              </w:rPr>
              <w:t>0.00</w:t>
            </w:r>
          </w:p>
        </w:tc>
        <w:tc>
          <w:tcPr>
            <w:tcW w:w="661" w:type="pct"/>
            <w:tcBorders>
              <w:top w:val="single" w:sz="4" w:space="0" w:color="auto"/>
              <w:left w:val="single" w:sz="4" w:space="0" w:color="auto"/>
            </w:tcBorders>
            <w:vAlign w:val="center"/>
          </w:tcPr>
          <w:p w14:paraId="331362E7" w14:textId="29A46133" w:rsidR="00C242C0" w:rsidRPr="00101A2A" w:rsidRDefault="00A96B61" w:rsidP="00DB69EF">
            <w:pPr>
              <w:pStyle w:val="Tables"/>
              <w:rPr>
                <w:sz w:val="18"/>
                <w:szCs w:val="18"/>
                <w:lang w:val="en-US"/>
              </w:rPr>
            </w:pPr>
            <w:r w:rsidRPr="00101A2A">
              <w:rPr>
                <w:sz w:val="18"/>
                <w:szCs w:val="18"/>
                <w:lang w:val="en-US"/>
              </w:rPr>
              <w:t>36.17</w:t>
            </w:r>
            <w:r w:rsidR="00C242C0" w:rsidRPr="00101A2A">
              <w:rPr>
                <w:sz w:val="18"/>
                <w:szCs w:val="18"/>
                <w:lang w:val="en-US"/>
              </w:rPr>
              <w:t>***</w:t>
            </w:r>
          </w:p>
        </w:tc>
      </w:tr>
      <w:tr w:rsidR="00797669" w:rsidRPr="00101A2A" w14:paraId="4C294EE7" w14:textId="77777777" w:rsidTr="007C58E4">
        <w:trPr>
          <w:trHeight w:val="320"/>
        </w:trPr>
        <w:tc>
          <w:tcPr>
            <w:tcW w:w="1451" w:type="pct"/>
            <w:noWrap/>
            <w:hideMark/>
          </w:tcPr>
          <w:p w14:paraId="58CD3132" w14:textId="77777777" w:rsidR="00C242C0" w:rsidRPr="00101A2A" w:rsidRDefault="00C242C0" w:rsidP="00DB69EF">
            <w:pPr>
              <w:pStyle w:val="Tables"/>
              <w:jc w:val="both"/>
              <w:rPr>
                <w:b/>
                <w:bCs/>
                <w:sz w:val="18"/>
                <w:szCs w:val="18"/>
                <w:lang w:val="en-US"/>
              </w:rPr>
            </w:pPr>
            <w:r w:rsidRPr="00101A2A">
              <w:rPr>
                <w:b/>
                <w:bCs/>
                <w:sz w:val="18"/>
                <w:szCs w:val="18"/>
                <w:lang w:val="en-US"/>
              </w:rPr>
              <w:t>Score rating</w:t>
            </w:r>
          </w:p>
        </w:tc>
        <w:tc>
          <w:tcPr>
            <w:tcW w:w="695" w:type="pct"/>
            <w:vAlign w:val="center"/>
          </w:tcPr>
          <w:p w14:paraId="52E5315E" w14:textId="17F8EE9E" w:rsidR="00C242C0" w:rsidRPr="00101A2A" w:rsidRDefault="00C242C0" w:rsidP="00DB69EF">
            <w:pPr>
              <w:pStyle w:val="Tables"/>
              <w:rPr>
                <w:sz w:val="18"/>
                <w:szCs w:val="18"/>
                <w:lang w:val="en-US"/>
              </w:rPr>
            </w:pPr>
            <w:r w:rsidRPr="00101A2A">
              <w:rPr>
                <w:sz w:val="18"/>
                <w:szCs w:val="18"/>
                <w:lang w:val="en-US"/>
              </w:rPr>
              <w:t>89.</w:t>
            </w:r>
            <w:r w:rsidR="00A96B61" w:rsidRPr="00101A2A">
              <w:rPr>
                <w:sz w:val="18"/>
                <w:szCs w:val="18"/>
                <w:lang w:val="en-US"/>
              </w:rPr>
              <w:t>73</w:t>
            </w:r>
          </w:p>
        </w:tc>
        <w:tc>
          <w:tcPr>
            <w:tcW w:w="751" w:type="pct"/>
            <w:tcBorders>
              <w:right w:val="single" w:sz="4" w:space="0" w:color="auto"/>
            </w:tcBorders>
            <w:vAlign w:val="center"/>
          </w:tcPr>
          <w:p w14:paraId="3DA3B3B2" w14:textId="2AF3136D" w:rsidR="00C242C0" w:rsidRPr="00101A2A" w:rsidRDefault="00A96B61" w:rsidP="00DB69EF">
            <w:pPr>
              <w:pStyle w:val="Tables"/>
              <w:rPr>
                <w:sz w:val="18"/>
                <w:szCs w:val="18"/>
                <w:lang w:val="en-US"/>
              </w:rPr>
            </w:pPr>
            <w:r w:rsidRPr="00101A2A">
              <w:rPr>
                <w:sz w:val="18"/>
                <w:szCs w:val="18"/>
                <w:lang w:val="en-US"/>
              </w:rPr>
              <w:t>1</w:t>
            </w:r>
            <w:r w:rsidR="00C242C0" w:rsidRPr="00101A2A">
              <w:rPr>
                <w:sz w:val="18"/>
                <w:szCs w:val="18"/>
                <w:lang w:val="en-US"/>
              </w:rPr>
              <w:t>0.</w:t>
            </w:r>
            <w:r w:rsidRPr="00101A2A">
              <w:rPr>
                <w:sz w:val="18"/>
                <w:szCs w:val="18"/>
                <w:lang w:val="en-US"/>
              </w:rPr>
              <w:t>19</w:t>
            </w:r>
          </w:p>
        </w:tc>
        <w:tc>
          <w:tcPr>
            <w:tcW w:w="752" w:type="pct"/>
            <w:tcBorders>
              <w:left w:val="single" w:sz="4" w:space="0" w:color="auto"/>
            </w:tcBorders>
            <w:vAlign w:val="center"/>
          </w:tcPr>
          <w:p w14:paraId="4C31979E" w14:textId="2C30F71B" w:rsidR="00C242C0" w:rsidRPr="00101A2A" w:rsidRDefault="00C242C0" w:rsidP="00DB69EF">
            <w:pPr>
              <w:pStyle w:val="Tables"/>
              <w:rPr>
                <w:sz w:val="18"/>
                <w:szCs w:val="18"/>
                <w:lang w:val="en-US"/>
              </w:rPr>
            </w:pPr>
            <w:r w:rsidRPr="00101A2A">
              <w:rPr>
                <w:sz w:val="18"/>
                <w:szCs w:val="18"/>
                <w:lang w:val="en-US"/>
              </w:rPr>
              <w:t>94.</w:t>
            </w:r>
            <w:r w:rsidR="00A96B61" w:rsidRPr="00101A2A">
              <w:rPr>
                <w:sz w:val="18"/>
                <w:szCs w:val="18"/>
                <w:lang w:val="en-US"/>
              </w:rPr>
              <w:t>08</w:t>
            </w:r>
          </w:p>
        </w:tc>
        <w:tc>
          <w:tcPr>
            <w:tcW w:w="690" w:type="pct"/>
            <w:tcBorders>
              <w:right w:val="single" w:sz="4" w:space="0" w:color="auto"/>
            </w:tcBorders>
            <w:vAlign w:val="center"/>
          </w:tcPr>
          <w:p w14:paraId="25926E14" w14:textId="7F06652E" w:rsidR="00C242C0" w:rsidRPr="00101A2A" w:rsidRDefault="00A96B61" w:rsidP="00DB69EF">
            <w:pPr>
              <w:pStyle w:val="Tables"/>
              <w:rPr>
                <w:sz w:val="18"/>
                <w:szCs w:val="18"/>
                <w:lang w:val="en-US"/>
              </w:rPr>
            </w:pPr>
            <w:r w:rsidRPr="00101A2A">
              <w:rPr>
                <w:sz w:val="18"/>
                <w:szCs w:val="18"/>
                <w:lang w:val="en-US"/>
              </w:rPr>
              <w:t>7.7</w:t>
            </w:r>
            <w:r w:rsidR="009B7E62" w:rsidRPr="00101A2A">
              <w:rPr>
                <w:sz w:val="18"/>
                <w:szCs w:val="18"/>
                <w:lang w:val="en-US"/>
              </w:rPr>
              <w:t>6</w:t>
            </w:r>
          </w:p>
        </w:tc>
        <w:tc>
          <w:tcPr>
            <w:tcW w:w="661" w:type="pct"/>
            <w:tcBorders>
              <w:left w:val="single" w:sz="4" w:space="0" w:color="auto"/>
            </w:tcBorders>
            <w:vAlign w:val="center"/>
          </w:tcPr>
          <w:p w14:paraId="7D95BB65" w14:textId="2017DFB2" w:rsidR="00C242C0" w:rsidRPr="00101A2A" w:rsidRDefault="00C242C0" w:rsidP="00DB69EF">
            <w:pPr>
              <w:pStyle w:val="Tables"/>
              <w:rPr>
                <w:sz w:val="18"/>
                <w:szCs w:val="18"/>
                <w:lang w:val="en-US"/>
              </w:rPr>
            </w:pPr>
            <w:r w:rsidRPr="00101A2A">
              <w:rPr>
                <w:sz w:val="18"/>
                <w:szCs w:val="18"/>
                <w:lang w:val="en-US"/>
              </w:rPr>
              <w:t>-4.3</w:t>
            </w:r>
            <w:r w:rsidR="00A96B61" w:rsidRPr="00101A2A">
              <w:rPr>
                <w:sz w:val="18"/>
                <w:szCs w:val="18"/>
                <w:lang w:val="en-US"/>
              </w:rPr>
              <w:t>4</w:t>
            </w:r>
            <w:r w:rsidRPr="00101A2A">
              <w:rPr>
                <w:sz w:val="18"/>
                <w:szCs w:val="18"/>
                <w:lang w:val="en-US"/>
              </w:rPr>
              <w:t>***</w:t>
            </w:r>
          </w:p>
        </w:tc>
      </w:tr>
      <w:tr w:rsidR="00797669" w:rsidRPr="00101A2A" w14:paraId="7565BFC1" w14:textId="77777777" w:rsidTr="007C58E4">
        <w:trPr>
          <w:trHeight w:val="320"/>
        </w:trPr>
        <w:tc>
          <w:tcPr>
            <w:tcW w:w="1451" w:type="pct"/>
            <w:noWrap/>
          </w:tcPr>
          <w:p w14:paraId="67C4D9BE" w14:textId="77777777" w:rsidR="00C242C0" w:rsidRPr="00101A2A" w:rsidRDefault="00C242C0" w:rsidP="00DB69EF">
            <w:pPr>
              <w:pStyle w:val="Tables"/>
              <w:jc w:val="both"/>
              <w:rPr>
                <w:b/>
                <w:bCs/>
                <w:sz w:val="18"/>
                <w:szCs w:val="18"/>
                <w:lang w:val="en-US"/>
              </w:rPr>
            </w:pPr>
            <w:r w:rsidRPr="00101A2A">
              <w:rPr>
                <w:b/>
                <w:bCs/>
                <w:sz w:val="18"/>
                <w:szCs w:val="18"/>
                <w:lang w:val="en-US"/>
              </w:rPr>
              <w:t>Price (per listing)</w:t>
            </w:r>
          </w:p>
        </w:tc>
        <w:tc>
          <w:tcPr>
            <w:tcW w:w="695" w:type="pct"/>
            <w:vAlign w:val="center"/>
          </w:tcPr>
          <w:p w14:paraId="05E24876" w14:textId="5E610465" w:rsidR="00C242C0" w:rsidRPr="00101A2A" w:rsidRDefault="00A96B61" w:rsidP="00DB69EF">
            <w:pPr>
              <w:pStyle w:val="Tables"/>
              <w:rPr>
                <w:sz w:val="18"/>
                <w:szCs w:val="18"/>
                <w:lang w:val="en-US"/>
              </w:rPr>
            </w:pPr>
            <w:r w:rsidRPr="00101A2A">
              <w:rPr>
                <w:sz w:val="18"/>
                <w:szCs w:val="18"/>
                <w:lang w:val="en-US"/>
              </w:rPr>
              <w:t>211.41</w:t>
            </w:r>
          </w:p>
        </w:tc>
        <w:tc>
          <w:tcPr>
            <w:tcW w:w="751" w:type="pct"/>
            <w:tcBorders>
              <w:right w:val="single" w:sz="4" w:space="0" w:color="auto"/>
            </w:tcBorders>
            <w:vAlign w:val="center"/>
          </w:tcPr>
          <w:p w14:paraId="550282B3" w14:textId="06815441" w:rsidR="00C242C0" w:rsidRPr="00101A2A" w:rsidRDefault="00A96B61" w:rsidP="00DB69EF">
            <w:pPr>
              <w:pStyle w:val="Tables"/>
              <w:rPr>
                <w:sz w:val="18"/>
                <w:szCs w:val="18"/>
                <w:lang w:val="en-US"/>
              </w:rPr>
            </w:pPr>
            <w:r w:rsidRPr="00101A2A">
              <w:rPr>
                <w:sz w:val="18"/>
                <w:szCs w:val="18"/>
                <w:lang w:val="en-US"/>
              </w:rPr>
              <w:t>391.77</w:t>
            </w:r>
          </w:p>
        </w:tc>
        <w:tc>
          <w:tcPr>
            <w:tcW w:w="752" w:type="pct"/>
            <w:tcBorders>
              <w:left w:val="single" w:sz="4" w:space="0" w:color="auto"/>
            </w:tcBorders>
            <w:vAlign w:val="center"/>
          </w:tcPr>
          <w:p w14:paraId="5C5CF0D5" w14:textId="179C73B2" w:rsidR="00C242C0" w:rsidRPr="00101A2A" w:rsidRDefault="00C242C0" w:rsidP="00DB69EF">
            <w:pPr>
              <w:pStyle w:val="Tables"/>
              <w:rPr>
                <w:sz w:val="18"/>
                <w:szCs w:val="18"/>
                <w:lang w:val="en-US"/>
              </w:rPr>
            </w:pPr>
            <w:r w:rsidRPr="00101A2A">
              <w:rPr>
                <w:sz w:val="18"/>
                <w:szCs w:val="18"/>
                <w:lang w:val="en-US"/>
              </w:rPr>
              <w:t>17</w:t>
            </w:r>
            <w:r w:rsidR="00A96B61" w:rsidRPr="00101A2A">
              <w:rPr>
                <w:sz w:val="18"/>
                <w:szCs w:val="18"/>
                <w:lang w:val="en-US"/>
              </w:rPr>
              <w:t>8.92</w:t>
            </w:r>
          </w:p>
        </w:tc>
        <w:tc>
          <w:tcPr>
            <w:tcW w:w="690" w:type="pct"/>
            <w:tcBorders>
              <w:right w:val="single" w:sz="4" w:space="0" w:color="auto"/>
            </w:tcBorders>
            <w:vAlign w:val="center"/>
          </w:tcPr>
          <w:p w14:paraId="748FF31E" w14:textId="45747F5E" w:rsidR="00C242C0" w:rsidRPr="00101A2A" w:rsidRDefault="00A96B61" w:rsidP="00DB69EF">
            <w:pPr>
              <w:pStyle w:val="Tables"/>
              <w:rPr>
                <w:sz w:val="18"/>
                <w:szCs w:val="18"/>
                <w:lang w:val="en-US"/>
              </w:rPr>
            </w:pPr>
            <w:r w:rsidRPr="00101A2A">
              <w:rPr>
                <w:sz w:val="18"/>
                <w:szCs w:val="18"/>
                <w:lang w:val="en-US"/>
              </w:rPr>
              <w:t>237.93</w:t>
            </w:r>
          </w:p>
        </w:tc>
        <w:tc>
          <w:tcPr>
            <w:tcW w:w="661" w:type="pct"/>
            <w:tcBorders>
              <w:left w:val="single" w:sz="4" w:space="0" w:color="auto"/>
            </w:tcBorders>
            <w:vAlign w:val="center"/>
          </w:tcPr>
          <w:p w14:paraId="516EBAA3" w14:textId="23BCB831" w:rsidR="00C242C0" w:rsidRPr="00101A2A" w:rsidRDefault="00A96B61" w:rsidP="00DB69EF">
            <w:pPr>
              <w:pStyle w:val="Tables"/>
              <w:rPr>
                <w:sz w:val="18"/>
                <w:szCs w:val="18"/>
                <w:lang w:val="en-US"/>
              </w:rPr>
            </w:pPr>
            <w:r w:rsidRPr="00101A2A">
              <w:rPr>
                <w:sz w:val="18"/>
                <w:szCs w:val="18"/>
                <w:lang w:val="en-US"/>
              </w:rPr>
              <w:t>32.49</w:t>
            </w:r>
            <w:r w:rsidR="00C242C0" w:rsidRPr="00101A2A">
              <w:rPr>
                <w:sz w:val="18"/>
                <w:szCs w:val="18"/>
                <w:lang w:val="en-US"/>
              </w:rPr>
              <w:t>***</w:t>
            </w:r>
          </w:p>
        </w:tc>
      </w:tr>
      <w:tr w:rsidR="00797669" w:rsidRPr="00101A2A" w14:paraId="73A960AA" w14:textId="77777777" w:rsidTr="007C58E4">
        <w:trPr>
          <w:trHeight w:val="320"/>
        </w:trPr>
        <w:tc>
          <w:tcPr>
            <w:tcW w:w="1451" w:type="pct"/>
            <w:noWrap/>
          </w:tcPr>
          <w:p w14:paraId="5B7A4EDD" w14:textId="77777777" w:rsidR="00C242C0" w:rsidRPr="00101A2A" w:rsidRDefault="00C242C0" w:rsidP="00DB69EF">
            <w:pPr>
              <w:pStyle w:val="Tables"/>
              <w:jc w:val="both"/>
              <w:rPr>
                <w:b/>
                <w:bCs/>
                <w:sz w:val="18"/>
                <w:szCs w:val="18"/>
                <w:lang w:val="en-US"/>
              </w:rPr>
            </w:pPr>
            <w:r w:rsidRPr="00101A2A">
              <w:rPr>
                <w:b/>
                <w:bCs/>
                <w:sz w:val="18"/>
                <w:szCs w:val="18"/>
                <w:lang w:val="en-US"/>
              </w:rPr>
              <w:t>Response time</w:t>
            </w:r>
          </w:p>
        </w:tc>
        <w:tc>
          <w:tcPr>
            <w:tcW w:w="695" w:type="pct"/>
            <w:vAlign w:val="center"/>
          </w:tcPr>
          <w:p w14:paraId="7E3068F2" w14:textId="5646F9BA" w:rsidR="00C242C0" w:rsidRPr="00101A2A" w:rsidRDefault="00A96B61" w:rsidP="00DB69EF">
            <w:pPr>
              <w:pStyle w:val="Tables"/>
              <w:rPr>
                <w:sz w:val="18"/>
                <w:szCs w:val="18"/>
                <w:lang w:val="en-US"/>
              </w:rPr>
            </w:pPr>
            <w:r w:rsidRPr="00101A2A">
              <w:rPr>
                <w:sz w:val="18"/>
                <w:szCs w:val="18"/>
                <w:lang w:val="en-US"/>
              </w:rPr>
              <w:t>1.65</w:t>
            </w:r>
          </w:p>
        </w:tc>
        <w:tc>
          <w:tcPr>
            <w:tcW w:w="751" w:type="pct"/>
            <w:tcBorders>
              <w:right w:val="single" w:sz="4" w:space="0" w:color="auto"/>
            </w:tcBorders>
            <w:vAlign w:val="center"/>
          </w:tcPr>
          <w:p w14:paraId="22370500" w14:textId="0001BBDF" w:rsidR="00C242C0" w:rsidRPr="00101A2A" w:rsidRDefault="00C242C0" w:rsidP="00DB69EF">
            <w:pPr>
              <w:pStyle w:val="Tables"/>
              <w:rPr>
                <w:sz w:val="18"/>
                <w:szCs w:val="18"/>
                <w:lang w:val="en-US"/>
              </w:rPr>
            </w:pPr>
            <w:r w:rsidRPr="00101A2A">
              <w:rPr>
                <w:sz w:val="18"/>
                <w:szCs w:val="18"/>
                <w:lang w:val="en-US"/>
              </w:rPr>
              <w:t>0.</w:t>
            </w:r>
            <w:r w:rsidR="00A96B61" w:rsidRPr="00101A2A">
              <w:rPr>
                <w:sz w:val="18"/>
                <w:szCs w:val="18"/>
                <w:lang w:val="en-US"/>
              </w:rPr>
              <w:t>73</w:t>
            </w:r>
          </w:p>
        </w:tc>
        <w:tc>
          <w:tcPr>
            <w:tcW w:w="752" w:type="pct"/>
            <w:tcBorders>
              <w:left w:val="single" w:sz="4" w:space="0" w:color="auto"/>
            </w:tcBorders>
            <w:vAlign w:val="center"/>
          </w:tcPr>
          <w:p w14:paraId="33C798DB" w14:textId="33649C35" w:rsidR="00C242C0" w:rsidRPr="00101A2A" w:rsidRDefault="00A96B61" w:rsidP="00DB69EF">
            <w:pPr>
              <w:pStyle w:val="Tables"/>
              <w:rPr>
                <w:sz w:val="18"/>
                <w:szCs w:val="18"/>
                <w:lang w:val="en-US"/>
              </w:rPr>
            </w:pPr>
            <w:r w:rsidRPr="00101A2A">
              <w:rPr>
                <w:sz w:val="18"/>
                <w:szCs w:val="18"/>
                <w:lang w:val="en-US"/>
              </w:rPr>
              <w:t>2.0</w:t>
            </w:r>
            <w:r w:rsidR="005C1718" w:rsidRPr="00101A2A">
              <w:rPr>
                <w:sz w:val="18"/>
                <w:szCs w:val="18"/>
                <w:lang w:val="en-US"/>
              </w:rPr>
              <w:t>2</w:t>
            </w:r>
          </w:p>
        </w:tc>
        <w:tc>
          <w:tcPr>
            <w:tcW w:w="690" w:type="pct"/>
            <w:tcBorders>
              <w:right w:val="single" w:sz="4" w:space="0" w:color="auto"/>
            </w:tcBorders>
            <w:vAlign w:val="center"/>
          </w:tcPr>
          <w:p w14:paraId="0B3FEAD2" w14:textId="56AE62EE" w:rsidR="00C242C0" w:rsidRPr="00101A2A" w:rsidRDefault="00C242C0" w:rsidP="00DB69EF">
            <w:pPr>
              <w:pStyle w:val="Tables"/>
              <w:rPr>
                <w:sz w:val="18"/>
                <w:szCs w:val="18"/>
                <w:lang w:val="en-US"/>
              </w:rPr>
            </w:pPr>
            <w:r w:rsidRPr="00101A2A">
              <w:rPr>
                <w:sz w:val="18"/>
                <w:szCs w:val="18"/>
                <w:lang w:val="en-US"/>
              </w:rPr>
              <w:t>0.</w:t>
            </w:r>
            <w:r w:rsidR="00A96B61" w:rsidRPr="00101A2A">
              <w:rPr>
                <w:sz w:val="18"/>
                <w:szCs w:val="18"/>
                <w:lang w:val="en-US"/>
              </w:rPr>
              <w:t>89</w:t>
            </w:r>
          </w:p>
        </w:tc>
        <w:tc>
          <w:tcPr>
            <w:tcW w:w="661" w:type="pct"/>
            <w:tcBorders>
              <w:left w:val="single" w:sz="4" w:space="0" w:color="auto"/>
            </w:tcBorders>
            <w:vAlign w:val="center"/>
          </w:tcPr>
          <w:p w14:paraId="2E2024ED" w14:textId="254B7FC5" w:rsidR="00C242C0" w:rsidRPr="00101A2A" w:rsidRDefault="00A96B61" w:rsidP="00DB69EF">
            <w:pPr>
              <w:pStyle w:val="Tables"/>
              <w:rPr>
                <w:sz w:val="18"/>
                <w:szCs w:val="18"/>
                <w:lang w:val="en-US"/>
              </w:rPr>
            </w:pPr>
            <w:r w:rsidRPr="00101A2A">
              <w:rPr>
                <w:sz w:val="18"/>
                <w:szCs w:val="18"/>
                <w:lang w:val="en-US"/>
              </w:rPr>
              <w:t>-</w:t>
            </w:r>
            <w:r w:rsidR="00C242C0" w:rsidRPr="00101A2A">
              <w:rPr>
                <w:sz w:val="18"/>
                <w:szCs w:val="18"/>
                <w:lang w:val="en-US"/>
              </w:rPr>
              <w:t>0.3</w:t>
            </w:r>
            <w:r w:rsidRPr="00101A2A">
              <w:rPr>
                <w:sz w:val="18"/>
                <w:szCs w:val="18"/>
                <w:lang w:val="en-US"/>
              </w:rPr>
              <w:t>7</w:t>
            </w:r>
            <w:r w:rsidR="00C242C0" w:rsidRPr="00101A2A">
              <w:rPr>
                <w:sz w:val="18"/>
                <w:szCs w:val="18"/>
                <w:lang w:val="en-US"/>
              </w:rPr>
              <w:t>***</w:t>
            </w:r>
          </w:p>
        </w:tc>
      </w:tr>
      <w:tr w:rsidR="00797669" w:rsidRPr="00101A2A" w14:paraId="002595D1" w14:textId="77777777" w:rsidTr="007C58E4">
        <w:trPr>
          <w:trHeight w:val="320"/>
        </w:trPr>
        <w:tc>
          <w:tcPr>
            <w:tcW w:w="1451" w:type="pct"/>
            <w:noWrap/>
            <w:hideMark/>
          </w:tcPr>
          <w:p w14:paraId="43EE4880" w14:textId="77777777" w:rsidR="00C242C0" w:rsidRPr="00101A2A" w:rsidRDefault="00C242C0" w:rsidP="00DB69EF">
            <w:pPr>
              <w:pStyle w:val="Tables"/>
              <w:jc w:val="both"/>
              <w:rPr>
                <w:b/>
                <w:bCs/>
                <w:sz w:val="18"/>
                <w:szCs w:val="18"/>
                <w:lang w:val="en-US"/>
              </w:rPr>
            </w:pPr>
            <w:r w:rsidRPr="00101A2A">
              <w:rPr>
                <w:b/>
                <w:bCs/>
                <w:sz w:val="18"/>
                <w:szCs w:val="18"/>
                <w:lang w:val="en-US"/>
              </w:rPr>
              <w:t>Response rate</w:t>
            </w:r>
          </w:p>
        </w:tc>
        <w:tc>
          <w:tcPr>
            <w:tcW w:w="695" w:type="pct"/>
            <w:vAlign w:val="center"/>
          </w:tcPr>
          <w:p w14:paraId="27604253" w14:textId="2368DD2C" w:rsidR="00C242C0" w:rsidRPr="00101A2A" w:rsidRDefault="00C242C0" w:rsidP="00DB69EF">
            <w:pPr>
              <w:pStyle w:val="Tables"/>
              <w:rPr>
                <w:sz w:val="18"/>
                <w:szCs w:val="18"/>
                <w:lang w:val="en-US"/>
              </w:rPr>
            </w:pPr>
            <w:r w:rsidRPr="00101A2A">
              <w:rPr>
                <w:sz w:val="18"/>
                <w:szCs w:val="18"/>
                <w:lang w:val="en-US"/>
              </w:rPr>
              <w:t>9</w:t>
            </w:r>
            <w:r w:rsidR="00A96B61" w:rsidRPr="00101A2A">
              <w:rPr>
                <w:sz w:val="18"/>
                <w:szCs w:val="18"/>
                <w:lang w:val="en-US"/>
              </w:rPr>
              <w:t>2.66</w:t>
            </w:r>
          </w:p>
        </w:tc>
        <w:tc>
          <w:tcPr>
            <w:tcW w:w="751" w:type="pct"/>
            <w:tcBorders>
              <w:right w:val="single" w:sz="4" w:space="0" w:color="auto"/>
            </w:tcBorders>
            <w:vAlign w:val="center"/>
          </w:tcPr>
          <w:p w14:paraId="32DD2C3D" w14:textId="100B18B0" w:rsidR="00C242C0" w:rsidRPr="00101A2A" w:rsidRDefault="00A96B61" w:rsidP="00DB69EF">
            <w:pPr>
              <w:pStyle w:val="Tables"/>
              <w:rPr>
                <w:sz w:val="18"/>
                <w:szCs w:val="18"/>
                <w:lang w:val="en-US"/>
              </w:rPr>
            </w:pPr>
            <w:r w:rsidRPr="00101A2A">
              <w:rPr>
                <w:sz w:val="18"/>
                <w:szCs w:val="18"/>
                <w:lang w:val="en-US"/>
              </w:rPr>
              <w:t>11.56</w:t>
            </w:r>
          </w:p>
        </w:tc>
        <w:tc>
          <w:tcPr>
            <w:tcW w:w="752" w:type="pct"/>
            <w:tcBorders>
              <w:left w:val="single" w:sz="4" w:space="0" w:color="auto"/>
            </w:tcBorders>
            <w:vAlign w:val="center"/>
          </w:tcPr>
          <w:p w14:paraId="69F701F0" w14:textId="447CBBFF" w:rsidR="00C242C0" w:rsidRPr="00101A2A" w:rsidRDefault="00A96B61" w:rsidP="00DB69EF">
            <w:pPr>
              <w:pStyle w:val="Tables"/>
              <w:rPr>
                <w:sz w:val="18"/>
                <w:szCs w:val="18"/>
                <w:lang w:val="en-US"/>
              </w:rPr>
            </w:pPr>
            <w:r w:rsidRPr="00101A2A">
              <w:rPr>
                <w:sz w:val="18"/>
                <w:szCs w:val="18"/>
                <w:lang w:val="en-US"/>
              </w:rPr>
              <w:t>89.16</w:t>
            </w:r>
          </w:p>
        </w:tc>
        <w:tc>
          <w:tcPr>
            <w:tcW w:w="690" w:type="pct"/>
            <w:tcBorders>
              <w:right w:val="single" w:sz="4" w:space="0" w:color="auto"/>
            </w:tcBorders>
            <w:vAlign w:val="center"/>
          </w:tcPr>
          <w:p w14:paraId="441255F7" w14:textId="5F12DB68" w:rsidR="00C242C0" w:rsidRPr="00101A2A" w:rsidRDefault="00A96B61" w:rsidP="00DB69EF">
            <w:pPr>
              <w:pStyle w:val="Tables"/>
              <w:rPr>
                <w:sz w:val="18"/>
                <w:szCs w:val="18"/>
                <w:lang w:val="en-US"/>
              </w:rPr>
            </w:pPr>
            <w:r w:rsidRPr="00101A2A">
              <w:rPr>
                <w:sz w:val="18"/>
                <w:szCs w:val="18"/>
                <w:lang w:val="en-US"/>
              </w:rPr>
              <w:t>17.65</w:t>
            </w:r>
          </w:p>
        </w:tc>
        <w:tc>
          <w:tcPr>
            <w:tcW w:w="661" w:type="pct"/>
            <w:tcBorders>
              <w:left w:val="single" w:sz="4" w:space="0" w:color="auto"/>
            </w:tcBorders>
            <w:vAlign w:val="center"/>
          </w:tcPr>
          <w:p w14:paraId="0E78AF4A" w14:textId="6EAD2A46" w:rsidR="00C242C0" w:rsidRPr="00101A2A" w:rsidRDefault="00A96B61" w:rsidP="00DB69EF">
            <w:pPr>
              <w:pStyle w:val="Tables"/>
              <w:rPr>
                <w:sz w:val="18"/>
                <w:szCs w:val="18"/>
                <w:lang w:val="en-US"/>
              </w:rPr>
            </w:pPr>
            <w:r w:rsidRPr="00101A2A">
              <w:rPr>
                <w:sz w:val="18"/>
                <w:szCs w:val="18"/>
                <w:lang w:val="en-US"/>
              </w:rPr>
              <w:t>3.50</w:t>
            </w:r>
            <w:r w:rsidR="00C242C0" w:rsidRPr="00101A2A">
              <w:rPr>
                <w:sz w:val="18"/>
                <w:szCs w:val="18"/>
                <w:lang w:val="en-US"/>
              </w:rPr>
              <w:t>***</w:t>
            </w:r>
          </w:p>
        </w:tc>
      </w:tr>
      <w:tr w:rsidR="00797669" w:rsidRPr="00101A2A" w14:paraId="7D854B80" w14:textId="77777777" w:rsidTr="007C58E4">
        <w:trPr>
          <w:trHeight w:val="320"/>
        </w:trPr>
        <w:tc>
          <w:tcPr>
            <w:tcW w:w="1451" w:type="pct"/>
            <w:noWrap/>
            <w:hideMark/>
          </w:tcPr>
          <w:p w14:paraId="3CF11B16" w14:textId="77777777" w:rsidR="00C242C0" w:rsidRPr="00101A2A" w:rsidRDefault="00C242C0" w:rsidP="00DB69EF">
            <w:pPr>
              <w:pStyle w:val="Tables"/>
              <w:jc w:val="both"/>
              <w:rPr>
                <w:b/>
                <w:bCs/>
                <w:sz w:val="18"/>
                <w:szCs w:val="18"/>
                <w:lang w:val="en-US"/>
              </w:rPr>
            </w:pPr>
            <w:r w:rsidRPr="00101A2A">
              <w:rPr>
                <w:b/>
                <w:bCs/>
                <w:sz w:val="18"/>
                <w:szCs w:val="18"/>
                <w:lang w:val="en-US"/>
              </w:rPr>
              <w:t>Acceptance rate</w:t>
            </w:r>
          </w:p>
        </w:tc>
        <w:tc>
          <w:tcPr>
            <w:tcW w:w="695" w:type="pct"/>
            <w:vAlign w:val="center"/>
          </w:tcPr>
          <w:p w14:paraId="08A902A0" w14:textId="39FB003B" w:rsidR="00C242C0" w:rsidRPr="00101A2A" w:rsidRDefault="00C242C0" w:rsidP="00DB69EF">
            <w:pPr>
              <w:pStyle w:val="Tables"/>
              <w:rPr>
                <w:sz w:val="18"/>
                <w:szCs w:val="18"/>
                <w:lang w:val="en-US"/>
              </w:rPr>
            </w:pPr>
            <w:r w:rsidRPr="00101A2A">
              <w:rPr>
                <w:sz w:val="18"/>
                <w:szCs w:val="18"/>
                <w:lang w:val="en-US"/>
              </w:rPr>
              <w:t>85.</w:t>
            </w:r>
            <w:r w:rsidR="00A96B61" w:rsidRPr="00101A2A">
              <w:rPr>
                <w:sz w:val="18"/>
                <w:szCs w:val="18"/>
                <w:lang w:val="en-US"/>
              </w:rPr>
              <w:t>89</w:t>
            </w:r>
          </w:p>
        </w:tc>
        <w:tc>
          <w:tcPr>
            <w:tcW w:w="751" w:type="pct"/>
            <w:tcBorders>
              <w:right w:val="single" w:sz="4" w:space="0" w:color="auto"/>
            </w:tcBorders>
            <w:vAlign w:val="center"/>
          </w:tcPr>
          <w:p w14:paraId="56D657A4" w14:textId="7C5587AF" w:rsidR="00C242C0" w:rsidRPr="00101A2A" w:rsidRDefault="00A96B61" w:rsidP="00DB69EF">
            <w:pPr>
              <w:pStyle w:val="Tables"/>
              <w:rPr>
                <w:sz w:val="18"/>
                <w:szCs w:val="18"/>
                <w:lang w:val="en-US"/>
              </w:rPr>
            </w:pPr>
            <w:r w:rsidRPr="00101A2A">
              <w:rPr>
                <w:sz w:val="18"/>
                <w:szCs w:val="18"/>
                <w:lang w:val="en-US"/>
              </w:rPr>
              <w:t>16.51</w:t>
            </w:r>
          </w:p>
        </w:tc>
        <w:tc>
          <w:tcPr>
            <w:tcW w:w="752" w:type="pct"/>
            <w:tcBorders>
              <w:left w:val="single" w:sz="4" w:space="0" w:color="auto"/>
            </w:tcBorders>
            <w:vAlign w:val="center"/>
          </w:tcPr>
          <w:p w14:paraId="77ED0C29" w14:textId="7BDCA742" w:rsidR="00C242C0" w:rsidRPr="00101A2A" w:rsidRDefault="00A96B61" w:rsidP="00DB69EF">
            <w:pPr>
              <w:pStyle w:val="Tables"/>
              <w:rPr>
                <w:sz w:val="18"/>
                <w:szCs w:val="18"/>
                <w:lang w:val="en-US"/>
              </w:rPr>
            </w:pPr>
            <w:r w:rsidRPr="00101A2A">
              <w:rPr>
                <w:sz w:val="18"/>
                <w:szCs w:val="18"/>
                <w:lang w:val="en-US"/>
              </w:rPr>
              <w:t>86.17</w:t>
            </w:r>
          </w:p>
        </w:tc>
        <w:tc>
          <w:tcPr>
            <w:tcW w:w="690" w:type="pct"/>
            <w:tcBorders>
              <w:right w:val="single" w:sz="4" w:space="0" w:color="auto"/>
            </w:tcBorders>
            <w:vAlign w:val="center"/>
          </w:tcPr>
          <w:p w14:paraId="5BF87C13" w14:textId="3211AAB0" w:rsidR="00C242C0" w:rsidRPr="00101A2A" w:rsidRDefault="00A96B61" w:rsidP="00DB69EF">
            <w:pPr>
              <w:pStyle w:val="Tables"/>
              <w:rPr>
                <w:sz w:val="18"/>
                <w:szCs w:val="18"/>
                <w:lang w:val="en-US"/>
              </w:rPr>
            </w:pPr>
            <w:r w:rsidRPr="00101A2A">
              <w:rPr>
                <w:sz w:val="18"/>
                <w:szCs w:val="18"/>
                <w:lang w:val="en-US"/>
              </w:rPr>
              <w:t>24.05</w:t>
            </w:r>
          </w:p>
        </w:tc>
        <w:tc>
          <w:tcPr>
            <w:tcW w:w="661" w:type="pct"/>
            <w:tcBorders>
              <w:left w:val="single" w:sz="4" w:space="0" w:color="auto"/>
            </w:tcBorders>
            <w:vAlign w:val="center"/>
          </w:tcPr>
          <w:p w14:paraId="66BCD66B" w14:textId="1853A1F7" w:rsidR="00C242C0" w:rsidRPr="00101A2A" w:rsidRDefault="009B7E62" w:rsidP="00DB69EF">
            <w:pPr>
              <w:pStyle w:val="Tables"/>
              <w:rPr>
                <w:sz w:val="18"/>
                <w:szCs w:val="18"/>
                <w:lang w:val="en-US"/>
              </w:rPr>
            </w:pPr>
            <w:r w:rsidRPr="00101A2A">
              <w:rPr>
                <w:sz w:val="18"/>
                <w:szCs w:val="18"/>
                <w:lang w:val="en-US"/>
              </w:rPr>
              <w:t>-</w:t>
            </w:r>
            <w:r w:rsidR="00A96B61" w:rsidRPr="00101A2A">
              <w:rPr>
                <w:sz w:val="18"/>
                <w:szCs w:val="18"/>
                <w:lang w:val="en-US"/>
              </w:rPr>
              <w:t>0.28</w:t>
            </w:r>
          </w:p>
        </w:tc>
      </w:tr>
      <w:tr w:rsidR="00797669" w:rsidRPr="00101A2A" w14:paraId="1C21B875" w14:textId="77777777" w:rsidTr="007C58E4">
        <w:trPr>
          <w:trHeight w:val="320"/>
        </w:trPr>
        <w:tc>
          <w:tcPr>
            <w:tcW w:w="1451" w:type="pct"/>
            <w:noWrap/>
            <w:hideMark/>
          </w:tcPr>
          <w:p w14:paraId="7DAE6575" w14:textId="77777777" w:rsidR="00C242C0" w:rsidRPr="00101A2A" w:rsidRDefault="00C242C0" w:rsidP="00DB69EF">
            <w:pPr>
              <w:pStyle w:val="Tables"/>
              <w:jc w:val="both"/>
              <w:rPr>
                <w:b/>
                <w:bCs/>
                <w:sz w:val="18"/>
                <w:szCs w:val="18"/>
                <w:lang w:val="en-US"/>
              </w:rPr>
            </w:pPr>
            <w:r w:rsidRPr="00101A2A">
              <w:rPr>
                <w:b/>
                <w:bCs/>
                <w:sz w:val="18"/>
                <w:szCs w:val="18"/>
                <w:lang w:val="en-US"/>
              </w:rPr>
              <w:t>Host is “super host”</w:t>
            </w:r>
          </w:p>
        </w:tc>
        <w:tc>
          <w:tcPr>
            <w:tcW w:w="695" w:type="pct"/>
            <w:vAlign w:val="center"/>
          </w:tcPr>
          <w:p w14:paraId="2677325D" w14:textId="77777777" w:rsidR="00C242C0" w:rsidRPr="00101A2A" w:rsidRDefault="00C242C0" w:rsidP="00DB69EF">
            <w:pPr>
              <w:pStyle w:val="Tables"/>
              <w:rPr>
                <w:sz w:val="18"/>
                <w:szCs w:val="18"/>
                <w:lang w:val="en-US"/>
              </w:rPr>
            </w:pPr>
            <w:r w:rsidRPr="00101A2A">
              <w:rPr>
                <w:sz w:val="18"/>
                <w:szCs w:val="18"/>
                <w:lang w:val="en-US"/>
              </w:rPr>
              <w:t>0.08</w:t>
            </w:r>
          </w:p>
        </w:tc>
        <w:tc>
          <w:tcPr>
            <w:tcW w:w="751" w:type="pct"/>
            <w:tcBorders>
              <w:right w:val="single" w:sz="4" w:space="0" w:color="auto"/>
            </w:tcBorders>
            <w:vAlign w:val="center"/>
          </w:tcPr>
          <w:p w14:paraId="45D3F32D" w14:textId="77777777" w:rsidR="00C242C0" w:rsidRPr="00101A2A" w:rsidRDefault="00C242C0" w:rsidP="00DB69EF">
            <w:pPr>
              <w:pStyle w:val="Tables"/>
              <w:rPr>
                <w:sz w:val="18"/>
                <w:szCs w:val="18"/>
                <w:lang w:val="en-US"/>
              </w:rPr>
            </w:pPr>
            <w:r w:rsidRPr="00101A2A">
              <w:rPr>
                <w:sz w:val="18"/>
                <w:szCs w:val="18"/>
                <w:lang w:val="en-US"/>
              </w:rPr>
              <w:t>0.27</w:t>
            </w:r>
          </w:p>
        </w:tc>
        <w:tc>
          <w:tcPr>
            <w:tcW w:w="752" w:type="pct"/>
            <w:tcBorders>
              <w:left w:val="single" w:sz="4" w:space="0" w:color="auto"/>
            </w:tcBorders>
            <w:vAlign w:val="center"/>
          </w:tcPr>
          <w:p w14:paraId="6F24D392" w14:textId="05F39C97" w:rsidR="00C242C0" w:rsidRPr="00101A2A" w:rsidRDefault="00C242C0" w:rsidP="00DB69EF">
            <w:pPr>
              <w:pStyle w:val="Tables"/>
              <w:rPr>
                <w:sz w:val="18"/>
                <w:szCs w:val="18"/>
                <w:lang w:val="en-US"/>
              </w:rPr>
            </w:pPr>
            <w:r w:rsidRPr="00101A2A">
              <w:rPr>
                <w:sz w:val="18"/>
                <w:szCs w:val="18"/>
                <w:lang w:val="en-US"/>
              </w:rPr>
              <w:t>0.0</w:t>
            </w:r>
            <w:r w:rsidR="00A96B61" w:rsidRPr="00101A2A">
              <w:rPr>
                <w:sz w:val="18"/>
                <w:szCs w:val="18"/>
                <w:lang w:val="en-US"/>
              </w:rPr>
              <w:t>9</w:t>
            </w:r>
          </w:p>
        </w:tc>
        <w:tc>
          <w:tcPr>
            <w:tcW w:w="690" w:type="pct"/>
            <w:tcBorders>
              <w:right w:val="single" w:sz="4" w:space="0" w:color="auto"/>
            </w:tcBorders>
            <w:vAlign w:val="center"/>
          </w:tcPr>
          <w:p w14:paraId="72D57A27" w14:textId="77777777" w:rsidR="00C242C0" w:rsidRPr="00101A2A" w:rsidRDefault="00C242C0" w:rsidP="00DB69EF">
            <w:pPr>
              <w:pStyle w:val="Tables"/>
              <w:rPr>
                <w:sz w:val="18"/>
                <w:szCs w:val="18"/>
                <w:lang w:val="en-US"/>
              </w:rPr>
            </w:pPr>
            <w:r w:rsidRPr="00101A2A">
              <w:rPr>
                <w:sz w:val="18"/>
                <w:szCs w:val="18"/>
                <w:lang w:val="en-US"/>
              </w:rPr>
              <w:t>0.29</w:t>
            </w:r>
          </w:p>
        </w:tc>
        <w:tc>
          <w:tcPr>
            <w:tcW w:w="661" w:type="pct"/>
            <w:tcBorders>
              <w:left w:val="single" w:sz="4" w:space="0" w:color="auto"/>
            </w:tcBorders>
            <w:vAlign w:val="center"/>
          </w:tcPr>
          <w:p w14:paraId="02BC1C96" w14:textId="253826E8" w:rsidR="00C242C0" w:rsidRPr="00101A2A" w:rsidRDefault="00C242C0" w:rsidP="00DB69EF">
            <w:pPr>
              <w:pStyle w:val="Tables"/>
              <w:rPr>
                <w:sz w:val="18"/>
                <w:szCs w:val="18"/>
                <w:lang w:val="en-US"/>
              </w:rPr>
            </w:pPr>
            <w:r w:rsidRPr="00101A2A">
              <w:rPr>
                <w:sz w:val="18"/>
                <w:szCs w:val="18"/>
                <w:lang w:val="en-US"/>
              </w:rPr>
              <w:t>-0.0</w:t>
            </w:r>
            <w:r w:rsidR="00A96B61" w:rsidRPr="00101A2A">
              <w:rPr>
                <w:sz w:val="18"/>
                <w:szCs w:val="18"/>
                <w:lang w:val="en-US"/>
              </w:rPr>
              <w:t>0</w:t>
            </w:r>
          </w:p>
        </w:tc>
      </w:tr>
      <w:tr w:rsidR="00797669" w:rsidRPr="00101A2A" w14:paraId="55FE8C7D" w14:textId="77777777" w:rsidTr="007C58E4">
        <w:trPr>
          <w:trHeight w:val="320"/>
        </w:trPr>
        <w:tc>
          <w:tcPr>
            <w:tcW w:w="1451" w:type="pct"/>
            <w:noWrap/>
            <w:hideMark/>
          </w:tcPr>
          <w:p w14:paraId="54AE2308" w14:textId="77777777" w:rsidR="00C242C0" w:rsidRPr="00101A2A" w:rsidRDefault="00C242C0" w:rsidP="00DB69EF">
            <w:pPr>
              <w:pStyle w:val="Tables"/>
              <w:jc w:val="both"/>
              <w:rPr>
                <w:b/>
                <w:bCs/>
                <w:sz w:val="18"/>
                <w:szCs w:val="18"/>
                <w:lang w:val="en-US"/>
              </w:rPr>
            </w:pPr>
            <w:r w:rsidRPr="00101A2A">
              <w:rPr>
                <w:b/>
                <w:bCs/>
                <w:sz w:val="18"/>
                <w:szCs w:val="18"/>
                <w:lang w:val="en-US"/>
              </w:rPr>
              <w:t>Cleaning fee</w:t>
            </w:r>
          </w:p>
        </w:tc>
        <w:tc>
          <w:tcPr>
            <w:tcW w:w="695" w:type="pct"/>
            <w:vAlign w:val="center"/>
          </w:tcPr>
          <w:p w14:paraId="3782BFE3" w14:textId="5B2F670B" w:rsidR="00C242C0" w:rsidRPr="00101A2A" w:rsidRDefault="00A96B61" w:rsidP="00DB69EF">
            <w:pPr>
              <w:pStyle w:val="Tables"/>
              <w:rPr>
                <w:sz w:val="18"/>
                <w:szCs w:val="18"/>
                <w:lang w:val="en-US"/>
              </w:rPr>
            </w:pPr>
            <w:r w:rsidRPr="00101A2A">
              <w:rPr>
                <w:sz w:val="18"/>
                <w:szCs w:val="18"/>
                <w:lang w:val="en-US"/>
              </w:rPr>
              <w:t>87.57</w:t>
            </w:r>
          </w:p>
        </w:tc>
        <w:tc>
          <w:tcPr>
            <w:tcW w:w="751" w:type="pct"/>
            <w:tcBorders>
              <w:right w:val="single" w:sz="4" w:space="0" w:color="auto"/>
            </w:tcBorders>
            <w:vAlign w:val="center"/>
          </w:tcPr>
          <w:p w14:paraId="2E083EAF" w14:textId="035974D1" w:rsidR="00C242C0" w:rsidRPr="00101A2A" w:rsidRDefault="00A96B61" w:rsidP="00DB69EF">
            <w:pPr>
              <w:pStyle w:val="Tables"/>
              <w:rPr>
                <w:sz w:val="18"/>
                <w:szCs w:val="18"/>
                <w:lang w:val="en-US"/>
              </w:rPr>
            </w:pPr>
            <w:r w:rsidRPr="00101A2A">
              <w:rPr>
                <w:sz w:val="18"/>
                <w:szCs w:val="18"/>
                <w:lang w:val="en-US"/>
              </w:rPr>
              <w:t>75.29</w:t>
            </w:r>
          </w:p>
        </w:tc>
        <w:tc>
          <w:tcPr>
            <w:tcW w:w="752" w:type="pct"/>
            <w:tcBorders>
              <w:left w:val="single" w:sz="4" w:space="0" w:color="auto"/>
            </w:tcBorders>
            <w:vAlign w:val="center"/>
          </w:tcPr>
          <w:p w14:paraId="0D59838A" w14:textId="48A08462" w:rsidR="00C242C0" w:rsidRPr="00101A2A" w:rsidRDefault="00C242C0" w:rsidP="00DB69EF">
            <w:pPr>
              <w:pStyle w:val="Tables"/>
              <w:rPr>
                <w:sz w:val="18"/>
                <w:szCs w:val="18"/>
                <w:lang w:val="en-US"/>
              </w:rPr>
            </w:pPr>
            <w:r w:rsidRPr="00101A2A">
              <w:rPr>
                <w:sz w:val="18"/>
                <w:szCs w:val="18"/>
                <w:lang w:val="en-US"/>
              </w:rPr>
              <w:t>6</w:t>
            </w:r>
            <w:r w:rsidR="00A96B61" w:rsidRPr="00101A2A">
              <w:rPr>
                <w:sz w:val="18"/>
                <w:szCs w:val="18"/>
                <w:lang w:val="en-US"/>
              </w:rPr>
              <w:t>3.76</w:t>
            </w:r>
          </w:p>
        </w:tc>
        <w:tc>
          <w:tcPr>
            <w:tcW w:w="690" w:type="pct"/>
            <w:tcBorders>
              <w:right w:val="single" w:sz="4" w:space="0" w:color="auto"/>
            </w:tcBorders>
            <w:vAlign w:val="center"/>
          </w:tcPr>
          <w:p w14:paraId="3E17EEF1" w14:textId="6BD2564B" w:rsidR="00C242C0" w:rsidRPr="00101A2A" w:rsidRDefault="00A96B61" w:rsidP="00DB69EF">
            <w:pPr>
              <w:pStyle w:val="Tables"/>
              <w:rPr>
                <w:sz w:val="18"/>
                <w:szCs w:val="18"/>
                <w:lang w:val="en-US"/>
              </w:rPr>
            </w:pPr>
            <w:r w:rsidRPr="00101A2A">
              <w:rPr>
                <w:sz w:val="18"/>
                <w:szCs w:val="18"/>
                <w:lang w:val="en-US"/>
              </w:rPr>
              <w:t>46.78</w:t>
            </w:r>
          </w:p>
        </w:tc>
        <w:tc>
          <w:tcPr>
            <w:tcW w:w="661" w:type="pct"/>
            <w:tcBorders>
              <w:left w:val="single" w:sz="4" w:space="0" w:color="auto"/>
            </w:tcBorders>
            <w:vAlign w:val="center"/>
          </w:tcPr>
          <w:p w14:paraId="37367B07" w14:textId="727AE1C0" w:rsidR="00C242C0" w:rsidRPr="00101A2A" w:rsidRDefault="00A96B61" w:rsidP="00DB69EF">
            <w:pPr>
              <w:pStyle w:val="Tables"/>
              <w:rPr>
                <w:sz w:val="18"/>
                <w:szCs w:val="18"/>
                <w:lang w:val="en-US"/>
              </w:rPr>
            </w:pPr>
            <w:r w:rsidRPr="00101A2A">
              <w:rPr>
                <w:sz w:val="18"/>
                <w:szCs w:val="18"/>
                <w:lang w:val="en-US"/>
              </w:rPr>
              <w:t>23.80</w:t>
            </w:r>
            <w:r w:rsidR="00C242C0" w:rsidRPr="00101A2A">
              <w:rPr>
                <w:sz w:val="18"/>
                <w:szCs w:val="18"/>
                <w:lang w:val="en-US"/>
              </w:rPr>
              <w:t>***</w:t>
            </w:r>
          </w:p>
        </w:tc>
      </w:tr>
      <w:tr w:rsidR="00797669" w:rsidRPr="00101A2A" w14:paraId="79AD5BF7" w14:textId="77777777" w:rsidTr="007C58E4">
        <w:trPr>
          <w:trHeight w:val="320"/>
        </w:trPr>
        <w:tc>
          <w:tcPr>
            <w:tcW w:w="1451" w:type="pct"/>
            <w:noWrap/>
            <w:hideMark/>
          </w:tcPr>
          <w:p w14:paraId="21608375" w14:textId="77777777" w:rsidR="00C242C0" w:rsidRPr="00101A2A" w:rsidRDefault="00C242C0" w:rsidP="00DB69EF">
            <w:pPr>
              <w:pStyle w:val="Tables"/>
              <w:jc w:val="both"/>
              <w:rPr>
                <w:b/>
                <w:bCs/>
                <w:sz w:val="18"/>
                <w:szCs w:val="18"/>
                <w:lang w:val="en-US"/>
              </w:rPr>
            </w:pPr>
            <w:r w:rsidRPr="00101A2A">
              <w:rPr>
                <w:b/>
                <w:bCs/>
                <w:sz w:val="18"/>
                <w:szCs w:val="18"/>
                <w:lang w:val="en-US"/>
              </w:rPr>
              <w:t>Number of reviews</w:t>
            </w:r>
          </w:p>
        </w:tc>
        <w:tc>
          <w:tcPr>
            <w:tcW w:w="695" w:type="pct"/>
            <w:vAlign w:val="center"/>
          </w:tcPr>
          <w:p w14:paraId="0E9FF680" w14:textId="399F982A" w:rsidR="00C242C0" w:rsidRPr="00101A2A" w:rsidRDefault="00A96B61" w:rsidP="00DB69EF">
            <w:pPr>
              <w:pStyle w:val="Tables"/>
              <w:rPr>
                <w:sz w:val="18"/>
                <w:szCs w:val="18"/>
                <w:lang w:val="en-US"/>
              </w:rPr>
            </w:pPr>
            <w:r w:rsidRPr="00101A2A">
              <w:rPr>
                <w:sz w:val="18"/>
                <w:szCs w:val="18"/>
                <w:lang w:val="en-US"/>
              </w:rPr>
              <w:t>15.84</w:t>
            </w:r>
          </w:p>
        </w:tc>
        <w:tc>
          <w:tcPr>
            <w:tcW w:w="751" w:type="pct"/>
            <w:tcBorders>
              <w:right w:val="single" w:sz="4" w:space="0" w:color="auto"/>
            </w:tcBorders>
            <w:vAlign w:val="center"/>
          </w:tcPr>
          <w:p w14:paraId="29C03B8F" w14:textId="3F7CD680" w:rsidR="00C242C0" w:rsidRPr="00101A2A" w:rsidRDefault="00C242C0" w:rsidP="00DB69EF">
            <w:pPr>
              <w:pStyle w:val="Tables"/>
              <w:rPr>
                <w:sz w:val="18"/>
                <w:szCs w:val="18"/>
                <w:lang w:val="en-US"/>
              </w:rPr>
            </w:pPr>
            <w:r w:rsidRPr="00101A2A">
              <w:rPr>
                <w:sz w:val="18"/>
                <w:szCs w:val="18"/>
                <w:lang w:val="en-US"/>
              </w:rPr>
              <w:t>27.</w:t>
            </w:r>
            <w:r w:rsidR="00A96B61" w:rsidRPr="00101A2A">
              <w:rPr>
                <w:sz w:val="18"/>
                <w:szCs w:val="18"/>
                <w:lang w:val="en-US"/>
              </w:rPr>
              <w:t>30</w:t>
            </w:r>
          </w:p>
        </w:tc>
        <w:tc>
          <w:tcPr>
            <w:tcW w:w="752" w:type="pct"/>
            <w:tcBorders>
              <w:left w:val="single" w:sz="4" w:space="0" w:color="auto"/>
            </w:tcBorders>
            <w:vAlign w:val="center"/>
          </w:tcPr>
          <w:p w14:paraId="4EB9931F" w14:textId="49A320BD" w:rsidR="00C242C0" w:rsidRPr="00101A2A" w:rsidRDefault="00A96B61" w:rsidP="00DB69EF">
            <w:pPr>
              <w:pStyle w:val="Tables"/>
              <w:rPr>
                <w:sz w:val="18"/>
                <w:szCs w:val="18"/>
                <w:lang w:val="en-US"/>
              </w:rPr>
            </w:pPr>
            <w:r w:rsidRPr="00101A2A">
              <w:rPr>
                <w:sz w:val="18"/>
                <w:szCs w:val="18"/>
                <w:lang w:val="en-US"/>
              </w:rPr>
              <w:t>12.52</w:t>
            </w:r>
          </w:p>
        </w:tc>
        <w:tc>
          <w:tcPr>
            <w:tcW w:w="690" w:type="pct"/>
            <w:tcBorders>
              <w:right w:val="single" w:sz="4" w:space="0" w:color="auto"/>
            </w:tcBorders>
            <w:vAlign w:val="center"/>
          </w:tcPr>
          <w:p w14:paraId="404DF29D" w14:textId="08A33CA7" w:rsidR="00C242C0" w:rsidRPr="00101A2A" w:rsidRDefault="00C242C0" w:rsidP="00DB69EF">
            <w:pPr>
              <w:pStyle w:val="Tables"/>
              <w:rPr>
                <w:sz w:val="18"/>
                <w:szCs w:val="18"/>
                <w:lang w:val="en-US"/>
              </w:rPr>
            </w:pPr>
            <w:r w:rsidRPr="00101A2A">
              <w:rPr>
                <w:sz w:val="18"/>
                <w:szCs w:val="18"/>
                <w:lang w:val="en-US"/>
              </w:rPr>
              <w:t>24.</w:t>
            </w:r>
            <w:r w:rsidR="00A96B61" w:rsidRPr="00101A2A">
              <w:rPr>
                <w:sz w:val="18"/>
                <w:szCs w:val="18"/>
                <w:lang w:val="en-US"/>
              </w:rPr>
              <w:t>61</w:t>
            </w:r>
          </w:p>
        </w:tc>
        <w:tc>
          <w:tcPr>
            <w:tcW w:w="661" w:type="pct"/>
            <w:tcBorders>
              <w:left w:val="single" w:sz="4" w:space="0" w:color="auto"/>
            </w:tcBorders>
            <w:vAlign w:val="center"/>
          </w:tcPr>
          <w:p w14:paraId="09614F86" w14:textId="2CCE74EE" w:rsidR="00C242C0" w:rsidRPr="00101A2A" w:rsidRDefault="00A96B61" w:rsidP="00DB69EF">
            <w:pPr>
              <w:pStyle w:val="Tables"/>
              <w:rPr>
                <w:sz w:val="18"/>
                <w:szCs w:val="18"/>
                <w:lang w:val="en-US"/>
              </w:rPr>
            </w:pPr>
            <w:r w:rsidRPr="00101A2A">
              <w:rPr>
                <w:sz w:val="18"/>
                <w:szCs w:val="18"/>
                <w:lang w:val="en-US"/>
              </w:rPr>
              <w:t>3.32</w:t>
            </w:r>
            <w:r w:rsidR="00C242C0" w:rsidRPr="00101A2A">
              <w:rPr>
                <w:sz w:val="18"/>
                <w:szCs w:val="18"/>
                <w:lang w:val="en-US"/>
              </w:rPr>
              <w:t>***</w:t>
            </w:r>
          </w:p>
        </w:tc>
      </w:tr>
      <w:tr w:rsidR="00797669" w:rsidRPr="00101A2A" w14:paraId="69319C2B" w14:textId="77777777" w:rsidTr="007C58E4">
        <w:trPr>
          <w:trHeight w:val="320"/>
        </w:trPr>
        <w:tc>
          <w:tcPr>
            <w:tcW w:w="1451" w:type="pct"/>
            <w:noWrap/>
            <w:hideMark/>
          </w:tcPr>
          <w:p w14:paraId="0AAE1EA0" w14:textId="77777777" w:rsidR="00C242C0" w:rsidRPr="00101A2A" w:rsidRDefault="00C242C0" w:rsidP="00DB69EF">
            <w:pPr>
              <w:pStyle w:val="Tables"/>
              <w:jc w:val="both"/>
              <w:rPr>
                <w:b/>
                <w:bCs/>
                <w:sz w:val="18"/>
                <w:szCs w:val="18"/>
                <w:lang w:val="en-US"/>
              </w:rPr>
            </w:pPr>
            <w:r w:rsidRPr="00101A2A">
              <w:rPr>
                <w:b/>
                <w:bCs/>
                <w:sz w:val="18"/>
                <w:szCs w:val="18"/>
                <w:lang w:val="en-US"/>
              </w:rPr>
              <w:t>Score accuracy</w:t>
            </w:r>
          </w:p>
        </w:tc>
        <w:tc>
          <w:tcPr>
            <w:tcW w:w="695" w:type="pct"/>
            <w:vAlign w:val="center"/>
          </w:tcPr>
          <w:p w14:paraId="54D99865" w14:textId="394668E3" w:rsidR="00C242C0" w:rsidRPr="00101A2A" w:rsidRDefault="00C242C0" w:rsidP="00DB69EF">
            <w:pPr>
              <w:pStyle w:val="Tables"/>
              <w:rPr>
                <w:sz w:val="18"/>
                <w:szCs w:val="18"/>
                <w:lang w:val="en-US"/>
              </w:rPr>
            </w:pPr>
            <w:r w:rsidRPr="00101A2A">
              <w:rPr>
                <w:sz w:val="18"/>
                <w:szCs w:val="18"/>
                <w:lang w:val="en-US"/>
              </w:rPr>
              <w:t>9.</w:t>
            </w:r>
            <w:r w:rsidR="00A96B61" w:rsidRPr="00101A2A">
              <w:rPr>
                <w:sz w:val="18"/>
                <w:szCs w:val="18"/>
                <w:lang w:val="en-US"/>
              </w:rPr>
              <w:t>14</w:t>
            </w:r>
          </w:p>
        </w:tc>
        <w:tc>
          <w:tcPr>
            <w:tcW w:w="751" w:type="pct"/>
            <w:tcBorders>
              <w:right w:val="single" w:sz="4" w:space="0" w:color="auto"/>
            </w:tcBorders>
            <w:vAlign w:val="center"/>
          </w:tcPr>
          <w:p w14:paraId="3AB84457" w14:textId="044A5890" w:rsidR="00C242C0" w:rsidRPr="00101A2A" w:rsidRDefault="00C242C0" w:rsidP="00DB69EF">
            <w:pPr>
              <w:pStyle w:val="Tables"/>
              <w:rPr>
                <w:sz w:val="18"/>
                <w:szCs w:val="18"/>
                <w:lang w:val="en-US"/>
              </w:rPr>
            </w:pPr>
            <w:r w:rsidRPr="00101A2A">
              <w:rPr>
                <w:sz w:val="18"/>
                <w:szCs w:val="18"/>
                <w:lang w:val="en-US"/>
              </w:rPr>
              <w:t>1.0</w:t>
            </w:r>
            <w:r w:rsidR="00A96B61" w:rsidRPr="00101A2A">
              <w:rPr>
                <w:sz w:val="18"/>
                <w:szCs w:val="18"/>
                <w:lang w:val="en-US"/>
              </w:rPr>
              <w:t>7</w:t>
            </w:r>
          </w:p>
        </w:tc>
        <w:tc>
          <w:tcPr>
            <w:tcW w:w="752" w:type="pct"/>
            <w:tcBorders>
              <w:left w:val="single" w:sz="4" w:space="0" w:color="auto"/>
            </w:tcBorders>
            <w:vAlign w:val="center"/>
          </w:tcPr>
          <w:p w14:paraId="4A229BCA" w14:textId="7E2E1500" w:rsidR="00C242C0" w:rsidRPr="00101A2A" w:rsidRDefault="00C242C0" w:rsidP="00DB69EF">
            <w:pPr>
              <w:pStyle w:val="Tables"/>
              <w:rPr>
                <w:sz w:val="18"/>
                <w:szCs w:val="18"/>
                <w:lang w:val="en-US"/>
              </w:rPr>
            </w:pPr>
            <w:r w:rsidRPr="00101A2A">
              <w:rPr>
                <w:sz w:val="18"/>
                <w:szCs w:val="18"/>
                <w:lang w:val="en-US"/>
              </w:rPr>
              <w:t>9.6</w:t>
            </w:r>
            <w:r w:rsidR="00A96B61" w:rsidRPr="00101A2A">
              <w:rPr>
                <w:sz w:val="18"/>
                <w:szCs w:val="18"/>
                <w:lang w:val="en-US"/>
              </w:rPr>
              <w:t>0</w:t>
            </w:r>
          </w:p>
        </w:tc>
        <w:tc>
          <w:tcPr>
            <w:tcW w:w="690" w:type="pct"/>
            <w:tcBorders>
              <w:right w:val="single" w:sz="4" w:space="0" w:color="auto"/>
            </w:tcBorders>
            <w:vAlign w:val="center"/>
          </w:tcPr>
          <w:p w14:paraId="2CBF7A96" w14:textId="405E6D31" w:rsidR="00C242C0" w:rsidRPr="00101A2A" w:rsidRDefault="00C242C0" w:rsidP="00DB69EF">
            <w:pPr>
              <w:pStyle w:val="Tables"/>
              <w:rPr>
                <w:sz w:val="18"/>
                <w:szCs w:val="18"/>
                <w:lang w:val="en-US"/>
              </w:rPr>
            </w:pPr>
            <w:r w:rsidRPr="00101A2A">
              <w:rPr>
                <w:sz w:val="18"/>
                <w:szCs w:val="18"/>
                <w:lang w:val="en-US"/>
              </w:rPr>
              <w:t>0.7</w:t>
            </w:r>
            <w:r w:rsidR="00A96B61" w:rsidRPr="00101A2A">
              <w:rPr>
                <w:sz w:val="18"/>
                <w:szCs w:val="18"/>
                <w:lang w:val="en-US"/>
              </w:rPr>
              <w:t>6</w:t>
            </w:r>
          </w:p>
        </w:tc>
        <w:tc>
          <w:tcPr>
            <w:tcW w:w="661" w:type="pct"/>
            <w:tcBorders>
              <w:left w:val="single" w:sz="4" w:space="0" w:color="auto"/>
            </w:tcBorders>
            <w:vAlign w:val="center"/>
          </w:tcPr>
          <w:p w14:paraId="48CE9D0A" w14:textId="324BF4BC" w:rsidR="00C242C0" w:rsidRPr="00101A2A" w:rsidRDefault="00C242C0" w:rsidP="00DB69EF">
            <w:pPr>
              <w:pStyle w:val="Tables"/>
              <w:rPr>
                <w:sz w:val="18"/>
                <w:szCs w:val="18"/>
                <w:lang w:val="en-US"/>
              </w:rPr>
            </w:pPr>
            <w:r w:rsidRPr="00101A2A">
              <w:rPr>
                <w:sz w:val="18"/>
                <w:szCs w:val="18"/>
                <w:lang w:val="en-US"/>
              </w:rPr>
              <w:t>-0.4</w:t>
            </w:r>
            <w:r w:rsidR="00A96B61" w:rsidRPr="00101A2A">
              <w:rPr>
                <w:sz w:val="18"/>
                <w:szCs w:val="18"/>
                <w:lang w:val="en-US"/>
              </w:rPr>
              <w:t>6</w:t>
            </w:r>
            <w:r w:rsidRPr="00101A2A">
              <w:rPr>
                <w:sz w:val="18"/>
                <w:szCs w:val="18"/>
                <w:lang w:val="en-US"/>
              </w:rPr>
              <w:t>***</w:t>
            </w:r>
          </w:p>
        </w:tc>
      </w:tr>
      <w:tr w:rsidR="00797669" w:rsidRPr="00101A2A" w14:paraId="7722C4AC" w14:textId="77777777" w:rsidTr="007C58E4">
        <w:trPr>
          <w:trHeight w:val="320"/>
        </w:trPr>
        <w:tc>
          <w:tcPr>
            <w:tcW w:w="1451" w:type="pct"/>
            <w:noWrap/>
            <w:hideMark/>
          </w:tcPr>
          <w:p w14:paraId="2F410A1E" w14:textId="77777777" w:rsidR="00C242C0" w:rsidRPr="00101A2A" w:rsidRDefault="00C242C0" w:rsidP="00DB69EF">
            <w:pPr>
              <w:pStyle w:val="Tables"/>
              <w:jc w:val="both"/>
              <w:rPr>
                <w:b/>
                <w:bCs/>
                <w:sz w:val="18"/>
                <w:szCs w:val="18"/>
                <w:lang w:val="en-US"/>
              </w:rPr>
            </w:pPr>
            <w:r w:rsidRPr="00101A2A">
              <w:rPr>
                <w:b/>
                <w:bCs/>
                <w:sz w:val="18"/>
                <w:szCs w:val="18"/>
                <w:lang w:val="en-US"/>
              </w:rPr>
              <w:t>Score cleanliness</w:t>
            </w:r>
          </w:p>
        </w:tc>
        <w:tc>
          <w:tcPr>
            <w:tcW w:w="695" w:type="pct"/>
            <w:vAlign w:val="center"/>
          </w:tcPr>
          <w:p w14:paraId="6D2DFB56" w14:textId="174962FE" w:rsidR="00C242C0" w:rsidRPr="00101A2A" w:rsidRDefault="00C242C0" w:rsidP="00DB69EF">
            <w:pPr>
              <w:pStyle w:val="Tables"/>
              <w:rPr>
                <w:sz w:val="18"/>
                <w:szCs w:val="18"/>
                <w:lang w:val="en-US"/>
              </w:rPr>
            </w:pPr>
            <w:r w:rsidRPr="00101A2A">
              <w:rPr>
                <w:sz w:val="18"/>
                <w:szCs w:val="18"/>
                <w:lang w:val="en-US"/>
              </w:rPr>
              <w:t>9.</w:t>
            </w:r>
            <w:r w:rsidR="00A96B61" w:rsidRPr="00101A2A">
              <w:rPr>
                <w:sz w:val="18"/>
                <w:szCs w:val="18"/>
                <w:lang w:val="en-US"/>
              </w:rPr>
              <w:t>03</w:t>
            </w:r>
          </w:p>
        </w:tc>
        <w:tc>
          <w:tcPr>
            <w:tcW w:w="751" w:type="pct"/>
            <w:tcBorders>
              <w:right w:val="single" w:sz="4" w:space="0" w:color="auto"/>
            </w:tcBorders>
            <w:vAlign w:val="center"/>
          </w:tcPr>
          <w:p w14:paraId="180FF54D" w14:textId="1B62EF36" w:rsidR="00C242C0" w:rsidRPr="00101A2A" w:rsidRDefault="00C242C0" w:rsidP="00DB69EF">
            <w:pPr>
              <w:pStyle w:val="Tables"/>
              <w:rPr>
                <w:sz w:val="18"/>
                <w:szCs w:val="18"/>
                <w:lang w:val="en-US"/>
              </w:rPr>
            </w:pPr>
            <w:r w:rsidRPr="00101A2A">
              <w:rPr>
                <w:sz w:val="18"/>
                <w:szCs w:val="18"/>
                <w:lang w:val="en-US"/>
              </w:rPr>
              <w:t>1.1</w:t>
            </w:r>
            <w:r w:rsidR="00A96B61" w:rsidRPr="00101A2A">
              <w:rPr>
                <w:sz w:val="18"/>
                <w:szCs w:val="18"/>
                <w:lang w:val="en-US"/>
              </w:rPr>
              <w:t>7</w:t>
            </w:r>
          </w:p>
        </w:tc>
        <w:tc>
          <w:tcPr>
            <w:tcW w:w="752" w:type="pct"/>
            <w:tcBorders>
              <w:left w:val="single" w:sz="4" w:space="0" w:color="auto"/>
            </w:tcBorders>
            <w:vAlign w:val="center"/>
          </w:tcPr>
          <w:p w14:paraId="3742438B" w14:textId="3F0E87CB" w:rsidR="00C242C0" w:rsidRPr="00101A2A" w:rsidRDefault="00C242C0" w:rsidP="00DB69EF">
            <w:pPr>
              <w:pStyle w:val="Tables"/>
              <w:rPr>
                <w:sz w:val="18"/>
                <w:szCs w:val="18"/>
                <w:lang w:val="en-US"/>
              </w:rPr>
            </w:pPr>
            <w:r w:rsidRPr="00101A2A">
              <w:rPr>
                <w:sz w:val="18"/>
                <w:szCs w:val="18"/>
                <w:lang w:val="en-US"/>
              </w:rPr>
              <w:t>9.3</w:t>
            </w:r>
            <w:r w:rsidR="00A96B61" w:rsidRPr="00101A2A">
              <w:rPr>
                <w:sz w:val="18"/>
                <w:szCs w:val="18"/>
                <w:lang w:val="en-US"/>
              </w:rPr>
              <w:t>0</w:t>
            </w:r>
          </w:p>
        </w:tc>
        <w:tc>
          <w:tcPr>
            <w:tcW w:w="690" w:type="pct"/>
            <w:tcBorders>
              <w:right w:val="single" w:sz="4" w:space="0" w:color="auto"/>
            </w:tcBorders>
            <w:vAlign w:val="center"/>
          </w:tcPr>
          <w:p w14:paraId="04260AA9" w14:textId="77777777" w:rsidR="00C242C0" w:rsidRPr="00101A2A" w:rsidRDefault="00C242C0" w:rsidP="00DB69EF">
            <w:pPr>
              <w:pStyle w:val="Tables"/>
              <w:rPr>
                <w:sz w:val="18"/>
                <w:szCs w:val="18"/>
                <w:lang w:val="en-US"/>
              </w:rPr>
            </w:pPr>
            <w:r w:rsidRPr="00101A2A">
              <w:rPr>
                <w:sz w:val="18"/>
                <w:szCs w:val="18"/>
                <w:lang w:val="en-US"/>
              </w:rPr>
              <w:t>1.06</w:t>
            </w:r>
          </w:p>
        </w:tc>
        <w:tc>
          <w:tcPr>
            <w:tcW w:w="661" w:type="pct"/>
            <w:tcBorders>
              <w:left w:val="single" w:sz="4" w:space="0" w:color="auto"/>
            </w:tcBorders>
            <w:vAlign w:val="center"/>
          </w:tcPr>
          <w:p w14:paraId="42739CBB" w14:textId="0BBD73D6" w:rsidR="00C242C0" w:rsidRPr="00101A2A" w:rsidRDefault="00C242C0" w:rsidP="00DB69EF">
            <w:pPr>
              <w:pStyle w:val="Tables"/>
              <w:rPr>
                <w:sz w:val="18"/>
                <w:szCs w:val="18"/>
                <w:lang w:val="en-US"/>
              </w:rPr>
            </w:pPr>
            <w:r w:rsidRPr="00101A2A">
              <w:rPr>
                <w:sz w:val="18"/>
                <w:szCs w:val="18"/>
                <w:lang w:val="en-US"/>
              </w:rPr>
              <w:t>-0.2</w:t>
            </w:r>
            <w:r w:rsidR="00A96B61" w:rsidRPr="00101A2A">
              <w:rPr>
                <w:sz w:val="18"/>
                <w:szCs w:val="18"/>
                <w:lang w:val="en-US"/>
              </w:rPr>
              <w:t>7</w:t>
            </w:r>
            <w:r w:rsidRPr="00101A2A">
              <w:rPr>
                <w:sz w:val="18"/>
                <w:szCs w:val="18"/>
                <w:lang w:val="en-US"/>
              </w:rPr>
              <w:t>***</w:t>
            </w:r>
          </w:p>
        </w:tc>
      </w:tr>
      <w:tr w:rsidR="00797669" w:rsidRPr="00101A2A" w14:paraId="3C72689E" w14:textId="77777777" w:rsidTr="007C58E4">
        <w:trPr>
          <w:trHeight w:val="320"/>
        </w:trPr>
        <w:tc>
          <w:tcPr>
            <w:tcW w:w="1451" w:type="pct"/>
            <w:noWrap/>
            <w:hideMark/>
          </w:tcPr>
          <w:p w14:paraId="0BDFFF1C" w14:textId="77777777" w:rsidR="00C242C0" w:rsidRPr="00101A2A" w:rsidRDefault="00C242C0" w:rsidP="00DB69EF">
            <w:pPr>
              <w:pStyle w:val="Tables"/>
              <w:jc w:val="both"/>
              <w:rPr>
                <w:b/>
                <w:bCs/>
                <w:sz w:val="18"/>
                <w:szCs w:val="18"/>
                <w:lang w:val="en-US"/>
              </w:rPr>
            </w:pPr>
            <w:r w:rsidRPr="00101A2A">
              <w:rPr>
                <w:b/>
                <w:bCs/>
                <w:sz w:val="18"/>
                <w:szCs w:val="18"/>
                <w:lang w:val="en-US"/>
              </w:rPr>
              <w:t>Score check-in</w:t>
            </w:r>
          </w:p>
        </w:tc>
        <w:tc>
          <w:tcPr>
            <w:tcW w:w="695" w:type="pct"/>
            <w:vAlign w:val="center"/>
          </w:tcPr>
          <w:p w14:paraId="2B4A9C21" w14:textId="1A61A83A" w:rsidR="00C242C0" w:rsidRPr="00101A2A" w:rsidRDefault="00C242C0" w:rsidP="00DB69EF">
            <w:pPr>
              <w:pStyle w:val="Tables"/>
              <w:rPr>
                <w:sz w:val="18"/>
                <w:szCs w:val="18"/>
                <w:lang w:val="en-US"/>
              </w:rPr>
            </w:pPr>
            <w:r w:rsidRPr="00101A2A">
              <w:rPr>
                <w:sz w:val="18"/>
                <w:szCs w:val="18"/>
                <w:lang w:val="en-US"/>
              </w:rPr>
              <w:t>9.</w:t>
            </w:r>
            <w:r w:rsidR="00A96B61" w:rsidRPr="00101A2A">
              <w:rPr>
                <w:sz w:val="18"/>
                <w:szCs w:val="18"/>
                <w:lang w:val="en-US"/>
              </w:rPr>
              <w:t>39</w:t>
            </w:r>
          </w:p>
        </w:tc>
        <w:tc>
          <w:tcPr>
            <w:tcW w:w="751" w:type="pct"/>
            <w:tcBorders>
              <w:right w:val="single" w:sz="4" w:space="0" w:color="auto"/>
            </w:tcBorders>
            <w:vAlign w:val="center"/>
          </w:tcPr>
          <w:p w14:paraId="6854785A" w14:textId="4C9CEEB2" w:rsidR="00C242C0" w:rsidRPr="00101A2A" w:rsidRDefault="00C242C0" w:rsidP="00DB69EF">
            <w:pPr>
              <w:pStyle w:val="Tables"/>
              <w:rPr>
                <w:sz w:val="18"/>
                <w:szCs w:val="18"/>
                <w:lang w:val="en-US"/>
              </w:rPr>
            </w:pPr>
            <w:r w:rsidRPr="00101A2A">
              <w:rPr>
                <w:sz w:val="18"/>
                <w:szCs w:val="18"/>
                <w:lang w:val="en-US"/>
              </w:rPr>
              <w:t>0.9</w:t>
            </w:r>
            <w:r w:rsidR="00A96B61" w:rsidRPr="00101A2A">
              <w:rPr>
                <w:sz w:val="18"/>
                <w:szCs w:val="18"/>
                <w:lang w:val="en-US"/>
              </w:rPr>
              <w:t>5</w:t>
            </w:r>
          </w:p>
        </w:tc>
        <w:tc>
          <w:tcPr>
            <w:tcW w:w="752" w:type="pct"/>
            <w:tcBorders>
              <w:left w:val="single" w:sz="4" w:space="0" w:color="auto"/>
            </w:tcBorders>
            <w:vAlign w:val="center"/>
          </w:tcPr>
          <w:p w14:paraId="0B99F0C9" w14:textId="1ABCC23B" w:rsidR="00C242C0" w:rsidRPr="00101A2A" w:rsidRDefault="00C242C0" w:rsidP="00DB69EF">
            <w:pPr>
              <w:pStyle w:val="Tables"/>
              <w:rPr>
                <w:sz w:val="18"/>
                <w:szCs w:val="18"/>
                <w:lang w:val="en-US"/>
              </w:rPr>
            </w:pPr>
            <w:r w:rsidRPr="00101A2A">
              <w:rPr>
                <w:sz w:val="18"/>
                <w:szCs w:val="18"/>
                <w:lang w:val="en-US"/>
              </w:rPr>
              <w:t>9.7</w:t>
            </w:r>
            <w:r w:rsidR="00A96B61" w:rsidRPr="00101A2A">
              <w:rPr>
                <w:sz w:val="18"/>
                <w:szCs w:val="18"/>
                <w:lang w:val="en-US"/>
              </w:rPr>
              <w:t>6</w:t>
            </w:r>
          </w:p>
        </w:tc>
        <w:tc>
          <w:tcPr>
            <w:tcW w:w="690" w:type="pct"/>
            <w:tcBorders>
              <w:right w:val="single" w:sz="4" w:space="0" w:color="auto"/>
            </w:tcBorders>
            <w:vAlign w:val="center"/>
          </w:tcPr>
          <w:p w14:paraId="2BB70B90" w14:textId="6C33C255" w:rsidR="00C242C0" w:rsidRPr="00101A2A" w:rsidRDefault="00C242C0" w:rsidP="00DB69EF">
            <w:pPr>
              <w:pStyle w:val="Tables"/>
              <w:rPr>
                <w:sz w:val="18"/>
                <w:szCs w:val="18"/>
                <w:lang w:val="en-US"/>
              </w:rPr>
            </w:pPr>
            <w:r w:rsidRPr="00101A2A">
              <w:rPr>
                <w:sz w:val="18"/>
                <w:szCs w:val="18"/>
                <w:lang w:val="en-US"/>
              </w:rPr>
              <w:t>0.6</w:t>
            </w:r>
            <w:r w:rsidR="00FD24DF" w:rsidRPr="00101A2A">
              <w:rPr>
                <w:sz w:val="18"/>
                <w:szCs w:val="18"/>
                <w:lang w:val="en-US"/>
              </w:rPr>
              <w:t>3</w:t>
            </w:r>
          </w:p>
        </w:tc>
        <w:tc>
          <w:tcPr>
            <w:tcW w:w="661" w:type="pct"/>
            <w:tcBorders>
              <w:left w:val="single" w:sz="4" w:space="0" w:color="auto"/>
            </w:tcBorders>
            <w:vAlign w:val="center"/>
          </w:tcPr>
          <w:p w14:paraId="28436429" w14:textId="3A6264ED" w:rsidR="00C242C0" w:rsidRPr="00101A2A" w:rsidRDefault="00C242C0" w:rsidP="00DB69EF">
            <w:pPr>
              <w:pStyle w:val="Tables"/>
              <w:rPr>
                <w:sz w:val="18"/>
                <w:szCs w:val="18"/>
                <w:lang w:val="en-US"/>
              </w:rPr>
            </w:pPr>
            <w:r w:rsidRPr="00101A2A">
              <w:rPr>
                <w:sz w:val="18"/>
                <w:szCs w:val="18"/>
                <w:lang w:val="en-US"/>
              </w:rPr>
              <w:t>-0.3</w:t>
            </w:r>
            <w:r w:rsidR="00FD24DF" w:rsidRPr="00101A2A">
              <w:rPr>
                <w:sz w:val="18"/>
                <w:szCs w:val="18"/>
                <w:lang w:val="en-US"/>
              </w:rPr>
              <w:t>7</w:t>
            </w:r>
            <w:r w:rsidRPr="00101A2A">
              <w:rPr>
                <w:sz w:val="18"/>
                <w:szCs w:val="18"/>
                <w:lang w:val="en-US"/>
              </w:rPr>
              <w:t>***</w:t>
            </w:r>
          </w:p>
        </w:tc>
      </w:tr>
      <w:tr w:rsidR="00797669" w:rsidRPr="00101A2A" w14:paraId="30FD5C19" w14:textId="77777777" w:rsidTr="007C58E4">
        <w:trPr>
          <w:trHeight w:val="320"/>
        </w:trPr>
        <w:tc>
          <w:tcPr>
            <w:tcW w:w="1451" w:type="pct"/>
            <w:noWrap/>
            <w:hideMark/>
          </w:tcPr>
          <w:p w14:paraId="0C243D09" w14:textId="77777777" w:rsidR="00C242C0" w:rsidRPr="00101A2A" w:rsidRDefault="00C242C0" w:rsidP="00DB69EF">
            <w:pPr>
              <w:pStyle w:val="Tables"/>
              <w:jc w:val="both"/>
              <w:rPr>
                <w:b/>
                <w:bCs/>
                <w:sz w:val="18"/>
                <w:szCs w:val="18"/>
                <w:lang w:val="en-US"/>
              </w:rPr>
            </w:pPr>
            <w:r w:rsidRPr="00101A2A">
              <w:rPr>
                <w:b/>
                <w:bCs/>
                <w:sz w:val="18"/>
                <w:szCs w:val="18"/>
                <w:lang w:val="en-US"/>
              </w:rPr>
              <w:t>Score communication</w:t>
            </w:r>
          </w:p>
        </w:tc>
        <w:tc>
          <w:tcPr>
            <w:tcW w:w="695" w:type="pct"/>
            <w:vAlign w:val="center"/>
          </w:tcPr>
          <w:p w14:paraId="65462842" w14:textId="4E712125" w:rsidR="00C242C0" w:rsidRPr="00101A2A" w:rsidRDefault="00C242C0" w:rsidP="00DB69EF">
            <w:pPr>
              <w:pStyle w:val="Tables"/>
              <w:rPr>
                <w:sz w:val="18"/>
                <w:szCs w:val="18"/>
                <w:lang w:val="en-US"/>
              </w:rPr>
            </w:pPr>
            <w:r w:rsidRPr="00101A2A">
              <w:rPr>
                <w:sz w:val="18"/>
                <w:szCs w:val="18"/>
                <w:lang w:val="en-US"/>
              </w:rPr>
              <w:t>9.4</w:t>
            </w:r>
            <w:r w:rsidR="00FD24DF" w:rsidRPr="00101A2A">
              <w:rPr>
                <w:sz w:val="18"/>
                <w:szCs w:val="18"/>
                <w:lang w:val="en-US"/>
              </w:rPr>
              <w:t>1</w:t>
            </w:r>
          </w:p>
        </w:tc>
        <w:tc>
          <w:tcPr>
            <w:tcW w:w="751" w:type="pct"/>
            <w:tcBorders>
              <w:right w:val="single" w:sz="4" w:space="0" w:color="auto"/>
            </w:tcBorders>
            <w:vAlign w:val="center"/>
          </w:tcPr>
          <w:p w14:paraId="4F834956" w14:textId="3A7A30EF" w:rsidR="00C242C0" w:rsidRPr="00101A2A" w:rsidRDefault="00C242C0" w:rsidP="00DB69EF">
            <w:pPr>
              <w:pStyle w:val="Tables"/>
              <w:rPr>
                <w:sz w:val="18"/>
                <w:szCs w:val="18"/>
                <w:lang w:val="en-US"/>
              </w:rPr>
            </w:pPr>
            <w:r w:rsidRPr="00101A2A">
              <w:rPr>
                <w:sz w:val="18"/>
                <w:szCs w:val="18"/>
                <w:lang w:val="en-US"/>
              </w:rPr>
              <w:t>0.9</w:t>
            </w:r>
            <w:r w:rsidR="00FD24DF" w:rsidRPr="00101A2A">
              <w:rPr>
                <w:sz w:val="18"/>
                <w:szCs w:val="18"/>
                <w:lang w:val="en-US"/>
              </w:rPr>
              <w:t>5</w:t>
            </w:r>
          </w:p>
        </w:tc>
        <w:tc>
          <w:tcPr>
            <w:tcW w:w="752" w:type="pct"/>
            <w:tcBorders>
              <w:left w:val="single" w:sz="4" w:space="0" w:color="auto"/>
            </w:tcBorders>
            <w:vAlign w:val="center"/>
          </w:tcPr>
          <w:p w14:paraId="7AA14E84" w14:textId="2487368C" w:rsidR="00C242C0" w:rsidRPr="00101A2A" w:rsidRDefault="00C242C0" w:rsidP="00DB69EF">
            <w:pPr>
              <w:pStyle w:val="Tables"/>
              <w:rPr>
                <w:sz w:val="18"/>
                <w:szCs w:val="18"/>
                <w:lang w:val="en-US"/>
              </w:rPr>
            </w:pPr>
            <w:r w:rsidRPr="00101A2A">
              <w:rPr>
                <w:sz w:val="18"/>
                <w:szCs w:val="18"/>
                <w:lang w:val="en-US"/>
              </w:rPr>
              <w:t>9.8</w:t>
            </w:r>
            <w:r w:rsidR="00FD24DF" w:rsidRPr="00101A2A">
              <w:rPr>
                <w:sz w:val="18"/>
                <w:szCs w:val="18"/>
                <w:lang w:val="en-US"/>
              </w:rPr>
              <w:t>0</w:t>
            </w:r>
          </w:p>
        </w:tc>
        <w:tc>
          <w:tcPr>
            <w:tcW w:w="690" w:type="pct"/>
            <w:tcBorders>
              <w:right w:val="single" w:sz="4" w:space="0" w:color="auto"/>
            </w:tcBorders>
            <w:vAlign w:val="center"/>
          </w:tcPr>
          <w:p w14:paraId="194E1BD6" w14:textId="74A8CC81" w:rsidR="00C242C0" w:rsidRPr="00101A2A" w:rsidRDefault="00C242C0" w:rsidP="00DB69EF">
            <w:pPr>
              <w:pStyle w:val="Tables"/>
              <w:rPr>
                <w:sz w:val="18"/>
                <w:szCs w:val="18"/>
                <w:lang w:val="en-US"/>
              </w:rPr>
            </w:pPr>
            <w:r w:rsidRPr="00101A2A">
              <w:rPr>
                <w:sz w:val="18"/>
                <w:szCs w:val="18"/>
                <w:lang w:val="en-US"/>
              </w:rPr>
              <w:t>0.5</w:t>
            </w:r>
            <w:r w:rsidR="00FD24DF" w:rsidRPr="00101A2A">
              <w:rPr>
                <w:sz w:val="18"/>
                <w:szCs w:val="18"/>
                <w:lang w:val="en-US"/>
              </w:rPr>
              <w:t>7</w:t>
            </w:r>
          </w:p>
        </w:tc>
        <w:tc>
          <w:tcPr>
            <w:tcW w:w="661" w:type="pct"/>
            <w:tcBorders>
              <w:left w:val="single" w:sz="4" w:space="0" w:color="auto"/>
            </w:tcBorders>
            <w:vAlign w:val="center"/>
          </w:tcPr>
          <w:p w14:paraId="648E9A36" w14:textId="508401D2" w:rsidR="00C242C0" w:rsidRPr="00101A2A" w:rsidRDefault="00C242C0" w:rsidP="00DB69EF">
            <w:pPr>
              <w:pStyle w:val="Tables"/>
              <w:rPr>
                <w:sz w:val="18"/>
                <w:szCs w:val="18"/>
                <w:lang w:val="en-US"/>
              </w:rPr>
            </w:pPr>
            <w:r w:rsidRPr="00101A2A">
              <w:rPr>
                <w:sz w:val="18"/>
                <w:szCs w:val="18"/>
                <w:lang w:val="en-US"/>
              </w:rPr>
              <w:t>-0.4</w:t>
            </w:r>
            <w:r w:rsidR="00FD24DF" w:rsidRPr="00101A2A">
              <w:rPr>
                <w:sz w:val="18"/>
                <w:szCs w:val="18"/>
                <w:lang w:val="en-US"/>
              </w:rPr>
              <w:t>0</w:t>
            </w:r>
            <w:r w:rsidRPr="00101A2A">
              <w:rPr>
                <w:sz w:val="18"/>
                <w:szCs w:val="18"/>
                <w:lang w:val="en-US"/>
              </w:rPr>
              <w:t>***</w:t>
            </w:r>
          </w:p>
        </w:tc>
      </w:tr>
      <w:tr w:rsidR="00797669" w:rsidRPr="00101A2A" w14:paraId="4A330579" w14:textId="77777777" w:rsidTr="007C58E4">
        <w:trPr>
          <w:trHeight w:val="320"/>
        </w:trPr>
        <w:tc>
          <w:tcPr>
            <w:tcW w:w="1451" w:type="pct"/>
            <w:noWrap/>
            <w:hideMark/>
          </w:tcPr>
          <w:p w14:paraId="02C2F0EB" w14:textId="77777777" w:rsidR="00C242C0" w:rsidRPr="00101A2A" w:rsidRDefault="00C242C0" w:rsidP="00DB69EF">
            <w:pPr>
              <w:pStyle w:val="Tables"/>
              <w:jc w:val="both"/>
              <w:rPr>
                <w:b/>
                <w:bCs/>
                <w:sz w:val="18"/>
                <w:szCs w:val="18"/>
                <w:lang w:val="en-US"/>
              </w:rPr>
            </w:pPr>
            <w:r w:rsidRPr="00101A2A">
              <w:rPr>
                <w:b/>
                <w:bCs/>
                <w:sz w:val="18"/>
                <w:szCs w:val="18"/>
                <w:lang w:val="en-US"/>
              </w:rPr>
              <w:t>Score location</w:t>
            </w:r>
          </w:p>
        </w:tc>
        <w:tc>
          <w:tcPr>
            <w:tcW w:w="695" w:type="pct"/>
            <w:vAlign w:val="center"/>
          </w:tcPr>
          <w:p w14:paraId="0BA125F1" w14:textId="19B1F5B5" w:rsidR="00C242C0" w:rsidRPr="00101A2A" w:rsidRDefault="00C242C0" w:rsidP="00DB69EF">
            <w:pPr>
              <w:pStyle w:val="Tables"/>
              <w:rPr>
                <w:sz w:val="18"/>
                <w:szCs w:val="18"/>
                <w:lang w:val="en-US"/>
              </w:rPr>
            </w:pPr>
            <w:r w:rsidRPr="00101A2A">
              <w:rPr>
                <w:sz w:val="18"/>
                <w:szCs w:val="18"/>
                <w:lang w:val="en-US"/>
              </w:rPr>
              <w:t>9.</w:t>
            </w:r>
            <w:r w:rsidR="00FD24DF" w:rsidRPr="00101A2A">
              <w:rPr>
                <w:sz w:val="18"/>
                <w:szCs w:val="18"/>
                <w:lang w:val="en-US"/>
              </w:rPr>
              <w:t>16</w:t>
            </w:r>
          </w:p>
        </w:tc>
        <w:tc>
          <w:tcPr>
            <w:tcW w:w="751" w:type="pct"/>
            <w:tcBorders>
              <w:right w:val="single" w:sz="4" w:space="0" w:color="auto"/>
            </w:tcBorders>
            <w:vAlign w:val="center"/>
          </w:tcPr>
          <w:p w14:paraId="4039355E" w14:textId="1373330B" w:rsidR="00C242C0" w:rsidRPr="00101A2A" w:rsidRDefault="00C242C0" w:rsidP="00DB69EF">
            <w:pPr>
              <w:pStyle w:val="Tables"/>
              <w:rPr>
                <w:sz w:val="18"/>
                <w:szCs w:val="18"/>
                <w:lang w:val="en-US"/>
              </w:rPr>
            </w:pPr>
            <w:r w:rsidRPr="00101A2A">
              <w:rPr>
                <w:sz w:val="18"/>
                <w:szCs w:val="18"/>
                <w:lang w:val="en-US"/>
              </w:rPr>
              <w:t>1.0</w:t>
            </w:r>
            <w:r w:rsidR="00FD24DF" w:rsidRPr="00101A2A">
              <w:rPr>
                <w:sz w:val="18"/>
                <w:szCs w:val="18"/>
                <w:lang w:val="en-US"/>
              </w:rPr>
              <w:t>6</w:t>
            </w:r>
          </w:p>
        </w:tc>
        <w:tc>
          <w:tcPr>
            <w:tcW w:w="752" w:type="pct"/>
            <w:tcBorders>
              <w:left w:val="single" w:sz="4" w:space="0" w:color="auto"/>
            </w:tcBorders>
            <w:vAlign w:val="center"/>
          </w:tcPr>
          <w:p w14:paraId="6DC12510" w14:textId="121BAB00" w:rsidR="00C242C0" w:rsidRPr="00101A2A" w:rsidRDefault="00C242C0" w:rsidP="00DB69EF">
            <w:pPr>
              <w:pStyle w:val="Tables"/>
              <w:rPr>
                <w:sz w:val="18"/>
                <w:szCs w:val="18"/>
                <w:lang w:val="en-US"/>
              </w:rPr>
            </w:pPr>
            <w:r w:rsidRPr="00101A2A">
              <w:rPr>
                <w:sz w:val="18"/>
                <w:szCs w:val="18"/>
                <w:lang w:val="en-US"/>
              </w:rPr>
              <w:t>9.</w:t>
            </w:r>
            <w:r w:rsidR="00FD24DF" w:rsidRPr="00101A2A">
              <w:rPr>
                <w:sz w:val="18"/>
                <w:szCs w:val="18"/>
                <w:lang w:val="en-US"/>
              </w:rPr>
              <w:t>48</w:t>
            </w:r>
          </w:p>
        </w:tc>
        <w:tc>
          <w:tcPr>
            <w:tcW w:w="690" w:type="pct"/>
            <w:tcBorders>
              <w:right w:val="single" w:sz="4" w:space="0" w:color="auto"/>
            </w:tcBorders>
            <w:vAlign w:val="center"/>
          </w:tcPr>
          <w:p w14:paraId="25B7C423" w14:textId="055311E0" w:rsidR="00C242C0" w:rsidRPr="00101A2A" w:rsidRDefault="00C242C0" w:rsidP="00DB69EF">
            <w:pPr>
              <w:pStyle w:val="Tables"/>
              <w:rPr>
                <w:sz w:val="18"/>
                <w:szCs w:val="18"/>
                <w:lang w:val="en-US"/>
              </w:rPr>
            </w:pPr>
            <w:r w:rsidRPr="00101A2A">
              <w:rPr>
                <w:sz w:val="18"/>
                <w:szCs w:val="18"/>
                <w:lang w:val="en-US"/>
              </w:rPr>
              <w:t>0.</w:t>
            </w:r>
            <w:r w:rsidR="00FD24DF" w:rsidRPr="00101A2A">
              <w:rPr>
                <w:sz w:val="18"/>
                <w:szCs w:val="18"/>
                <w:lang w:val="en-US"/>
              </w:rPr>
              <w:t>82</w:t>
            </w:r>
          </w:p>
        </w:tc>
        <w:tc>
          <w:tcPr>
            <w:tcW w:w="661" w:type="pct"/>
            <w:tcBorders>
              <w:left w:val="single" w:sz="4" w:space="0" w:color="auto"/>
            </w:tcBorders>
            <w:vAlign w:val="center"/>
          </w:tcPr>
          <w:p w14:paraId="15EC26CB" w14:textId="22A5B98D" w:rsidR="00C242C0" w:rsidRPr="00101A2A" w:rsidRDefault="00C242C0" w:rsidP="00DB69EF">
            <w:pPr>
              <w:pStyle w:val="Tables"/>
              <w:rPr>
                <w:sz w:val="18"/>
                <w:szCs w:val="18"/>
                <w:lang w:val="en-US"/>
              </w:rPr>
            </w:pPr>
            <w:r w:rsidRPr="00101A2A">
              <w:rPr>
                <w:sz w:val="18"/>
                <w:szCs w:val="18"/>
                <w:lang w:val="en-US"/>
              </w:rPr>
              <w:t>-0.31***</w:t>
            </w:r>
          </w:p>
        </w:tc>
      </w:tr>
      <w:tr w:rsidR="00797669" w:rsidRPr="00101A2A" w14:paraId="70724021" w14:textId="77777777" w:rsidTr="007C58E4">
        <w:trPr>
          <w:trHeight w:val="320"/>
        </w:trPr>
        <w:tc>
          <w:tcPr>
            <w:tcW w:w="1451" w:type="pct"/>
            <w:noWrap/>
            <w:hideMark/>
          </w:tcPr>
          <w:p w14:paraId="2265C42E" w14:textId="77777777" w:rsidR="00C242C0" w:rsidRPr="00101A2A" w:rsidRDefault="00C242C0" w:rsidP="00DB69EF">
            <w:pPr>
              <w:pStyle w:val="Tables"/>
              <w:jc w:val="both"/>
              <w:rPr>
                <w:b/>
                <w:bCs/>
                <w:sz w:val="18"/>
                <w:szCs w:val="18"/>
                <w:lang w:val="en-US"/>
              </w:rPr>
            </w:pPr>
            <w:r w:rsidRPr="00101A2A">
              <w:rPr>
                <w:b/>
                <w:bCs/>
                <w:sz w:val="18"/>
                <w:szCs w:val="18"/>
                <w:lang w:val="en-US"/>
              </w:rPr>
              <w:t>Score value</w:t>
            </w:r>
          </w:p>
        </w:tc>
        <w:tc>
          <w:tcPr>
            <w:tcW w:w="695" w:type="pct"/>
            <w:vAlign w:val="center"/>
          </w:tcPr>
          <w:p w14:paraId="3523EEA8" w14:textId="18E0979D" w:rsidR="00C242C0" w:rsidRPr="00101A2A" w:rsidRDefault="00FD24DF" w:rsidP="00DB69EF">
            <w:pPr>
              <w:pStyle w:val="Tables"/>
              <w:rPr>
                <w:sz w:val="18"/>
                <w:szCs w:val="18"/>
                <w:lang w:val="en-US"/>
              </w:rPr>
            </w:pPr>
            <w:r w:rsidRPr="00101A2A">
              <w:rPr>
                <w:sz w:val="18"/>
                <w:szCs w:val="18"/>
                <w:lang w:val="en-US"/>
              </w:rPr>
              <w:t>8.95</w:t>
            </w:r>
          </w:p>
        </w:tc>
        <w:tc>
          <w:tcPr>
            <w:tcW w:w="751" w:type="pct"/>
            <w:tcBorders>
              <w:right w:val="single" w:sz="4" w:space="0" w:color="auto"/>
            </w:tcBorders>
            <w:vAlign w:val="center"/>
          </w:tcPr>
          <w:p w14:paraId="3E87639F" w14:textId="0CAB3E07" w:rsidR="00C242C0" w:rsidRPr="00101A2A" w:rsidRDefault="00C242C0" w:rsidP="00DB69EF">
            <w:pPr>
              <w:pStyle w:val="Tables"/>
              <w:rPr>
                <w:sz w:val="18"/>
                <w:szCs w:val="18"/>
                <w:lang w:val="en-US"/>
              </w:rPr>
            </w:pPr>
            <w:r w:rsidRPr="00101A2A">
              <w:rPr>
                <w:sz w:val="18"/>
                <w:szCs w:val="18"/>
                <w:lang w:val="en-US"/>
              </w:rPr>
              <w:t>1.0</w:t>
            </w:r>
            <w:r w:rsidR="00FD24DF" w:rsidRPr="00101A2A">
              <w:rPr>
                <w:sz w:val="18"/>
                <w:szCs w:val="18"/>
                <w:lang w:val="en-US"/>
              </w:rPr>
              <w:t>3</w:t>
            </w:r>
          </w:p>
        </w:tc>
        <w:tc>
          <w:tcPr>
            <w:tcW w:w="752" w:type="pct"/>
            <w:tcBorders>
              <w:left w:val="single" w:sz="4" w:space="0" w:color="auto"/>
            </w:tcBorders>
            <w:vAlign w:val="center"/>
          </w:tcPr>
          <w:p w14:paraId="6B059444" w14:textId="6B1A64B9" w:rsidR="00C242C0" w:rsidRPr="00101A2A" w:rsidRDefault="00C242C0" w:rsidP="00DB69EF">
            <w:pPr>
              <w:pStyle w:val="Tables"/>
              <w:rPr>
                <w:sz w:val="18"/>
                <w:szCs w:val="18"/>
                <w:lang w:val="en-US"/>
              </w:rPr>
            </w:pPr>
            <w:r w:rsidRPr="00101A2A">
              <w:rPr>
                <w:sz w:val="18"/>
                <w:szCs w:val="18"/>
                <w:lang w:val="en-US"/>
              </w:rPr>
              <w:t>9.</w:t>
            </w:r>
            <w:r w:rsidR="00FD24DF" w:rsidRPr="00101A2A">
              <w:rPr>
                <w:sz w:val="18"/>
                <w:szCs w:val="18"/>
                <w:lang w:val="en-US"/>
              </w:rPr>
              <w:t>36</w:t>
            </w:r>
          </w:p>
        </w:tc>
        <w:tc>
          <w:tcPr>
            <w:tcW w:w="690" w:type="pct"/>
            <w:tcBorders>
              <w:right w:val="single" w:sz="4" w:space="0" w:color="auto"/>
            </w:tcBorders>
            <w:vAlign w:val="center"/>
          </w:tcPr>
          <w:p w14:paraId="5015D5CF" w14:textId="511B93FE" w:rsidR="00C242C0" w:rsidRPr="00101A2A" w:rsidRDefault="00C242C0" w:rsidP="00DB69EF">
            <w:pPr>
              <w:pStyle w:val="Tables"/>
              <w:rPr>
                <w:sz w:val="18"/>
                <w:szCs w:val="18"/>
                <w:lang w:val="en-US"/>
              </w:rPr>
            </w:pPr>
            <w:r w:rsidRPr="00101A2A">
              <w:rPr>
                <w:sz w:val="18"/>
                <w:szCs w:val="18"/>
                <w:lang w:val="en-US"/>
              </w:rPr>
              <w:t>0.8</w:t>
            </w:r>
            <w:r w:rsidR="00FD24DF" w:rsidRPr="00101A2A">
              <w:rPr>
                <w:sz w:val="18"/>
                <w:szCs w:val="18"/>
                <w:lang w:val="en-US"/>
              </w:rPr>
              <w:t>6</w:t>
            </w:r>
          </w:p>
        </w:tc>
        <w:tc>
          <w:tcPr>
            <w:tcW w:w="661" w:type="pct"/>
            <w:tcBorders>
              <w:left w:val="single" w:sz="4" w:space="0" w:color="auto"/>
            </w:tcBorders>
            <w:vAlign w:val="center"/>
          </w:tcPr>
          <w:p w14:paraId="70B84F9F" w14:textId="3C1504C8" w:rsidR="00C242C0" w:rsidRPr="00101A2A" w:rsidRDefault="00C242C0" w:rsidP="00DB69EF">
            <w:pPr>
              <w:pStyle w:val="Tables"/>
              <w:rPr>
                <w:sz w:val="18"/>
                <w:szCs w:val="18"/>
                <w:lang w:val="en-US"/>
              </w:rPr>
            </w:pPr>
            <w:r w:rsidRPr="00101A2A">
              <w:rPr>
                <w:sz w:val="18"/>
                <w:szCs w:val="18"/>
                <w:lang w:val="en-US"/>
              </w:rPr>
              <w:t>-0.4</w:t>
            </w:r>
            <w:r w:rsidR="00FD24DF" w:rsidRPr="00101A2A">
              <w:rPr>
                <w:sz w:val="18"/>
                <w:szCs w:val="18"/>
                <w:lang w:val="en-US"/>
              </w:rPr>
              <w:t>1</w:t>
            </w:r>
            <w:r w:rsidRPr="00101A2A">
              <w:rPr>
                <w:sz w:val="18"/>
                <w:szCs w:val="18"/>
                <w:lang w:val="en-US"/>
              </w:rPr>
              <w:t>***</w:t>
            </w:r>
          </w:p>
        </w:tc>
      </w:tr>
      <w:tr w:rsidR="00797669" w:rsidRPr="00101A2A" w14:paraId="3A18A923" w14:textId="77777777" w:rsidTr="007C58E4">
        <w:trPr>
          <w:trHeight w:val="320"/>
        </w:trPr>
        <w:tc>
          <w:tcPr>
            <w:tcW w:w="1451" w:type="pct"/>
            <w:noWrap/>
            <w:hideMark/>
          </w:tcPr>
          <w:p w14:paraId="6A1335B6" w14:textId="77777777" w:rsidR="00C242C0" w:rsidRPr="00101A2A" w:rsidRDefault="00C242C0" w:rsidP="00DB69EF">
            <w:pPr>
              <w:pStyle w:val="Tables"/>
              <w:jc w:val="both"/>
              <w:rPr>
                <w:b/>
                <w:bCs/>
                <w:sz w:val="18"/>
                <w:szCs w:val="18"/>
                <w:lang w:val="en-US"/>
              </w:rPr>
            </w:pPr>
            <w:r w:rsidRPr="00101A2A">
              <w:rPr>
                <w:b/>
                <w:bCs/>
                <w:sz w:val="18"/>
                <w:szCs w:val="18"/>
                <w:lang w:val="en-US"/>
              </w:rPr>
              <w:t>Instant booking</w:t>
            </w:r>
          </w:p>
        </w:tc>
        <w:tc>
          <w:tcPr>
            <w:tcW w:w="695" w:type="pct"/>
            <w:vAlign w:val="center"/>
          </w:tcPr>
          <w:p w14:paraId="7E006D8A" w14:textId="0A2670B1" w:rsidR="00C242C0" w:rsidRPr="00101A2A" w:rsidRDefault="00C242C0" w:rsidP="00DB69EF">
            <w:pPr>
              <w:pStyle w:val="Tables"/>
              <w:rPr>
                <w:sz w:val="18"/>
                <w:szCs w:val="18"/>
                <w:lang w:val="en-US"/>
              </w:rPr>
            </w:pPr>
            <w:r w:rsidRPr="00101A2A">
              <w:rPr>
                <w:sz w:val="18"/>
                <w:szCs w:val="18"/>
                <w:lang w:val="en-US"/>
              </w:rPr>
              <w:t>0.2</w:t>
            </w:r>
            <w:r w:rsidR="00FD24DF" w:rsidRPr="00101A2A">
              <w:rPr>
                <w:sz w:val="18"/>
                <w:szCs w:val="18"/>
                <w:lang w:val="en-US"/>
              </w:rPr>
              <w:t>0</w:t>
            </w:r>
          </w:p>
        </w:tc>
        <w:tc>
          <w:tcPr>
            <w:tcW w:w="751" w:type="pct"/>
            <w:tcBorders>
              <w:right w:val="single" w:sz="4" w:space="0" w:color="auto"/>
            </w:tcBorders>
            <w:vAlign w:val="center"/>
          </w:tcPr>
          <w:p w14:paraId="717752F2" w14:textId="07B6A470" w:rsidR="00C242C0" w:rsidRPr="00101A2A" w:rsidRDefault="00C242C0" w:rsidP="00DB69EF">
            <w:pPr>
              <w:pStyle w:val="Tables"/>
              <w:rPr>
                <w:sz w:val="18"/>
                <w:szCs w:val="18"/>
                <w:lang w:val="en-US"/>
              </w:rPr>
            </w:pPr>
            <w:r w:rsidRPr="00101A2A">
              <w:rPr>
                <w:sz w:val="18"/>
                <w:szCs w:val="18"/>
                <w:lang w:val="en-US"/>
              </w:rPr>
              <w:t>0.4</w:t>
            </w:r>
            <w:r w:rsidR="00FD24DF" w:rsidRPr="00101A2A">
              <w:rPr>
                <w:sz w:val="18"/>
                <w:szCs w:val="18"/>
                <w:lang w:val="en-US"/>
              </w:rPr>
              <w:t>0</w:t>
            </w:r>
          </w:p>
        </w:tc>
        <w:tc>
          <w:tcPr>
            <w:tcW w:w="752" w:type="pct"/>
            <w:tcBorders>
              <w:left w:val="single" w:sz="4" w:space="0" w:color="auto"/>
            </w:tcBorders>
            <w:vAlign w:val="center"/>
          </w:tcPr>
          <w:p w14:paraId="09B60C06" w14:textId="7BB54E58" w:rsidR="00C242C0" w:rsidRPr="00101A2A" w:rsidRDefault="00C242C0" w:rsidP="00DB69EF">
            <w:pPr>
              <w:pStyle w:val="Tables"/>
              <w:rPr>
                <w:sz w:val="18"/>
                <w:szCs w:val="18"/>
                <w:lang w:val="en-US"/>
              </w:rPr>
            </w:pPr>
            <w:r w:rsidRPr="00101A2A">
              <w:rPr>
                <w:sz w:val="18"/>
                <w:szCs w:val="18"/>
                <w:lang w:val="en-US"/>
              </w:rPr>
              <w:t>0.</w:t>
            </w:r>
            <w:r w:rsidR="00FD24DF" w:rsidRPr="00101A2A">
              <w:rPr>
                <w:sz w:val="18"/>
                <w:szCs w:val="18"/>
                <w:lang w:val="en-US"/>
              </w:rPr>
              <w:t>09</w:t>
            </w:r>
          </w:p>
        </w:tc>
        <w:tc>
          <w:tcPr>
            <w:tcW w:w="690" w:type="pct"/>
            <w:tcBorders>
              <w:right w:val="single" w:sz="4" w:space="0" w:color="auto"/>
            </w:tcBorders>
            <w:vAlign w:val="center"/>
          </w:tcPr>
          <w:p w14:paraId="27F7EA45" w14:textId="088CB124" w:rsidR="00C242C0" w:rsidRPr="00101A2A" w:rsidRDefault="00C242C0" w:rsidP="00DB69EF">
            <w:pPr>
              <w:pStyle w:val="Tables"/>
              <w:rPr>
                <w:sz w:val="18"/>
                <w:szCs w:val="18"/>
                <w:lang w:val="en-US"/>
              </w:rPr>
            </w:pPr>
            <w:r w:rsidRPr="00101A2A">
              <w:rPr>
                <w:sz w:val="18"/>
                <w:szCs w:val="18"/>
                <w:lang w:val="en-US"/>
              </w:rPr>
              <w:t>0.</w:t>
            </w:r>
            <w:r w:rsidR="00FD24DF" w:rsidRPr="00101A2A">
              <w:rPr>
                <w:sz w:val="18"/>
                <w:szCs w:val="18"/>
                <w:lang w:val="en-US"/>
              </w:rPr>
              <w:t>28</w:t>
            </w:r>
          </w:p>
        </w:tc>
        <w:tc>
          <w:tcPr>
            <w:tcW w:w="661" w:type="pct"/>
            <w:tcBorders>
              <w:left w:val="single" w:sz="4" w:space="0" w:color="auto"/>
            </w:tcBorders>
            <w:vAlign w:val="center"/>
          </w:tcPr>
          <w:p w14:paraId="6CE3135C" w14:textId="6E98D11D" w:rsidR="00C242C0" w:rsidRPr="00101A2A" w:rsidRDefault="00C242C0" w:rsidP="00DB69EF">
            <w:pPr>
              <w:pStyle w:val="Tables"/>
              <w:rPr>
                <w:sz w:val="18"/>
                <w:szCs w:val="18"/>
                <w:lang w:val="en-US"/>
              </w:rPr>
            </w:pPr>
            <w:r w:rsidRPr="00101A2A">
              <w:rPr>
                <w:sz w:val="18"/>
                <w:szCs w:val="18"/>
                <w:lang w:val="en-US"/>
              </w:rPr>
              <w:t>0.1</w:t>
            </w:r>
            <w:r w:rsidR="00FD24DF" w:rsidRPr="00101A2A">
              <w:rPr>
                <w:sz w:val="18"/>
                <w:szCs w:val="18"/>
                <w:lang w:val="en-US"/>
              </w:rPr>
              <w:t>2</w:t>
            </w:r>
            <w:r w:rsidRPr="00101A2A">
              <w:rPr>
                <w:sz w:val="18"/>
                <w:szCs w:val="18"/>
                <w:lang w:val="en-US"/>
              </w:rPr>
              <w:t>***</w:t>
            </w:r>
          </w:p>
        </w:tc>
      </w:tr>
      <w:tr w:rsidR="00797669" w:rsidRPr="00101A2A" w14:paraId="651D3A68" w14:textId="77777777" w:rsidTr="007C58E4">
        <w:trPr>
          <w:trHeight w:val="320"/>
        </w:trPr>
        <w:tc>
          <w:tcPr>
            <w:tcW w:w="1451" w:type="pct"/>
            <w:noWrap/>
            <w:hideMark/>
          </w:tcPr>
          <w:p w14:paraId="5F1D74A3" w14:textId="77777777" w:rsidR="00C242C0" w:rsidRPr="00101A2A" w:rsidRDefault="00C242C0" w:rsidP="00DB69EF">
            <w:pPr>
              <w:pStyle w:val="Tables"/>
              <w:jc w:val="both"/>
              <w:rPr>
                <w:b/>
                <w:bCs/>
                <w:sz w:val="18"/>
                <w:szCs w:val="18"/>
                <w:lang w:val="en-US"/>
              </w:rPr>
            </w:pPr>
            <w:r w:rsidRPr="00101A2A">
              <w:rPr>
                <w:b/>
                <w:bCs/>
                <w:sz w:val="18"/>
                <w:szCs w:val="18"/>
                <w:lang w:val="en-US"/>
              </w:rPr>
              <w:t>Cancellation policy</w:t>
            </w:r>
          </w:p>
        </w:tc>
        <w:tc>
          <w:tcPr>
            <w:tcW w:w="695" w:type="pct"/>
            <w:vAlign w:val="center"/>
          </w:tcPr>
          <w:p w14:paraId="081071A7" w14:textId="47E238FE" w:rsidR="00C242C0" w:rsidRPr="00101A2A" w:rsidRDefault="00FD24DF" w:rsidP="00DB69EF">
            <w:pPr>
              <w:pStyle w:val="Tables"/>
              <w:rPr>
                <w:sz w:val="18"/>
                <w:szCs w:val="18"/>
                <w:lang w:val="en-US"/>
              </w:rPr>
            </w:pPr>
            <w:r w:rsidRPr="00101A2A">
              <w:rPr>
                <w:sz w:val="18"/>
                <w:szCs w:val="18"/>
                <w:lang w:val="en-US"/>
              </w:rPr>
              <w:t>2.57</w:t>
            </w:r>
          </w:p>
        </w:tc>
        <w:tc>
          <w:tcPr>
            <w:tcW w:w="751" w:type="pct"/>
            <w:tcBorders>
              <w:right w:val="single" w:sz="4" w:space="0" w:color="auto"/>
            </w:tcBorders>
            <w:vAlign w:val="center"/>
          </w:tcPr>
          <w:p w14:paraId="79E4BE60" w14:textId="1D9C8653" w:rsidR="00C242C0" w:rsidRPr="00101A2A" w:rsidRDefault="00C242C0" w:rsidP="00DB69EF">
            <w:pPr>
              <w:pStyle w:val="Tables"/>
              <w:rPr>
                <w:sz w:val="18"/>
                <w:szCs w:val="18"/>
                <w:lang w:val="en-US"/>
              </w:rPr>
            </w:pPr>
            <w:r w:rsidRPr="00101A2A">
              <w:rPr>
                <w:sz w:val="18"/>
                <w:szCs w:val="18"/>
                <w:lang w:val="en-US"/>
              </w:rPr>
              <w:t>0.7</w:t>
            </w:r>
            <w:r w:rsidR="00FD24DF" w:rsidRPr="00101A2A">
              <w:rPr>
                <w:sz w:val="18"/>
                <w:szCs w:val="18"/>
                <w:lang w:val="en-US"/>
              </w:rPr>
              <w:t>8</w:t>
            </w:r>
          </w:p>
        </w:tc>
        <w:tc>
          <w:tcPr>
            <w:tcW w:w="752" w:type="pct"/>
            <w:tcBorders>
              <w:left w:val="single" w:sz="4" w:space="0" w:color="auto"/>
            </w:tcBorders>
            <w:vAlign w:val="center"/>
          </w:tcPr>
          <w:p w14:paraId="5768573E" w14:textId="49C08543" w:rsidR="00C242C0" w:rsidRPr="00101A2A" w:rsidRDefault="00FD24DF" w:rsidP="00DB69EF">
            <w:pPr>
              <w:pStyle w:val="Tables"/>
              <w:rPr>
                <w:sz w:val="18"/>
                <w:szCs w:val="18"/>
                <w:lang w:val="en-US"/>
              </w:rPr>
            </w:pPr>
            <w:r w:rsidRPr="00101A2A">
              <w:rPr>
                <w:sz w:val="18"/>
                <w:szCs w:val="18"/>
                <w:lang w:val="en-US"/>
              </w:rPr>
              <w:t>1.94</w:t>
            </w:r>
          </w:p>
        </w:tc>
        <w:tc>
          <w:tcPr>
            <w:tcW w:w="690" w:type="pct"/>
            <w:tcBorders>
              <w:right w:val="single" w:sz="4" w:space="0" w:color="auto"/>
            </w:tcBorders>
            <w:vAlign w:val="center"/>
          </w:tcPr>
          <w:p w14:paraId="58E7D4CA" w14:textId="2F2E7B35" w:rsidR="00C242C0" w:rsidRPr="00101A2A" w:rsidRDefault="00C242C0" w:rsidP="00DB69EF">
            <w:pPr>
              <w:pStyle w:val="Tables"/>
              <w:rPr>
                <w:sz w:val="18"/>
                <w:szCs w:val="18"/>
                <w:lang w:val="en-US"/>
              </w:rPr>
            </w:pPr>
            <w:r w:rsidRPr="00101A2A">
              <w:rPr>
                <w:sz w:val="18"/>
                <w:szCs w:val="18"/>
                <w:lang w:val="en-US"/>
              </w:rPr>
              <w:t>0.8</w:t>
            </w:r>
            <w:r w:rsidR="00FD24DF" w:rsidRPr="00101A2A">
              <w:rPr>
                <w:sz w:val="18"/>
                <w:szCs w:val="18"/>
                <w:lang w:val="en-US"/>
              </w:rPr>
              <w:t>4</w:t>
            </w:r>
          </w:p>
        </w:tc>
        <w:tc>
          <w:tcPr>
            <w:tcW w:w="661" w:type="pct"/>
            <w:tcBorders>
              <w:left w:val="single" w:sz="4" w:space="0" w:color="auto"/>
            </w:tcBorders>
            <w:vAlign w:val="center"/>
          </w:tcPr>
          <w:p w14:paraId="50DB3F78" w14:textId="4BEBC6E5" w:rsidR="00C242C0" w:rsidRPr="00101A2A" w:rsidRDefault="00C242C0" w:rsidP="00DB69EF">
            <w:pPr>
              <w:pStyle w:val="Tables"/>
              <w:rPr>
                <w:sz w:val="18"/>
                <w:szCs w:val="18"/>
                <w:lang w:val="en-US"/>
              </w:rPr>
            </w:pPr>
            <w:r w:rsidRPr="00101A2A">
              <w:rPr>
                <w:sz w:val="18"/>
                <w:szCs w:val="18"/>
                <w:lang w:val="en-US"/>
              </w:rPr>
              <w:t>0.</w:t>
            </w:r>
            <w:r w:rsidR="00FD24DF" w:rsidRPr="00101A2A">
              <w:rPr>
                <w:sz w:val="18"/>
                <w:szCs w:val="18"/>
                <w:lang w:val="en-US"/>
              </w:rPr>
              <w:t>6</w:t>
            </w:r>
            <w:r w:rsidRPr="00101A2A">
              <w:rPr>
                <w:sz w:val="18"/>
                <w:szCs w:val="18"/>
                <w:lang w:val="en-US"/>
              </w:rPr>
              <w:t>3***</w:t>
            </w:r>
          </w:p>
        </w:tc>
      </w:tr>
      <w:tr w:rsidR="00797669" w:rsidRPr="00101A2A" w14:paraId="730AC2E6" w14:textId="77777777" w:rsidTr="007C58E4">
        <w:trPr>
          <w:trHeight w:val="320"/>
        </w:trPr>
        <w:tc>
          <w:tcPr>
            <w:tcW w:w="1451" w:type="pct"/>
            <w:tcBorders>
              <w:bottom w:val="single" w:sz="4" w:space="0" w:color="auto"/>
            </w:tcBorders>
            <w:noWrap/>
            <w:hideMark/>
          </w:tcPr>
          <w:p w14:paraId="2D569028" w14:textId="77777777" w:rsidR="00C242C0" w:rsidRPr="00101A2A" w:rsidRDefault="00C242C0" w:rsidP="00DB69EF">
            <w:pPr>
              <w:pStyle w:val="Tables"/>
              <w:jc w:val="both"/>
              <w:rPr>
                <w:b/>
                <w:bCs/>
                <w:sz w:val="18"/>
                <w:szCs w:val="18"/>
                <w:lang w:val="en-US"/>
              </w:rPr>
            </w:pPr>
            <w:r w:rsidRPr="00101A2A">
              <w:rPr>
                <w:b/>
                <w:bCs/>
                <w:sz w:val="18"/>
                <w:szCs w:val="18"/>
                <w:lang w:val="en-US"/>
              </w:rPr>
              <w:t>Reviews per month</w:t>
            </w:r>
          </w:p>
        </w:tc>
        <w:tc>
          <w:tcPr>
            <w:tcW w:w="695" w:type="pct"/>
            <w:tcBorders>
              <w:bottom w:val="single" w:sz="4" w:space="0" w:color="auto"/>
            </w:tcBorders>
            <w:vAlign w:val="center"/>
          </w:tcPr>
          <w:p w14:paraId="6CE52958" w14:textId="271E6552" w:rsidR="00C242C0" w:rsidRPr="00101A2A" w:rsidRDefault="00C242C0" w:rsidP="00DB69EF">
            <w:pPr>
              <w:pStyle w:val="Tables"/>
              <w:rPr>
                <w:sz w:val="18"/>
                <w:szCs w:val="18"/>
                <w:lang w:val="en-US"/>
              </w:rPr>
            </w:pPr>
            <w:r w:rsidRPr="00101A2A">
              <w:rPr>
                <w:sz w:val="18"/>
                <w:szCs w:val="18"/>
                <w:lang w:val="en-US"/>
              </w:rPr>
              <w:t>1.7</w:t>
            </w:r>
            <w:r w:rsidR="00FD24DF" w:rsidRPr="00101A2A">
              <w:rPr>
                <w:sz w:val="18"/>
                <w:szCs w:val="18"/>
                <w:lang w:val="en-US"/>
              </w:rPr>
              <w:t>8</w:t>
            </w:r>
          </w:p>
        </w:tc>
        <w:tc>
          <w:tcPr>
            <w:tcW w:w="751" w:type="pct"/>
            <w:tcBorders>
              <w:bottom w:val="single" w:sz="4" w:space="0" w:color="auto"/>
              <w:right w:val="single" w:sz="4" w:space="0" w:color="auto"/>
            </w:tcBorders>
            <w:vAlign w:val="center"/>
          </w:tcPr>
          <w:p w14:paraId="2E6FF481" w14:textId="70A27BC4" w:rsidR="00C242C0" w:rsidRPr="00101A2A" w:rsidRDefault="00C242C0" w:rsidP="00DB69EF">
            <w:pPr>
              <w:pStyle w:val="Tables"/>
              <w:rPr>
                <w:sz w:val="18"/>
                <w:szCs w:val="18"/>
                <w:lang w:val="en-US"/>
              </w:rPr>
            </w:pPr>
            <w:r w:rsidRPr="00101A2A">
              <w:rPr>
                <w:sz w:val="18"/>
                <w:szCs w:val="18"/>
                <w:lang w:val="en-US"/>
              </w:rPr>
              <w:t>1.7</w:t>
            </w:r>
            <w:r w:rsidR="00FD24DF" w:rsidRPr="00101A2A">
              <w:rPr>
                <w:sz w:val="18"/>
                <w:szCs w:val="18"/>
                <w:lang w:val="en-US"/>
              </w:rPr>
              <w:t>1</w:t>
            </w:r>
          </w:p>
        </w:tc>
        <w:tc>
          <w:tcPr>
            <w:tcW w:w="752" w:type="pct"/>
            <w:tcBorders>
              <w:left w:val="single" w:sz="4" w:space="0" w:color="auto"/>
              <w:bottom w:val="single" w:sz="4" w:space="0" w:color="auto"/>
            </w:tcBorders>
            <w:vAlign w:val="center"/>
          </w:tcPr>
          <w:p w14:paraId="1803C31F" w14:textId="35758BFA" w:rsidR="00C242C0" w:rsidRPr="00101A2A" w:rsidRDefault="00C242C0" w:rsidP="00DB69EF">
            <w:pPr>
              <w:pStyle w:val="Tables"/>
              <w:rPr>
                <w:sz w:val="18"/>
                <w:szCs w:val="18"/>
                <w:lang w:val="en-US"/>
              </w:rPr>
            </w:pPr>
            <w:r w:rsidRPr="00101A2A">
              <w:rPr>
                <w:sz w:val="18"/>
                <w:szCs w:val="18"/>
                <w:lang w:val="en-US"/>
              </w:rPr>
              <w:t>1.</w:t>
            </w:r>
            <w:r w:rsidR="00FD24DF" w:rsidRPr="00101A2A">
              <w:rPr>
                <w:sz w:val="18"/>
                <w:szCs w:val="18"/>
                <w:lang w:val="en-US"/>
              </w:rPr>
              <w:t>66</w:t>
            </w:r>
          </w:p>
        </w:tc>
        <w:tc>
          <w:tcPr>
            <w:tcW w:w="690" w:type="pct"/>
            <w:tcBorders>
              <w:bottom w:val="single" w:sz="4" w:space="0" w:color="auto"/>
              <w:right w:val="single" w:sz="4" w:space="0" w:color="auto"/>
            </w:tcBorders>
            <w:vAlign w:val="center"/>
          </w:tcPr>
          <w:p w14:paraId="63612FF6" w14:textId="313B3EBC" w:rsidR="00C242C0" w:rsidRPr="00101A2A" w:rsidRDefault="00C242C0" w:rsidP="00DB69EF">
            <w:pPr>
              <w:pStyle w:val="Tables"/>
              <w:rPr>
                <w:sz w:val="18"/>
                <w:szCs w:val="18"/>
                <w:lang w:val="en-US"/>
              </w:rPr>
            </w:pPr>
            <w:r w:rsidRPr="00101A2A">
              <w:rPr>
                <w:sz w:val="18"/>
                <w:szCs w:val="18"/>
                <w:lang w:val="en-US"/>
              </w:rPr>
              <w:t>1.6</w:t>
            </w:r>
            <w:r w:rsidR="00FD24DF" w:rsidRPr="00101A2A">
              <w:rPr>
                <w:sz w:val="18"/>
                <w:szCs w:val="18"/>
                <w:lang w:val="en-US"/>
              </w:rPr>
              <w:t>1</w:t>
            </w:r>
          </w:p>
        </w:tc>
        <w:tc>
          <w:tcPr>
            <w:tcW w:w="661" w:type="pct"/>
            <w:tcBorders>
              <w:left w:val="single" w:sz="4" w:space="0" w:color="auto"/>
              <w:bottom w:val="single" w:sz="4" w:space="0" w:color="auto"/>
            </w:tcBorders>
            <w:vAlign w:val="center"/>
          </w:tcPr>
          <w:p w14:paraId="2279D6F2" w14:textId="7DBE2505" w:rsidR="00C242C0" w:rsidRPr="00101A2A" w:rsidRDefault="00C242C0" w:rsidP="00DB69EF">
            <w:pPr>
              <w:pStyle w:val="Tables"/>
              <w:rPr>
                <w:sz w:val="18"/>
                <w:szCs w:val="18"/>
                <w:lang w:val="en-US"/>
              </w:rPr>
            </w:pPr>
            <w:r w:rsidRPr="00101A2A">
              <w:rPr>
                <w:sz w:val="18"/>
                <w:szCs w:val="18"/>
                <w:lang w:val="en-US"/>
              </w:rPr>
              <w:t>0.1</w:t>
            </w:r>
            <w:r w:rsidR="00FD24DF" w:rsidRPr="00101A2A">
              <w:rPr>
                <w:sz w:val="18"/>
                <w:szCs w:val="18"/>
                <w:lang w:val="en-US"/>
              </w:rPr>
              <w:t>2</w:t>
            </w:r>
            <w:r w:rsidRPr="00101A2A">
              <w:rPr>
                <w:sz w:val="18"/>
                <w:szCs w:val="18"/>
                <w:lang w:val="en-US"/>
              </w:rPr>
              <w:t>***</w:t>
            </w:r>
          </w:p>
        </w:tc>
      </w:tr>
      <w:tr w:rsidR="00392E51" w:rsidRPr="00101A2A" w14:paraId="5C20E1E2" w14:textId="77777777" w:rsidTr="007C58E4">
        <w:trPr>
          <w:trHeight w:val="320"/>
        </w:trPr>
        <w:tc>
          <w:tcPr>
            <w:tcW w:w="5000" w:type="pct"/>
            <w:gridSpan w:val="6"/>
            <w:tcBorders>
              <w:top w:val="single" w:sz="4" w:space="0" w:color="auto"/>
            </w:tcBorders>
            <w:noWrap/>
            <w:vAlign w:val="center"/>
          </w:tcPr>
          <w:p w14:paraId="66F4E5CD" w14:textId="2405504B" w:rsidR="00392E51" w:rsidRPr="00101A2A" w:rsidRDefault="00392E51" w:rsidP="00DB69EF">
            <w:pPr>
              <w:pStyle w:val="Tables"/>
              <w:jc w:val="left"/>
              <w:rPr>
                <w:sz w:val="18"/>
                <w:szCs w:val="18"/>
                <w:lang w:val="en-US"/>
              </w:rPr>
            </w:pPr>
            <w:r w:rsidRPr="00101A2A">
              <w:rPr>
                <w:sz w:val="18"/>
                <w:szCs w:val="18"/>
                <w:lang w:val="en-US"/>
              </w:rPr>
              <w:t xml:space="preserve">Note: *p &lt; 0.05; **p &lt; 0.01; ***p &lt; 0.001 </w:t>
            </w:r>
          </w:p>
        </w:tc>
      </w:tr>
    </w:tbl>
    <w:p w14:paraId="50530315" w14:textId="77777777" w:rsidR="0062564D" w:rsidRPr="00101A2A" w:rsidRDefault="0062564D" w:rsidP="009B4A6E">
      <w:pPr>
        <w:ind w:firstLine="0"/>
        <w:sectPr w:rsidR="0062564D" w:rsidRPr="00101A2A" w:rsidSect="00304811">
          <w:footerReference w:type="even" r:id="rId11"/>
          <w:footerReference w:type="default" r:id="rId12"/>
          <w:pgSz w:w="12240" w:h="15840"/>
          <w:pgMar w:top="1440" w:right="1440" w:bottom="1440" w:left="1440" w:header="720" w:footer="720" w:gutter="0"/>
          <w:cols w:space="720"/>
          <w:docGrid w:linePitch="360"/>
        </w:sectPr>
      </w:pPr>
    </w:p>
    <w:p w14:paraId="0C21E027" w14:textId="0BA1243D" w:rsidR="00354418" w:rsidRPr="00101A2A" w:rsidRDefault="00C27C7C" w:rsidP="00DB69EF">
      <w:pPr>
        <w:ind w:firstLine="0"/>
        <w:rPr>
          <w:b/>
          <w:bCs/>
        </w:rPr>
      </w:pPr>
      <w:r w:rsidRPr="00101A2A">
        <w:rPr>
          <w:b/>
          <w:bCs/>
        </w:rPr>
        <w:lastRenderedPageBreak/>
        <w:t xml:space="preserve">Table </w:t>
      </w:r>
      <w:r w:rsidR="009B4A6E" w:rsidRPr="00101A2A">
        <w:rPr>
          <w:b/>
          <w:bCs/>
        </w:rPr>
        <w:t>2</w:t>
      </w:r>
      <w:r w:rsidRPr="00101A2A">
        <w:rPr>
          <w:b/>
          <w:bCs/>
        </w:rPr>
        <w:t xml:space="preserve">: </w:t>
      </w:r>
      <w:r w:rsidR="00E42864" w:rsidRPr="00101A2A">
        <w:rPr>
          <w:b/>
          <w:bCs/>
        </w:rPr>
        <w:t>C</w:t>
      </w:r>
      <w:r w:rsidRPr="00101A2A">
        <w:rPr>
          <w:b/>
          <w:bCs/>
        </w:rPr>
        <w:t xml:space="preserve">orrelation matrix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0"/>
        <w:gridCol w:w="990"/>
        <w:gridCol w:w="900"/>
        <w:gridCol w:w="900"/>
        <w:gridCol w:w="996"/>
        <w:gridCol w:w="801"/>
        <w:gridCol w:w="801"/>
        <w:gridCol w:w="801"/>
        <w:gridCol w:w="801"/>
        <w:gridCol w:w="801"/>
        <w:gridCol w:w="741"/>
        <w:gridCol w:w="801"/>
        <w:gridCol w:w="801"/>
        <w:gridCol w:w="396"/>
      </w:tblGrid>
      <w:tr w:rsidR="00CB6C0D" w:rsidRPr="00101A2A" w14:paraId="591E9E55" w14:textId="77777777" w:rsidTr="00CB6C0D">
        <w:trPr>
          <w:trHeight w:val="260"/>
        </w:trPr>
        <w:tc>
          <w:tcPr>
            <w:tcW w:w="2430" w:type="dxa"/>
            <w:tcBorders>
              <w:top w:val="single" w:sz="4" w:space="0" w:color="auto"/>
              <w:bottom w:val="single" w:sz="4" w:space="0" w:color="auto"/>
            </w:tcBorders>
            <w:vAlign w:val="center"/>
          </w:tcPr>
          <w:p w14:paraId="47B4729C" w14:textId="77777777" w:rsidR="00CB6C0D" w:rsidRPr="00101A2A" w:rsidRDefault="00CB6C0D" w:rsidP="00686921">
            <w:pPr>
              <w:pStyle w:val="Table"/>
              <w:rPr>
                <w:sz w:val="18"/>
                <w:szCs w:val="18"/>
                <w:lang w:val="en-US"/>
              </w:rPr>
            </w:pPr>
          </w:p>
        </w:tc>
        <w:tc>
          <w:tcPr>
            <w:tcW w:w="990" w:type="dxa"/>
            <w:tcBorders>
              <w:top w:val="single" w:sz="4" w:space="0" w:color="auto"/>
              <w:bottom w:val="single" w:sz="4" w:space="0" w:color="auto"/>
            </w:tcBorders>
            <w:noWrap/>
            <w:vAlign w:val="center"/>
            <w:hideMark/>
          </w:tcPr>
          <w:p w14:paraId="399EDEC5" w14:textId="77777777" w:rsidR="00CB6C0D" w:rsidRPr="00101A2A" w:rsidRDefault="00CB6C0D" w:rsidP="00686921">
            <w:pPr>
              <w:pStyle w:val="Table"/>
              <w:rPr>
                <w:b/>
                <w:bCs/>
                <w:sz w:val="18"/>
                <w:szCs w:val="18"/>
                <w:lang w:val="en-US"/>
              </w:rPr>
            </w:pPr>
            <w:r w:rsidRPr="00101A2A">
              <w:rPr>
                <w:b/>
                <w:bCs/>
                <w:sz w:val="18"/>
                <w:szCs w:val="18"/>
                <w:lang w:val="en-US"/>
              </w:rPr>
              <w:t>1</w:t>
            </w:r>
          </w:p>
        </w:tc>
        <w:tc>
          <w:tcPr>
            <w:tcW w:w="900" w:type="dxa"/>
            <w:tcBorders>
              <w:top w:val="single" w:sz="4" w:space="0" w:color="auto"/>
              <w:bottom w:val="single" w:sz="4" w:space="0" w:color="auto"/>
            </w:tcBorders>
            <w:noWrap/>
            <w:vAlign w:val="center"/>
            <w:hideMark/>
          </w:tcPr>
          <w:p w14:paraId="1ED4F5E6" w14:textId="77777777" w:rsidR="00CB6C0D" w:rsidRPr="00101A2A" w:rsidRDefault="00CB6C0D" w:rsidP="00686921">
            <w:pPr>
              <w:pStyle w:val="Table"/>
              <w:rPr>
                <w:b/>
                <w:bCs/>
                <w:sz w:val="18"/>
                <w:szCs w:val="18"/>
                <w:lang w:val="en-US"/>
              </w:rPr>
            </w:pPr>
            <w:r w:rsidRPr="00101A2A">
              <w:rPr>
                <w:b/>
                <w:bCs/>
                <w:sz w:val="18"/>
                <w:szCs w:val="18"/>
                <w:lang w:val="en-US"/>
              </w:rPr>
              <w:t>2</w:t>
            </w:r>
          </w:p>
        </w:tc>
        <w:tc>
          <w:tcPr>
            <w:tcW w:w="900" w:type="dxa"/>
            <w:tcBorders>
              <w:top w:val="single" w:sz="4" w:space="0" w:color="auto"/>
              <w:bottom w:val="single" w:sz="4" w:space="0" w:color="auto"/>
            </w:tcBorders>
            <w:noWrap/>
            <w:vAlign w:val="center"/>
            <w:hideMark/>
          </w:tcPr>
          <w:p w14:paraId="6AEA3339" w14:textId="77777777" w:rsidR="00CB6C0D" w:rsidRPr="00101A2A" w:rsidRDefault="00CB6C0D" w:rsidP="00686921">
            <w:pPr>
              <w:pStyle w:val="Table"/>
              <w:rPr>
                <w:b/>
                <w:bCs/>
                <w:sz w:val="18"/>
                <w:szCs w:val="18"/>
                <w:lang w:val="en-US"/>
              </w:rPr>
            </w:pPr>
            <w:r w:rsidRPr="00101A2A">
              <w:rPr>
                <w:b/>
                <w:bCs/>
                <w:sz w:val="18"/>
                <w:szCs w:val="18"/>
                <w:lang w:val="en-US"/>
              </w:rPr>
              <w:t>3</w:t>
            </w:r>
          </w:p>
        </w:tc>
        <w:tc>
          <w:tcPr>
            <w:tcW w:w="996" w:type="dxa"/>
            <w:tcBorders>
              <w:top w:val="single" w:sz="4" w:space="0" w:color="auto"/>
              <w:bottom w:val="single" w:sz="4" w:space="0" w:color="auto"/>
            </w:tcBorders>
            <w:vAlign w:val="center"/>
          </w:tcPr>
          <w:p w14:paraId="35BBF42A" w14:textId="77777777" w:rsidR="00CB6C0D" w:rsidRPr="00101A2A" w:rsidRDefault="00CB6C0D" w:rsidP="00686921">
            <w:pPr>
              <w:pStyle w:val="Table"/>
              <w:rPr>
                <w:b/>
                <w:bCs/>
                <w:sz w:val="18"/>
                <w:szCs w:val="18"/>
                <w:lang w:val="en-US"/>
              </w:rPr>
            </w:pPr>
            <w:r w:rsidRPr="00101A2A">
              <w:rPr>
                <w:b/>
                <w:bCs/>
                <w:sz w:val="18"/>
                <w:szCs w:val="18"/>
                <w:lang w:val="en-US"/>
              </w:rPr>
              <w:t>4</w:t>
            </w:r>
          </w:p>
        </w:tc>
        <w:tc>
          <w:tcPr>
            <w:tcW w:w="0" w:type="auto"/>
            <w:tcBorders>
              <w:top w:val="single" w:sz="4" w:space="0" w:color="auto"/>
              <w:bottom w:val="single" w:sz="4" w:space="0" w:color="auto"/>
            </w:tcBorders>
            <w:noWrap/>
            <w:vAlign w:val="center"/>
            <w:hideMark/>
          </w:tcPr>
          <w:p w14:paraId="0692BCAA" w14:textId="77777777" w:rsidR="00CB6C0D" w:rsidRPr="00101A2A" w:rsidRDefault="00CB6C0D" w:rsidP="00686921">
            <w:pPr>
              <w:pStyle w:val="Table"/>
              <w:rPr>
                <w:b/>
                <w:bCs/>
                <w:sz w:val="18"/>
                <w:szCs w:val="18"/>
                <w:lang w:val="en-US"/>
              </w:rPr>
            </w:pPr>
            <w:r w:rsidRPr="00101A2A">
              <w:rPr>
                <w:b/>
                <w:bCs/>
                <w:sz w:val="18"/>
                <w:szCs w:val="18"/>
                <w:lang w:val="en-US"/>
              </w:rPr>
              <w:t>5</w:t>
            </w:r>
          </w:p>
        </w:tc>
        <w:tc>
          <w:tcPr>
            <w:tcW w:w="0" w:type="auto"/>
            <w:tcBorders>
              <w:top w:val="single" w:sz="4" w:space="0" w:color="auto"/>
              <w:bottom w:val="single" w:sz="4" w:space="0" w:color="auto"/>
            </w:tcBorders>
            <w:noWrap/>
            <w:vAlign w:val="center"/>
            <w:hideMark/>
          </w:tcPr>
          <w:p w14:paraId="465C6B39" w14:textId="77777777" w:rsidR="00CB6C0D" w:rsidRPr="00101A2A" w:rsidRDefault="00CB6C0D" w:rsidP="00686921">
            <w:pPr>
              <w:pStyle w:val="Table"/>
              <w:rPr>
                <w:b/>
                <w:bCs/>
                <w:sz w:val="18"/>
                <w:szCs w:val="18"/>
                <w:lang w:val="en-US"/>
              </w:rPr>
            </w:pPr>
            <w:r w:rsidRPr="00101A2A">
              <w:rPr>
                <w:b/>
                <w:bCs/>
                <w:sz w:val="18"/>
                <w:szCs w:val="18"/>
                <w:lang w:val="en-US"/>
              </w:rPr>
              <w:t>6</w:t>
            </w:r>
          </w:p>
        </w:tc>
        <w:tc>
          <w:tcPr>
            <w:tcW w:w="0" w:type="auto"/>
            <w:tcBorders>
              <w:top w:val="single" w:sz="4" w:space="0" w:color="auto"/>
              <w:bottom w:val="single" w:sz="4" w:space="0" w:color="auto"/>
            </w:tcBorders>
            <w:noWrap/>
            <w:vAlign w:val="center"/>
            <w:hideMark/>
          </w:tcPr>
          <w:p w14:paraId="628A3CA7" w14:textId="77777777" w:rsidR="00CB6C0D" w:rsidRPr="00101A2A" w:rsidRDefault="00CB6C0D" w:rsidP="00686921">
            <w:pPr>
              <w:pStyle w:val="Table"/>
              <w:rPr>
                <w:b/>
                <w:bCs/>
                <w:sz w:val="18"/>
                <w:szCs w:val="18"/>
                <w:lang w:val="en-US"/>
              </w:rPr>
            </w:pPr>
            <w:r w:rsidRPr="00101A2A">
              <w:rPr>
                <w:b/>
                <w:bCs/>
                <w:sz w:val="18"/>
                <w:szCs w:val="18"/>
                <w:lang w:val="en-US"/>
              </w:rPr>
              <w:t>7</w:t>
            </w:r>
          </w:p>
        </w:tc>
        <w:tc>
          <w:tcPr>
            <w:tcW w:w="0" w:type="auto"/>
            <w:tcBorders>
              <w:top w:val="single" w:sz="4" w:space="0" w:color="auto"/>
              <w:bottom w:val="single" w:sz="4" w:space="0" w:color="auto"/>
            </w:tcBorders>
            <w:noWrap/>
            <w:vAlign w:val="center"/>
            <w:hideMark/>
          </w:tcPr>
          <w:p w14:paraId="6C45AF6D" w14:textId="77777777" w:rsidR="00CB6C0D" w:rsidRPr="00101A2A" w:rsidRDefault="00CB6C0D" w:rsidP="00686921">
            <w:pPr>
              <w:pStyle w:val="Table"/>
              <w:rPr>
                <w:b/>
                <w:bCs/>
                <w:sz w:val="18"/>
                <w:szCs w:val="18"/>
                <w:lang w:val="en-US"/>
              </w:rPr>
            </w:pPr>
            <w:r w:rsidRPr="00101A2A">
              <w:rPr>
                <w:b/>
                <w:bCs/>
                <w:sz w:val="18"/>
                <w:szCs w:val="18"/>
                <w:lang w:val="en-US"/>
              </w:rPr>
              <w:t>8</w:t>
            </w:r>
          </w:p>
        </w:tc>
        <w:tc>
          <w:tcPr>
            <w:tcW w:w="0" w:type="auto"/>
            <w:tcBorders>
              <w:top w:val="single" w:sz="4" w:space="0" w:color="auto"/>
              <w:bottom w:val="single" w:sz="4" w:space="0" w:color="auto"/>
            </w:tcBorders>
            <w:noWrap/>
            <w:vAlign w:val="center"/>
            <w:hideMark/>
          </w:tcPr>
          <w:p w14:paraId="4867E3DB" w14:textId="77777777" w:rsidR="00CB6C0D" w:rsidRPr="00101A2A" w:rsidRDefault="00CB6C0D" w:rsidP="00686921">
            <w:pPr>
              <w:pStyle w:val="Table"/>
              <w:rPr>
                <w:b/>
                <w:bCs/>
                <w:sz w:val="18"/>
                <w:szCs w:val="18"/>
                <w:lang w:val="en-US"/>
              </w:rPr>
            </w:pPr>
            <w:r w:rsidRPr="00101A2A">
              <w:rPr>
                <w:b/>
                <w:bCs/>
                <w:sz w:val="18"/>
                <w:szCs w:val="18"/>
                <w:lang w:val="en-US"/>
              </w:rPr>
              <w:t>9</w:t>
            </w:r>
          </w:p>
        </w:tc>
        <w:tc>
          <w:tcPr>
            <w:tcW w:w="0" w:type="auto"/>
            <w:tcBorders>
              <w:top w:val="single" w:sz="4" w:space="0" w:color="auto"/>
              <w:bottom w:val="single" w:sz="4" w:space="0" w:color="auto"/>
            </w:tcBorders>
            <w:noWrap/>
            <w:vAlign w:val="center"/>
            <w:hideMark/>
          </w:tcPr>
          <w:p w14:paraId="549D1AC1" w14:textId="77777777" w:rsidR="00CB6C0D" w:rsidRPr="00101A2A" w:rsidRDefault="00CB6C0D" w:rsidP="00686921">
            <w:pPr>
              <w:pStyle w:val="Table"/>
              <w:rPr>
                <w:b/>
                <w:bCs/>
                <w:sz w:val="18"/>
                <w:szCs w:val="18"/>
                <w:lang w:val="en-US"/>
              </w:rPr>
            </w:pPr>
            <w:r w:rsidRPr="00101A2A">
              <w:rPr>
                <w:b/>
                <w:bCs/>
                <w:sz w:val="18"/>
                <w:szCs w:val="18"/>
                <w:lang w:val="en-US"/>
              </w:rPr>
              <w:t>10</w:t>
            </w:r>
          </w:p>
        </w:tc>
        <w:tc>
          <w:tcPr>
            <w:tcW w:w="0" w:type="auto"/>
            <w:tcBorders>
              <w:top w:val="single" w:sz="4" w:space="0" w:color="auto"/>
              <w:bottom w:val="single" w:sz="4" w:space="0" w:color="auto"/>
            </w:tcBorders>
          </w:tcPr>
          <w:p w14:paraId="3945B130" w14:textId="360D2D5A" w:rsidR="00CB6C0D" w:rsidRPr="00101A2A" w:rsidRDefault="00CB6C0D" w:rsidP="00686921">
            <w:pPr>
              <w:pStyle w:val="Table"/>
              <w:rPr>
                <w:b/>
                <w:bCs/>
                <w:sz w:val="18"/>
                <w:szCs w:val="18"/>
                <w:lang w:val="en-US"/>
              </w:rPr>
            </w:pPr>
            <w:r w:rsidRPr="00101A2A">
              <w:rPr>
                <w:b/>
                <w:bCs/>
                <w:sz w:val="18"/>
                <w:szCs w:val="18"/>
                <w:lang w:val="en-US"/>
              </w:rPr>
              <w:t>11</w:t>
            </w:r>
          </w:p>
        </w:tc>
        <w:tc>
          <w:tcPr>
            <w:tcW w:w="0" w:type="auto"/>
            <w:tcBorders>
              <w:top w:val="single" w:sz="4" w:space="0" w:color="auto"/>
              <w:bottom w:val="single" w:sz="4" w:space="0" w:color="auto"/>
            </w:tcBorders>
            <w:noWrap/>
            <w:vAlign w:val="center"/>
            <w:hideMark/>
          </w:tcPr>
          <w:p w14:paraId="2A1841EB" w14:textId="30F1E705" w:rsidR="00CB6C0D" w:rsidRPr="00101A2A" w:rsidRDefault="00CB6C0D" w:rsidP="00686921">
            <w:pPr>
              <w:pStyle w:val="Table"/>
              <w:rPr>
                <w:b/>
                <w:bCs/>
                <w:sz w:val="18"/>
                <w:szCs w:val="18"/>
                <w:lang w:val="en-US"/>
              </w:rPr>
            </w:pPr>
            <w:r w:rsidRPr="00101A2A">
              <w:rPr>
                <w:b/>
                <w:bCs/>
                <w:sz w:val="18"/>
                <w:szCs w:val="18"/>
                <w:lang w:val="en-US"/>
              </w:rPr>
              <w:t>12</w:t>
            </w:r>
          </w:p>
        </w:tc>
        <w:tc>
          <w:tcPr>
            <w:tcW w:w="0" w:type="auto"/>
            <w:tcBorders>
              <w:top w:val="single" w:sz="4" w:space="0" w:color="auto"/>
              <w:bottom w:val="single" w:sz="4" w:space="0" w:color="auto"/>
            </w:tcBorders>
            <w:noWrap/>
            <w:vAlign w:val="center"/>
            <w:hideMark/>
          </w:tcPr>
          <w:p w14:paraId="7FA5AC1C" w14:textId="6CB92516" w:rsidR="00CB6C0D" w:rsidRPr="00101A2A" w:rsidRDefault="00CB6C0D" w:rsidP="00686921">
            <w:pPr>
              <w:pStyle w:val="Table"/>
              <w:rPr>
                <w:b/>
                <w:bCs/>
                <w:sz w:val="18"/>
                <w:szCs w:val="18"/>
                <w:lang w:val="en-US"/>
              </w:rPr>
            </w:pPr>
            <w:r w:rsidRPr="00101A2A">
              <w:rPr>
                <w:b/>
                <w:bCs/>
                <w:sz w:val="18"/>
                <w:szCs w:val="18"/>
                <w:lang w:val="en-US"/>
              </w:rPr>
              <w:t>13</w:t>
            </w:r>
          </w:p>
        </w:tc>
      </w:tr>
      <w:tr w:rsidR="00CB6C0D" w:rsidRPr="00101A2A" w14:paraId="09DB7329" w14:textId="77777777" w:rsidTr="00CB6C0D">
        <w:trPr>
          <w:trHeight w:val="280"/>
        </w:trPr>
        <w:tc>
          <w:tcPr>
            <w:tcW w:w="2430" w:type="dxa"/>
            <w:tcBorders>
              <w:top w:val="single" w:sz="4" w:space="0" w:color="auto"/>
            </w:tcBorders>
            <w:vAlign w:val="center"/>
          </w:tcPr>
          <w:p w14:paraId="06AD0CFB" w14:textId="77777777" w:rsidR="00CB6C0D" w:rsidRPr="00101A2A" w:rsidRDefault="00CB6C0D" w:rsidP="00CB6C0D">
            <w:pPr>
              <w:pStyle w:val="Table"/>
              <w:jc w:val="left"/>
              <w:rPr>
                <w:b/>
                <w:bCs/>
                <w:sz w:val="18"/>
                <w:szCs w:val="18"/>
                <w:lang w:val="en-US"/>
              </w:rPr>
            </w:pPr>
            <w:r w:rsidRPr="00101A2A">
              <w:rPr>
                <w:b/>
                <w:bCs/>
                <w:sz w:val="18"/>
                <w:szCs w:val="18"/>
                <w:lang w:val="en-US"/>
              </w:rPr>
              <w:t>1. Real estate prices at t</w:t>
            </w:r>
            <w:r w:rsidRPr="00101A2A">
              <w:rPr>
                <w:b/>
                <w:bCs/>
                <w:sz w:val="18"/>
                <w:szCs w:val="18"/>
                <w:vertAlign w:val="subscript"/>
                <w:lang w:val="en-US"/>
              </w:rPr>
              <w:t>1</w:t>
            </w:r>
            <w:r w:rsidRPr="00101A2A">
              <w:rPr>
                <w:b/>
                <w:bCs/>
                <w:sz w:val="18"/>
                <w:szCs w:val="18"/>
                <w:lang w:val="en-US"/>
              </w:rPr>
              <w:t xml:space="preserve"> (log)</w:t>
            </w:r>
          </w:p>
        </w:tc>
        <w:tc>
          <w:tcPr>
            <w:tcW w:w="990" w:type="dxa"/>
            <w:tcBorders>
              <w:top w:val="single" w:sz="4" w:space="0" w:color="auto"/>
            </w:tcBorders>
            <w:noWrap/>
            <w:vAlign w:val="center"/>
            <w:hideMark/>
          </w:tcPr>
          <w:p w14:paraId="7E9337FC" w14:textId="1EBF0425" w:rsidR="00CB6C0D" w:rsidRPr="00CB6C0D" w:rsidRDefault="00CB6C0D" w:rsidP="00CB6C0D">
            <w:pPr>
              <w:pStyle w:val="Table"/>
              <w:rPr>
                <w:sz w:val="18"/>
                <w:szCs w:val="18"/>
                <w:lang w:val="en-US"/>
              </w:rPr>
            </w:pPr>
            <w:r w:rsidRPr="00CB6C0D">
              <w:rPr>
                <w:color w:val="000000"/>
                <w:sz w:val="18"/>
                <w:szCs w:val="18"/>
              </w:rPr>
              <w:t>1</w:t>
            </w:r>
          </w:p>
        </w:tc>
        <w:tc>
          <w:tcPr>
            <w:tcW w:w="900" w:type="dxa"/>
            <w:tcBorders>
              <w:top w:val="single" w:sz="4" w:space="0" w:color="auto"/>
            </w:tcBorders>
            <w:noWrap/>
            <w:vAlign w:val="center"/>
            <w:hideMark/>
          </w:tcPr>
          <w:p w14:paraId="70D7C20B" w14:textId="77777777" w:rsidR="00CB6C0D" w:rsidRPr="00CB6C0D" w:rsidRDefault="00CB6C0D" w:rsidP="00CB6C0D">
            <w:pPr>
              <w:pStyle w:val="Table"/>
              <w:rPr>
                <w:sz w:val="18"/>
                <w:szCs w:val="18"/>
                <w:lang w:val="en-US"/>
              </w:rPr>
            </w:pPr>
          </w:p>
        </w:tc>
        <w:tc>
          <w:tcPr>
            <w:tcW w:w="900" w:type="dxa"/>
            <w:tcBorders>
              <w:top w:val="single" w:sz="4" w:space="0" w:color="auto"/>
            </w:tcBorders>
            <w:noWrap/>
            <w:vAlign w:val="center"/>
            <w:hideMark/>
          </w:tcPr>
          <w:p w14:paraId="203C17CF" w14:textId="77777777" w:rsidR="00CB6C0D" w:rsidRPr="00CB6C0D" w:rsidRDefault="00CB6C0D" w:rsidP="00CB6C0D">
            <w:pPr>
              <w:pStyle w:val="Table"/>
              <w:rPr>
                <w:sz w:val="18"/>
                <w:szCs w:val="18"/>
                <w:lang w:val="en-US"/>
              </w:rPr>
            </w:pPr>
          </w:p>
        </w:tc>
        <w:tc>
          <w:tcPr>
            <w:tcW w:w="996" w:type="dxa"/>
            <w:tcBorders>
              <w:top w:val="single" w:sz="4" w:space="0" w:color="auto"/>
            </w:tcBorders>
            <w:vAlign w:val="center"/>
          </w:tcPr>
          <w:p w14:paraId="3C6A24C2" w14:textId="77777777" w:rsidR="00CB6C0D" w:rsidRPr="00CB6C0D" w:rsidRDefault="00CB6C0D" w:rsidP="00CB6C0D">
            <w:pPr>
              <w:pStyle w:val="Table"/>
              <w:rPr>
                <w:sz w:val="18"/>
                <w:szCs w:val="18"/>
                <w:lang w:val="en-US"/>
              </w:rPr>
            </w:pPr>
          </w:p>
        </w:tc>
        <w:tc>
          <w:tcPr>
            <w:tcW w:w="0" w:type="auto"/>
            <w:tcBorders>
              <w:top w:val="single" w:sz="4" w:space="0" w:color="auto"/>
            </w:tcBorders>
            <w:noWrap/>
            <w:vAlign w:val="center"/>
            <w:hideMark/>
          </w:tcPr>
          <w:p w14:paraId="4F110808" w14:textId="77777777" w:rsidR="00CB6C0D" w:rsidRPr="00CB6C0D" w:rsidRDefault="00CB6C0D" w:rsidP="00CB6C0D">
            <w:pPr>
              <w:pStyle w:val="Table"/>
              <w:rPr>
                <w:sz w:val="18"/>
                <w:szCs w:val="18"/>
                <w:lang w:val="en-US"/>
              </w:rPr>
            </w:pPr>
          </w:p>
        </w:tc>
        <w:tc>
          <w:tcPr>
            <w:tcW w:w="0" w:type="auto"/>
            <w:tcBorders>
              <w:top w:val="single" w:sz="4" w:space="0" w:color="auto"/>
            </w:tcBorders>
            <w:noWrap/>
            <w:vAlign w:val="center"/>
            <w:hideMark/>
          </w:tcPr>
          <w:p w14:paraId="5B6E07C7" w14:textId="77777777" w:rsidR="00CB6C0D" w:rsidRPr="00CB6C0D" w:rsidRDefault="00CB6C0D" w:rsidP="00CB6C0D">
            <w:pPr>
              <w:pStyle w:val="Table"/>
              <w:rPr>
                <w:sz w:val="18"/>
                <w:szCs w:val="18"/>
                <w:lang w:val="en-US"/>
              </w:rPr>
            </w:pPr>
          </w:p>
        </w:tc>
        <w:tc>
          <w:tcPr>
            <w:tcW w:w="0" w:type="auto"/>
            <w:tcBorders>
              <w:top w:val="single" w:sz="4" w:space="0" w:color="auto"/>
            </w:tcBorders>
            <w:noWrap/>
            <w:vAlign w:val="center"/>
            <w:hideMark/>
          </w:tcPr>
          <w:p w14:paraId="272D3436" w14:textId="77777777" w:rsidR="00CB6C0D" w:rsidRPr="00CB6C0D" w:rsidRDefault="00CB6C0D" w:rsidP="00CB6C0D">
            <w:pPr>
              <w:pStyle w:val="Table"/>
              <w:rPr>
                <w:sz w:val="18"/>
                <w:szCs w:val="18"/>
                <w:lang w:val="en-US"/>
              </w:rPr>
            </w:pPr>
          </w:p>
        </w:tc>
        <w:tc>
          <w:tcPr>
            <w:tcW w:w="0" w:type="auto"/>
            <w:tcBorders>
              <w:top w:val="single" w:sz="4" w:space="0" w:color="auto"/>
            </w:tcBorders>
            <w:noWrap/>
            <w:vAlign w:val="center"/>
            <w:hideMark/>
          </w:tcPr>
          <w:p w14:paraId="0C38CA12" w14:textId="77777777" w:rsidR="00CB6C0D" w:rsidRPr="00CB6C0D" w:rsidRDefault="00CB6C0D" w:rsidP="00CB6C0D">
            <w:pPr>
              <w:pStyle w:val="Table"/>
              <w:rPr>
                <w:sz w:val="18"/>
                <w:szCs w:val="18"/>
                <w:lang w:val="en-US"/>
              </w:rPr>
            </w:pPr>
          </w:p>
        </w:tc>
        <w:tc>
          <w:tcPr>
            <w:tcW w:w="0" w:type="auto"/>
            <w:tcBorders>
              <w:top w:val="single" w:sz="4" w:space="0" w:color="auto"/>
            </w:tcBorders>
            <w:noWrap/>
            <w:vAlign w:val="center"/>
            <w:hideMark/>
          </w:tcPr>
          <w:p w14:paraId="79ACCED5" w14:textId="77777777" w:rsidR="00CB6C0D" w:rsidRPr="00CB6C0D" w:rsidRDefault="00CB6C0D" w:rsidP="00CB6C0D">
            <w:pPr>
              <w:pStyle w:val="Table"/>
              <w:rPr>
                <w:sz w:val="18"/>
                <w:szCs w:val="18"/>
                <w:lang w:val="en-US"/>
              </w:rPr>
            </w:pPr>
          </w:p>
        </w:tc>
        <w:tc>
          <w:tcPr>
            <w:tcW w:w="0" w:type="auto"/>
            <w:tcBorders>
              <w:top w:val="single" w:sz="4" w:space="0" w:color="auto"/>
            </w:tcBorders>
            <w:noWrap/>
            <w:vAlign w:val="center"/>
            <w:hideMark/>
          </w:tcPr>
          <w:p w14:paraId="7587A75A" w14:textId="77777777" w:rsidR="00CB6C0D" w:rsidRPr="00CB6C0D" w:rsidRDefault="00CB6C0D" w:rsidP="00CB6C0D">
            <w:pPr>
              <w:pStyle w:val="Table"/>
              <w:rPr>
                <w:sz w:val="18"/>
                <w:szCs w:val="18"/>
                <w:lang w:val="en-US"/>
              </w:rPr>
            </w:pPr>
          </w:p>
        </w:tc>
        <w:tc>
          <w:tcPr>
            <w:tcW w:w="0" w:type="auto"/>
            <w:tcBorders>
              <w:top w:val="single" w:sz="4" w:space="0" w:color="auto"/>
            </w:tcBorders>
            <w:vAlign w:val="center"/>
          </w:tcPr>
          <w:p w14:paraId="64DC73AC" w14:textId="77777777" w:rsidR="00CB6C0D" w:rsidRPr="00CB6C0D" w:rsidRDefault="00CB6C0D" w:rsidP="00CB6C0D">
            <w:pPr>
              <w:pStyle w:val="Table"/>
              <w:rPr>
                <w:sz w:val="18"/>
                <w:szCs w:val="18"/>
                <w:lang w:val="en-US"/>
              </w:rPr>
            </w:pPr>
          </w:p>
        </w:tc>
        <w:tc>
          <w:tcPr>
            <w:tcW w:w="0" w:type="auto"/>
            <w:tcBorders>
              <w:top w:val="single" w:sz="4" w:space="0" w:color="auto"/>
            </w:tcBorders>
            <w:noWrap/>
            <w:vAlign w:val="center"/>
            <w:hideMark/>
          </w:tcPr>
          <w:p w14:paraId="702C3023" w14:textId="41AB54AE" w:rsidR="00CB6C0D" w:rsidRPr="00CB6C0D" w:rsidRDefault="00CB6C0D" w:rsidP="00CB6C0D">
            <w:pPr>
              <w:pStyle w:val="Table"/>
              <w:rPr>
                <w:sz w:val="18"/>
                <w:szCs w:val="18"/>
                <w:lang w:val="en-US"/>
              </w:rPr>
            </w:pPr>
          </w:p>
        </w:tc>
        <w:tc>
          <w:tcPr>
            <w:tcW w:w="0" w:type="auto"/>
            <w:tcBorders>
              <w:top w:val="single" w:sz="4" w:space="0" w:color="auto"/>
            </w:tcBorders>
            <w:noWrap/>
            <w:vAlign w:val="center"/>
            <w:hideMark/>
          </w:tcPr>
          <w:p w14:paraId="6A3FA613" w14:textId="77777777" w:rsidR="00CB6C0D" w:rsidRPr="00CB6C0D" w:rsidRDefault="00CB6C0D" w:rsidP="00CB6C0D">
            <w:pPr>
              <w:pStyle w:val="Table"/>
              <w:rPr>
                <w:sz w:val="18"/>
                <w:szCs w:val="18"/>
                <w:lang w:val="en-US"/>
              </w:rPr>
            </w:pPr>
          </w:p>
        </w:tc>
      </w:tr>
      <w:tr w:rsidR="00CB6C0D" w:rsidRPr="00101A2A" w14:paraId="3831D1EA" w14:textId="77777777" w:rsidTr="00CB6C0D">
        <w:trPr>
          <w:trHeight w:val="260"/>
        </w:trPr>
        <w:tc>
          <w:tcPr>
            <w:tcW w:w="2430" w:type="dxa"/>
            <w:vAlign w:val="center"/>
          </w:tcPr>
          <w:p w14:paraId="42DDB028" w14:textId="77777777" w:rsidR="00CB6C0D" w:rsidRPr="00101A2A" w:rsidRDefault="00CB6C0D" w:rsidP="00CB6C0D">
            <w:pPr>
              <w:pStyle w:val="Table"/>
              <w:jc w:val="left"/>
              <w:rPr>
                <w:b/>
                <w:bCs/>
                <w:sz w:val="18"/>
                <w:szCs w:val="18"/>
                <w:lang w:val="en-US"/>
              </w:rPr>
            </w:pPr>
            <w:r w:rsidRPr="00101A2A">
              <w:rPr>
                <w:b/>
                <w:bCs/>
                <w:sz w:val="18"/>
                <w:szCs w:val="18"/>
                <w:lang w:val="en-US"/>
              </w:rPr>
              <w:t>2. Spanner proportion</w:t>
            </w:r>
          </w:p>
        </w:tc>
        <w:tc>
          <w:tcPr>
            <w:tcW w:w="990" w:type="dxa"/>
            <w:noWrap/>
            <w:vAlign w:val="center"/>
            <w:hideMark/>
          </w:tcPr>
          <w:p w14:paraId="327F16EA" w14:textId="69C42BC4" w:rsidR="00CB6C0D" w:rsidRPr="00CB6C0D" w:rsidRDefault="00CB6C0D" w:rsidP="00CB6C0D">
            <w:pPr>
              <w:pStyle w:val="Table"/>
              <w:rPr>
                <w:sz w:val="18"/>
                <w:szCs w:val="18"/>
                <w:lang w:val="en-US"/>
              </w:rPr>
            </w:pPr>
            <w:r w:rsidRPr="00CB6C0D">
              <w:rPr>
                <w:color w:val="000000"/>
                <w:sz w:val="18"/>
                <w:szCs w:val="18"/>
              </w:rPr>
              <w:t>-0.00</w:t>
            </w:r>
            <w:r>
              <w:rPr>
                <w:color w:val="000000"/>
                <w:sz w:val="18"/>
                <w:szCs w:val="18"/>
              </w:rPr>
              <w:t>5</w:t>
            </w:r>
          </w:p>
        </w:tc>
        <w:tc>
          <w:tcPr>
            <w:tcW w:w="900" w:type="dxa"/>
            <w:noWrap/>
            <w:vAlign w:val="center"/>
            <w:hideMark/>
          </w:tcPr>
          <w:p w14:paraId="509ECF12" w14:textId="66D34888" w:rsidR="00CB6C0D" w:rsidRPr="00CB6C0D" w:rsidRDefault="00CB6C0D" w:rsidP="00CB6C0D">
            <w:pPr>
              <w:pStyle w:val="Table"/>
              <w:rPr>
                <w:sz w:val="18"/>
                <w:szCs w:val="18"/>
                <w:lang w:val="en-US"/>
              </w:rPr>
            </w:pPr>
            <w:r w:rsidRPr="00CB6C0D">
              <w:rPr>
                <w:color w:val="000000"/>
                <w:sz w:val="18"/>
                <w:szCs w:val="18"/>
              </w:rPr>
              <w:t>1</w:t>
            </w:r>
          </w:p>
        </w:tc>
        <w:tc>
          <w:tcPr>
            <w:tcW w:w="900" w:type="dxa"/>
            <w:noWrap/>
            <w:vAlign w:val="center"/>
            <w:hideMark/>
          </w:tcPr>
          <w:p w14:paraId="777ACAFD" w14:textId="77777777" w:rsidR="00CB6C0D" w:rsidRPr="00CB6C0D" w:rsidRDefault="00CB6C0D" w:rsidP="00CB6C0D">
            <w:pPr>
              <w:pStyle w:val="Table"/>
              <w:rPr>
                <w:sz w:val="18"/>
                <w:szCs w:val="18"/>
                <w:lang w:val="en-US"/>
              </w:rPr>
            </w:pPr>
          </w:p>
        </w:tc>
        <w:tc>
          <w:tcPr>
            <w:tcW w:w="996" w:type="dxa"/>
            <w:vAlign w:val="center"/>
          </w:tcPr>
          <w:p w14:paraId="3CCA49DD" w14:textId="77777777" w:rsidR="00CB6C0D" w:rsidRPr="00CB6C0D" w:rsidRDefault="00CB6C0D" w:rsidP="00CB6C0D">
            <w:pPr>
              <w:pStyle w:val="Table"/>
              <w:rPr>
                <w:sz w:val="18"/>
                <w:szCs w:val="18"/>
                <w:lang w:val="en-US"/>
              </w:rPr>
            </w:pPr>
          </w:p>
        </w:tc>
        <w:tc>
          <w:tcPr>
            <w:tcW w:w="0" w:type="auto"/>
            <w:noWrap/>
            <w:vAlign w:val="center"/>
            <w:hideMark/>
          </w:tcPr>
          <w:p w14:paraId="37808A2A" w14:textId="77777777" w:rsidR="00CB6C0D" w:rsidRPr="00CB6C0D" w:rsidRDefault="00CB6C0D" w:rsidP="00CB6C0D">
            <w:pPr>
              <w:pStyle w:val="Table"/>
              <w:rPr>
                <w:sz w:val="18"/>
                <w:szCs w:val="18"/>
                <w:lang w:val="en-US"/>
              </w:rPr>
            </w:pPr>
          </w:p>
        </w:tc>
        <w:tc>
          <w:tcPr>
            <w:tcW w:w="0" w:type="auto"/>
            <w:noWrap/>
            <w:vAlign w:val="center"/>
            <w:hideMark/>
          </w:tcPr>
          <w:p w14:paraId="59412FCB" w14:textId="77777777" w:rsidR="00CB6C0D" w:rsidRPr="00CB6C0D" w:rsidRDefault="00CB6C0D" w:rsidP="00CB6C0D">
            <w:pPr>
              <w:pStyle w:val="Table"/>
              <w:rPr>
                <w:sz w:val="18"/>
                <w:szCs w:val="18"/>
                <w:lang w:val="en-US"/>
              </w:rPr>
            </w:pPr>
          </w:p>
        </w:tc>
        <w:tc>
          <w:tcPr>
            <w:tcW w:w="0" w:type="auto"/>
            <w:noWrap/>
            <w:vAlign w:val="center"/>
            <w:hideMark/>
          </w:tcPr>
          <w:p w14:paraId="34D363FA" w14:textId="77777777" w:rsidR="00CB6C0D" w:rsidRPr="00CB6C0D" w:rsidRDefault="00CB6C0D" w:rsidP="00CB6C0D">
            <w:pPr>
              <w:pStyle w:val="Table"/>
              <w:rPr>
                <w:sz w:val="18"/>
                <w:szCs w:val="18"/>
                <w:lang w:val="en-US"/>
              </w:rPr>
            </w:pPr>
          </w:p>
        </w:tc>
        <w:tc>
          <w:tcPr>
            <w:tcW w:w="0" w:type="auto"/>
            <w:noWrap/>
            <w:vAlign w:val="center"/>
            <w:hideMark/>
          </w:tcPr>
          <w:p w14:paraId="2CAF3082" w14:textId="77777777" w:rsidR="00CB6C0D" w:rsidRPr="00CB6C0D" w:rsidRDefault="00CB6C0D" w:rsidP="00CB6C0D">
            <w:pPr>
              <w:pStyle w:val="Table"/>
              <w:rPr>
                <w:sz w:val="18"/>
                <w:szCs w:val="18"/>
                <w:lang w:val="en-US"/>
              </w:rPr>
            </w:pPr>
          </w:p>
        </w:tc>
        <w:tc>
          <w:tcPr>
            <w:tcW w:w="0" w:type="auto"/>
            <w:noWrap/>
            <w:vAlign w:val="center"/>
            <w:hideMark/>
          </w:tcPr>
          <w:p w14:paraId="57E4B807" w14:textId="77777777" w:rsidR="00CB6C0D" w:rsidRPr="00CB6C0D" w:rsidRDefault="00CB6C0D" w:rsidP="00CB6C0D">
            <w:pPr>
              <w:pStyle w:val="Table"/>
              <w:rPr>
                <w:sz w:val="18"/>
                <w:szCs w:val="18"/>
                <w:lang w:val="en-US"/>
              </w:rPr>
            </w:pPr>
          </w:p>
        </w:tc>
        <w:tc>
          <w:tcPr>
            <w:tcW w:w="0" w:type="auto"/>
            <w:noWrap/>
            <w:vAlign w:val="center"/>
            <w:hideMark/>
          </w:tcPr>
          <w:p w14:paraId="7C74C559" w14:textId="77777777" w:rsidR="00CB6C0D" w:rsidRPr="00CB6C0D" w:rsidRDefault="00CB6C0D" w:rsidP="00CB6C0D">
            <w:pPr>
              <w:pStyle w:val="Table"/>
              <w:rPr>
                <w:sz w:val="18"/>
                <w:szCs w:val="18"/>
                <w:lang w:val="en-US"/>
              </w:rPr>
            </w:pPr>
          </w:p>
        </w:tc>
        <w:tc>
          <w:tcPr>
            <w:tcW w:w="0" w:type="auto"/>
            <w:vAlign w:val="center"/>
          </w:tcPr>
          <w:p w14:paraId="73B36340" w14:textId="77777777" w:rsidR="00CB6C0D" w:rsidRPr="00CB6C0D" w:rsidRDefault="00CB6C0D" w:rsidP="00CB6C0D">
            <w:pPr>
              <w:pStyle w:val="Table"/>
              <w:rPr>
                <w:sz w:val="18"/>
                <w:szCs w:val="18"/>
                <w:lang w:val="en-US"/>
              </w:rPr>
            </w:pPr>
          </w:p>
        </w:tc>
        <w:tc>
          <w:tcPr>
            <w:tcW w:w="0" w:type="auto"/>
            <w:noWrap/>
            <w:vAlign w:val="center"/>
            <w:hideMark/>
          </w:tcPr>
          <w:p w14:paraId="26C3DB3F" w14:textId="784E6CDD" w:rsidR="00CB6C0D" w:rsidRPr="00CB6C0D" w:rsidRDefault="00CB6C0D" w:rsidP="00CB6C0D">
            <w:pPr>
              <w:pStyle w:val="Table"/>
              <w:rPr>
                <w:sz w:val="18"/>
                <w:szCs w:val="18"/>
                <w:lang w:val="en-US"/>
              </w:rPr>
            </w:pPr>
          </w:p>
        </w:tc>
        <w:tc>
          <w:tcPr>
            <w:tcW w:w="0" w:type="auto"/>
            <w:noWrap/>
            <w:vAlign w:val="center"/>
            <w:hideMark/>
          </w:tcPr>
          <w:p w14:paraId="42BED9BA" w14:textId="77777777" w:rsidR="00CB6C0D" w:rsidRPr="00CB6C0D" w:rsidRDefault="00CB6C0D" w:rsidP="00CB6C0D">
            <w:pPr>
              <w:pStyle w:val="Table"/>
              <w:rPr>
                <w:sz w:val="18"/>
                <w:szCs w:val="18"/>
                <w:lang w:val="en-US"/>
              </w:rPr>
            </w:pPr>
          </w:p>
        </w:tc>
      </w:tr>
      <w:tr w:rsidR="00CB6C0D" w:rsidRPr="00101A2A" w14:paraId="380BDE64" w14:textId="77777777" w:rsidTr="00CB6C0D">
        <w:trPr>
          <w:trHeight w:val="260"/>
        </w:trPr>
        <w:tc>
          <w:tcPr>
            <w:tcW w:w="2430" w:type="dxa"/>
            <w:vAlign w:val="center"/>
          </w:tcPr>
          <w:p w14:paraId="6A4ECC3B" w14:textId="77777777" w:rsidR="00CB6C0D" w:rsidRPr="00101A2A" w:rsidRDefault="00CB6C0D" w:rsidP="00CB6C0D">
            <w:pPr>
              <w:pStyle w:val="Table"/>
              <w:jc w:val="left"/>
              <w:rPr>
                <w:b/>
                <w:bCs/>
                <w:sz w:val="18"/>
                <w:szCs w:val="18"/>
                <w:lang w:val="en-US"/>
              </w:rPr>
            </w:pPr>
            <w:r w:rsidRPr="00101A2A">
              <w:rPr>
                <w:b/>
                <w:bCs/>
                <w:sz w:val="18"/>
                <w:szCs w:val="18"/>
                <w:lang w:val="en-US"/>
              </w:rPr>
              <w:t>3. Regulated market</w:t>
            </w:r>
          </w:p>
        </w:tc>
        <w:tc>
          <w:tcPr>
            <w:tcW w:w="990" w:type="dxa"/>
            <w:noWrap/>
            <w:vAlign w:val="center"/>
            <w:hideMark/>
          </w:tcPr>
          <w:p w14:paraId="5FC86FA9" w14:textId="5524377D" w:rsidR="00CB6C0D" w:rsidRPr="00CB6C0D" w:rsidRDefault="00CB6C0D" w:rsidP="00CB6C0D">
            <w:pPr>
              <w:pStyle w:val="Table"/>
              <w:rPr>
                <w:sz w:val="18"/>
                <w:szCs w:val="18"/>
                <w:lang w:val="en-US"/>
              </w:rPr>
            </w:pPr>
            <w:r w:rsidRPr="00CB6C0D">
              <w:rPr>
                <w:color w:val="000000"/>
                <w:sz w:val="18"/>
                <w:szCs w:val="18"/>
              </w:rPr>
              <w:t>-0.114</w:t>
            </w:r>
            <w:r w:rsidRPr="00CB6C0D">
              <w:rPr>
                <w:color w:val="000000"/>
                <w:sz w:val="18"/>
                <w:szCs w:val="18"/>
                <w:vertAlign w:val="superscript"/>
              </w:rPr>
              <w:t>***</w:t>
            </w:r>
          </w:p>
        </w:tc>
        <w:tc>
          <w:tcPr>
            <w:tcW w:w="900" w:type="dxa"/>
            <w:noWrap/>
            <w:vAlign w:val="center"/>
            <w:hideMark/>
          </w:tcPr>
          <w:p w14:paraId="2770A267" w14:textId="22C266F3" w:rsidR="00CB6C0D" w:rsidRPr="00CB6C0D" w:rsidRDefault="00CB6C0D" w:rsidP="00CB6C0D">
            <w:pPr>
              <w:pStyle w:val="Table"/>
              <w:rPr>
                <w:sz w:val="18"/>
                <w:szCs w:val="18"/>
                <w:lang w:val="en-US"/>
              </w:rPr>
            </w:pPr>
            <w:r w:rsidRPr="00CB6C0D">
              <w:rPr>
                <w:color w:val="000000"/>
                <w:sz w:val="18"/>
                <w:szCs w:val="18"/>
              </w:rPr>
              <w:t>-0.062</w:t>
            </w:r>
            <w:r w:rsidRPr="00CB6C0D">
              <w:rPr>
                <w:color w:val="000000"/>
                <w:sz w:val="18"/>
                <w:szCs w:val="18"/>
                <w:vertAlign w:val="superscript"/>
              </w:rPr>
              <w:t>***</w:t>
            </w:r>
          </w:p>
        </w:tc>
        <w:tc>
          <w:tcPr>
            <w:tcW w:w="900" w:type="dxa"/>
            <w:noWrap/>
            <w:vAlign w:val="center"/>
            <w:hideMark/>
          </w:tcPr>
          <w:p w14:paraId="2713147F" w14:textId="49FA48D5" w:rsidR="00CB6C0D" w:rsidRPr="00CB6C0D" w:rsidRDefault="00CB6C0D" w:rsidP="00CB6C0D">
            <w:pPr>
              <w:pStyle w:val="Table"/>
              <w:rPr>
                <w:sz w:val="18"/>
                <w:szCs w:val="18"/>
                <w:lang w:val="en-US"/>
              </w:rPr>
            </w:pPr>
            <w:r w:rsidRPr="00CB6C0D">
              <w:rPr>
                <w:color w:val="000000"/>
                <w:sz w:val="18"/>
                <w:szCs w:val="18"/>
              </w:rPr>
              <w:t>1</w:t>
            </w:r>
          </w:p>
        </w:tc>
        <w:tc>
          <w:tcPr>
            <w:tcW w:w="996" w:type="dxa"/>
            <w:vAlign w:val="center"/>
          </w:tcPr>
          <w:p w14:paraId="22062621" w14:textId="77777777" w:rsidR="00CB6C0D" w:rsidRPr="00CB6C0D" w:rsidRDefault="00CB6C0D" w:rsidP="00CB6C0D">
            <w:pPr>
              <w:pStyle w:val="Table"/>
              <w:rPr>
                <w:sz w:val="18"/>
                <w:szCs w:val="18"/>
                <w:lang w:val="en-US"/>
              </w:rPr>
            </w:pPr>
          </w:p>
        </w:tc>
        <w:tc>
          <w:tcPr>
            <w:tcW w:w="0" w:type="auto"/>
            <w:noWrap/>
            <w:vAlign w:val="center"/>
            <w:hideMark/>
          </w:tcPr>
          <w:p w14:paraId="60F1793B" w14:textId="77777777" w:rsidR="00CB6C0D" w:rsidRPr="00CB6C0D" w:rsidRDefault="00CB6C0D" w:rsidP="00CB6C0D">
            <w:pPr>
              <w:pStyle w:val="Table"/>
              <w:rPr>
                <w:sz w:val="18"/>
                <w:szCs w:val="18"/>
                <w:lang w:val="en-US"/>
              </w:rPr>
            </w:pPr>
          </w:p>
        </w:tc>
        <w:tc>
          <w:tcPr>
            <w:tcW w:w="0" w:type="auto"/>
            <w:noWrap/>
            <w:vAlign w:val="center"/>
            <w:hideMark/>
          </w:tcPr>
          <w:p w14:paraId="2AC4C3F2" w14:textId="77777777" w:rsidR="00CB6C0D" w:rsidRPr="00CB6C0D" w:rsidRDefault="00CB6C0D" w:rsidP="00CB6C0D">
            <w:pPr>
              <w:pStyle w:val="Table"/>
              <w:rPr>
                <w:sz w:val="18"/>
                <w:szCs w:val="18"/>
                <w:lang w:val="en-US"/>
              </w:rPr>
            </w:pPr>
          </w:p>
        </w:tc>
        <w:tc>
          <w:tcPr>
            <w:tcW w:w="0" w:type="auto"/>
            <w:noWrap/>
            <w:vAlign w:val="center"/>
            <w:hideMark/>
          </w:tcPr>
          <w:p w14:paraId="599DE9E3" w14:textId="77777777" w:rsidR="00CB6C0D" w:rsidRPr="00CB6C0D" w:rsidRDefault="00CB6C0D" w:rsidP="00CB6C0D">
            <w:pPr>
              <w:pStyle w:val="Table"/>
              <w:rPr>
                <w:sz w:val="18"/>
                <w:szCs w:val="18"/>
                <w:lang w:val="en-US"/>
              </w:rPr>
            </w:pPr>
          </w:p>
        </w:tc>
        <w:tc>
          <w:tcPr>
            <w:tcW w:w="0" w:type="auto"/>
            <w:noWrap/>
            <w:vAlign w:val="center"/>
            <w:hideMark/>
          </w:tcPr>
          <w:p w14:paraId="1A22948A" w14:textId="77777777" w:rsidR="00CB6C0D" w:rsidRPr="00CB6C0D" w:rsidRDefault="00CB6C0D" w:rsidP="00CB6C0D">
            <w:pPr>
              <w:pStyle w:val="Table"/>
              <w:rPr>
                <w:sz w:val="18"/>
                <w:szCs w:val="18"/>
                <w:lang w:val="en-US"/>
              </w:rPr>
            </w:pPr>
          </w:p>
        </w:tc>
        <w:tc>
          <w:tcPr>
            <w:tcW w:w="0" w:type="auto"/>
            <w:noWrap/>
            <w:vAlign w:val="center"/>
            <w:hideMark/>
          </w:tcPr>
          <w:p w14:paraId="3BA93B43" w14:textId="77777777" w:rsidR="00CB6C0D" w:rsidRPr="00CB6C0D" w:rsidRDefault="00CB6C0D" w:rsidP="00CB6C0D">
            <w:pPr>
              <w:pStyle w:val="Table"/>
              <w:rPr>
                <w:sz w:val="18"/>
                <w:szCs w:val="18"/>
                <w:lang w:val="en-US"/>
              </w:rPr>
            </w:pPr>
          </w:p>
        </w:tc>
        <w:tc>
          <w:tcPr>
            <w:tcW w:w="0" w:type="auto"/>
            <w:noWrap/>
            <w:vAlign w:val="center"/>
            <w:hideMark/>
          </w:tcPr>
          <w:p w14:paraId="66535DF7" w14:textId="77777777" w:rsidR="00CB6C0D" w:rsidRPr="00CB6C0D" w:rsidRDefault="00CB6C0D" w:rsidP="00CB6C0D">
            <w:pPr>
              <w:pStyle w:val="Table"/>
              <w:rPr>
                <w:sz w:val="18"/>
                <w:szCs w:val="18"/>
                <w:lang w:val="en-US"/>
              </w:rPr>
            </w:pPr>
          </w:p>
        </w:tc>
        <w:tc>
          <w:tcPr>
            <w:tcW w:w="0" w:type="auto"/>
            <w:vAlign w:val="center"/>
          </w:tcPr>
          <w:p w14:paraId="71E6474C" w14:textId="77777777" w:rsidR="00CB6C0D" w:rsidRPr="00CB6C0D" w:rsidRDefault="00CB6C0D" w:rsidP="00CB6C0D">
            <w:pPr>
              <w:pStyle w:val="Table"/>
              <w:rPr>
                <w:sz w:val="18"/>
                <w:szCs w:val="18"/>
                <w:lang w:val="en-US"/>
              </w:rPr>
            </w:pPr>
          </w:p>
        </w:tc>
        <w:tc>
          <w:tcPr>
            <w:tcW w:w="0" w:type="auto"/>
            <w:noWrap/>
            <w:vAlign w:val="center"/>
            <w:hideMark/>
          </w:tcPr>
          <w:p w14:paraId="2748CAC3" w14:textId="43F38FF3" w:rsidR="00CB6C0D" w:rsidRPr="00CB6C0D" w:rsidRDefault="00CB6C0D" w:rsidP="00CB6C0D">
            <w:pPr>
              <w:pStyle w:val="Table"/>
              <w:rPr>
                <w:sz w:val="18"/>
                <w:szCs w:val="18"/>
                <w:lang w:val="en-US"/>
              </w:rPr>
            </w:pPr>
          </w:p>
        </w:tc>
        <w:tc>
          <w:tcPr>
            <w:tcW w:w="0" w:type="auto"/>
            <w:noWrap/>
            <w:vAlign w:val="center"/>
            <w:hideMark/>
          </w:tcPr>
          <w:p w14:paraId="2E97623F" w14:textId="77777777" w:rsidR="00CB6C0D" w:rsidRPr="00CB6C0D" w:rsidRDefault="00CB6C0D" w:rsidP="00CB6C0D">
            <w:pPr>
              <w:pStyle w:val="Table"/>
              <w:rPr>
                <w:sz w:val="18"/>
                <w:szCs w:val="18"/>
                <w:lang w:val="en-US"/>
              </w:rPr>
            </w:pPr>
          </w:p>
        </w:tc>
      </w:tr>
      <w:tr w:rsidR="00CB6C0D" w:rsidRPr="00101A2A" w14:paraId="3E750760" w14:textId="77777777" w:rsidTr="00CB6C0D">
        <w:trPr>
          <w:trHeight w:val="260"/>
        </w:trPr>
        <w:tc>
          <w:tcPr>
            <w:tcW w:w="2430" w:type="dxa"/>
            <w:vAlign w:val="center"/>
          </w:tcPr>
          <w:p w14:paraId="3A5F611F" w14:textId="77777777" w:rsidR="00CB6C0D" w:rsidRPr="00101A2A" w:rsidRDefault="00CB6C0D" w:rsidP="00CB6C0D">
            <w:pPr>
              <w:pStyle w:val="Table"/>
              <w:jc w:val="left"/>
              <w:rPr>
                <w:b/>
                <w:bCs/>
                <w:sz w:val="18"/>
                <w:szCs w:val="18"/>
                <w:lang w:val="en-US"/>
              </w:rPr>
            </w:pPr>
            <w:r w:rsidRPr="00101A2A">
              <w:rPr>
                <w:b/>
                <w:bCs/>
                <w:sz w:val="18"/>
                <w:szCs w:val="18"/>
                <w:lang w:val="en-US"/>
              </w:rPr>
              <w:t>4. Consumer attention</w:t>
            </w:r>
          </w:p>
        </w:tc>
        <w:tc>
          <w:tcPr>
            <w:tcW w:w="990" w:type="dxa"/>
            <w:noWrap/>
            <w:vAlign w:val="center"/>
          </w:tcPr>
          <w:p w14:paraId="75ED157D" w14:textId="25CFEDA0" w:rsidR="00CB6C0D" w:rsidRPr="00CB6C0D" w:rsidRDefault="00CB6C0D" w:rsidP="00CB6C0D">
            <w:pPr>
              <w:pStyle w:val="Table"/>
              <w:rPr>
                <w:sz w:val="18"/>
                <w:szCs w:val="18"/>
                <w:lang w:val="en-US"/>
              </w:rPr>
            </w:pPr>
            <w:r w:rsidRPr="00CB6C0D">
              <w:rPr>
                <w:color w:val="000000"/>
                <w:sz w:val="18"/>
                <w:szCs w:val="18"/>
              </w:rPr>
              <w:t>-0.028</w:t>
            </w:r>
            <w:r w:rsidRPr="00CB6C0D">
              <w:rPr>
                <w:color w:val="000000"/>
                <w:sz w:val="18"/>
                <w:szCs w:val="18"/>
                <w:vertAlign w:val="superscript"/>
              </w:rPr>
              <w:t>***</w:t>
            </w:r>
          </w:p>
        </w:tc>
        <w:tc>
          <w:tcPr>
            <w:tcW w:w="900" w:type="dxa"/>
            <w:noWrap/>
            <w:vAlign w:val="center"/>
          </w:tcPr>
          <w:p w14:paraId="235E44F0" w14:textId="51CAD529" w:rsidR="00CB6C0D" w:rsidRPr="00CB6C0D" w:rsidRDefault="00CB6C0D" w:rsidP="00CB6C0D">
            <w:pPr>
              <w:pStyle w:val="Table"/>
              <w:rPr>
                <w:sz w:val="18"/>
                <w:szCs w:val="18"/>
                <w:lang w:val="en-US"/>
              </w:rPr>
            </w:pPr>
            <w:r w:rsidRPr="00CB6C0D">
              <w:rPr>
                <w:color w:val="000000"/>
                <w:sz w:val="18"/>
                <w:szCs w:val="18"/>
              </w:rPr>
              <w:t>0.02</w:t>
            </w:r>
            <w:r>
              <w:rPr>
                <w:color w:val="000000"/>
                <w:sz w:val="18"/>
                <w:szCs w:val="18"/>
              </w:rPr>
              <w:t>9</w:t>
            </w:r>
            <w:r w:rsidRPr="00CB6C0D">
              <w:rPr>
                <w:color w:val="000000"/>
                <w:sz w:val="18"/>
                <w:szCs w:val="18"/>
                <w:vertAlign w:val="superscript"/>
              </w:rPr>
              <w:t>***</w:t>
            </w:r>
          </w:p>
        </w:tc>
        <w:tc>
          <w:tcPr>
            <w:tcW w:w="900" w:type="dxa"/>
            <w:noWrap/>
            <w:vAlign w:val="center"/>
          </w:tcPr>
          <w:p w14:paraId="72876DA5" w14:textId="0F73FD89" w:rsidR="00CB6C0D" w:rsidRPr="00CB6C0D" w:rsidRDefault="00CB6C0D" w:rsidP="00CB6C0D">
            <w:pPr>
              <w:pStyle w:val="Table"/>
              <w:rPr>
                <w:sz w:val="18"/>
                <w:szCs w:val="18"/>
                <w:lang w:val="en-US"/>
              </w:rPr>
            </w:pPr>
            <w:r w:rsidRPr="00CB6C0D">
              <w:rPr>
                <w:color w:val="000000"/>
                <w:sz w:val="18"/>
                <w:szCs w:val="18"/>
              </w:rPr>
              <w:t>-0.116</w:t>
            </w:r>
            <w:r w:rsidRPr="00CB6C0D">
              <w:rPr>
                <w:color w:val="000000"/>
                <w:sz w:val="18"/>
                <w:szCs w:val="18"/>
                <w:vertAlign w:val="superscript"/>
              </w:rPr>
              <w:t>***</w:t>
            </w:r>
          </w:p>
        </w:tc>
        <w:tc>
          <w:tcPr>
            <w:tcW w:w="996" w:type="dxa"/>
            <w:vAlign w:val="center"/>
          </w:tcPr>
          <w:p w14:paraId="50865790" w14:textId="6D85C262" w:rsidR="00CB6C0D" w:rsidRPr="00CB6C0D" w:rsidRDefault="00CB6C0D" w:rsidP="00CB6C0D">
            <w:pPr>
              <w:pStyle w:val="Table"/>
              <w:rPr>
                <w:sz w:val="18"/>
                <w:szCs w:val="18"/>
                <w:lang w:val="en-US"/>
              </w:rPr>
            </w:pPr>
            <w:r w:rsidRPr="00CB6C0D">
              <w:rPr>
                <w:color w:val="000000"/>
                <w:sz w:val="18"/>
                <w:szCs w:val="18"/>
              </w:rPr>
              <w:t>1</w:t>
            </w:r>
          </w:p>
        </w:tc>
        <w:tc>
          <w:tcPr>
            <w:tcW w:w="0" w:type="auto"/>
            <w:noWrap/>
            <w:vAlign w:val="center"/>
          </w:tcPr>
          <w:p w14:paraId="4CDA1C7C" w14:textId="77777777" w:rsidR="00CB6C0D" w:rsidRPr="00CB6C0D" w:rsidRDefault="00CB6C0D" w:rsidP="00CB6C0D">
            <w:pPr>
              <w:pStyle w:val="Table"/>
              <w:rPr>
                <w:sz w:val="18"/>
                <w:szCs w:val="18"/>
                <w:lang w:val="en-US"/>
              </w:rPr>
            </w:pPr>
          </w:p>
        </w:tc>
        <w:tc>
          <w:tcPr>
            <w:tcW w:w="0" w:type="auto"/>
            <w:noWrap/>
            <w:vAlign w:val="center"/>
          </w:tcPr>
          <w:p w14:paraId="66838D79" w14:textId="77777777" w:rsidR="00CB6C0D" w:rsidRPr="00CB6C0D" w:rsidRDefault="00CB6C0D" w:rsidP="00CB6C0D">
            <w:pPr>
              <w:pStyle w:val="Table"/>
              <w:rPr>
                <w:sz w:val="18"/>
                <w:szCs w:val="18"/>
                <w:lang w:val="en-US"/>
              </w:rPr>
            </w:pPr>
          </w:p>
        </w:tc>
        <w:tc>
          <w:tcPr>
            <w:tcW w:w="0" w:type="auto"/>
            <w:noWrap/>
            <w:vAlign w:val="center"/>
          </w:tcPr>
          <w:p w14:paraId="5FD73F49" w14:textId="77777777" w:rsidR="00CB6C0D" w:rsidRPr="00CB6C0D" w:rsidRDefault="00CB6C0D" w:rsidP="00CB6C0D">
            <w:pPr>
              <w:pStyle w:val="Table"/>
              <w:rPr>
                <w:sz w:val="18"/>
                <w:szCs w:val="18"/>
                <w:lang w:val="en-US"/>
              </w:rPr>
            </w:pPr>
          </w:p>
        </w:tc>
        <w:tc>
          <w:tcPr>
            <w:tcW w:w="0" w:type="auto"/>
            <w:noWrap/>
            <w:vAlign w:val="center"/>
          </w:tcPr>
          <w:p w14:paraId="5FA3B5AD" w14:textId="77777777" w:rsidR="00CB6C0D" w:rsidRPr="00CB6C0D" w:rsidRDefault="00CB6C0D" w:rsidP="00CB6C0D">
            <w:pPr>
              <w:pStyle w:val="Table"/>
              <w:rPr>
                <w:sz w:val="18"/>
                <w:szCs w:val="18"/>
                <w:lang w:val="en-US"/>
              </w:rPr>
            </w:pPr>
          </w:p>
        </w:tc>
        <w:tc>
          <w:tcPr>
            <w:tcW w:w="0" w:type="auto"/>
            <w:noWrap/>
            <w:vAlign w:val="center"/>
          </w:tcPr>
          <w:p w14:paraId="267D85BE" w14:textId="77777777" w:rsidR="00CB6C0D" w:rsidRPr="00CB6C0D" w:rsidRDefault="00CB6C0D" w:rsidP="00CB6C0D">
            <w:pPr>
              <w:pStyle w:val="Table"/>
              <w:rPr>
                <w:sz w:val="18"/>
                <w:szCs w:val="18"/>
                <w:lang w:val="en-US"/>
              </w:rPr>
            </w:pPr>
          </w:p>
        </w:tc>
        <w:tc>
          <w:tcPr>
            <w:tcW w:w="0" w:type="auto"/>
            <w:noWrap/>
            <w:vAlign w:val="center"/>
          </w:tcPr>
          <w:p w14:paraId="38807FF9" w14:textId="77777777" w:rsidR="00CB6C0D" w:rsidRPr="00CB6C0D" w:rsidRDefault="00CB6C0D" w:rsidP="00CB6C0D">
            <w:pPr>
              <w:pStyle w:val="Table"/>
              <w:rPr>
                <w:sz w:val="18"/>
                <w:szCs w:val="18"/>
                <w:lang w:val="en-US"/>
              </w:rPr>
            </w:pPr>
          </w:p>
        </w:tc>
        <w:tc>
          <w:tcPr>
            <w:tcW w:w="0" w:type="auto"/>
            <w:vAlign w:val="center"/>
          </w:tcPr>
          <w:p w14:paraId="7B1251CF" w14:textId="77777777" w:rsidR="00CB6C0D" w:rsidRPr="00CB6C0D" w:rsidRDefault="00CB6C0D" w:rsidP="00CB6C0D">
            <w:pPr>
              <w:pStyle w:val="Table"/>
              <w:rPr>
                <w:sz w:val="18"/>
                <w:szCs w:val="18"/>
                <w:lang w:val="en-US"/>
              </w:rPr>
            </w:pPr>
          </w:p>
        </w:tc>
        <w:tc>
          <w:tcPr>
            <w:tcW w:w="0" w:type="auto"/>
            <w:noWrap/>
            <w:vAlign w:val="center"/>
          </w:tcPr>
          <w:p w14:paraId="34BA44E8" w14:textId="2A4A2FA3" w:rsidR="00CB6C0D" w:rsidRPr="00CB6C0D" w:rsidRDefault="00CB6C0D" w:rsidP="00CB6C0D">
            <w:pPr>
              <w:pStyle w:val="Table"/>
              <w:rPr>
                <w:sz w:val="18"/>
                <w:szCs w:val="18"/>
                <w:lang w:val="en-US"/>
              </w:rPr>
            </w:pPr>
          </w:p>
        </w:tc>
        <w:tc>
          <w:tcPr>
            <w:tcW w:w="0" w:type="auto"/>
            <w:noWrap/>
            <w:vAlign w:val="center"/>
          </w:tcPr>
          <w:p w14:paraId="68F23CC3" w14:textId="77777777" w:rsidR="00CB6C0D" w:rsidRPr="00CB6C0D" w:rsidRDefault="00CB6C0D" w:rsidP="00CB6C0D">
            <w:pPr>
              <w:pStyle w:val="Table"/>
              <w:rPr>
                <w:sz w:val="18"/>
                <w:szCs w:val="18"/>
                <w:lang w:val="en-US"/>
              </w:rPr>
            </w:pPr>
          </w:p>
        </w:tc>
      </w:tr>
      <w:tr w:rsidR="00CB6C0D" w:rsidRPr="00101A2A" w14:paraId="68079B83" w14:textId="77777777" w:rsidTr="00CB6C0D">
        <w:trPr>
          <w:trHeight w:val="260"/>
        </w:trPr>
        <w:tc>
          <w:tcPr>
            <w:tcW w:w="2430" w:type="dxa"/>
            <w:vAlign w:val="center"/>
          </w:tcPr>
          <w:p w14:paraId="2AA8C46B" w14:textId="4072AA44" w:rsidR="00CB6C0D" w:rsidRPr="00101A2A" w:rsidRDefault="00CB6C0D" w:rsidP="00CB6C0D">
            <w:pPr>
              <w:pStyle w:val="Table"/>
              <w:jc w:val="left"/>
              <w:rPr>
                <w:b/>
                <w:bCs/>
                <w:sz w:val="18"/>
                <w:szCs w:val="18"/>
                <w:lang w:val="en-US"/>
              </w:rPr>
            </w:pPr>
            <w:r w:rsidRPr="00101A2A">
              <w:rPr>
                <w:b/>
                <w:bCs/>
                <w:sz w:val="18"/>
                <w:szCs w:val="18"/>
                <w:lang w:val="en-US"/>
              </w:rPr>
              <w:t xml:space="preserve">5. </w:t>
            </w:r>
            <w:r w:rsidR="00CB1FA9">
              <w:rPr>
                <w:b/>
                <w:bCs/>
                <w:sz w:val="18"/>
                <w:szCs w:val="18"/>
                <w:lang w:val="en-US"/>
              </w:rPr>
              <w:t>Real estate prices at t</w:t>
            </w:r>
            <w:r w:rsidR="00CB1FA9" w:rsidRPr="00CB1FA9">
              <w:rPr>
                <w:b/>
                <w:bCs/>
                <w:sz w:val="18"/>
                <w:szCs w:val="18"/>
                <w:vertAlign w:val="subscript"/>
                <w:lang w:val="en-US"/>
              </w:rPr>
              <w:t>0</w:t>
            </w:r>
            <w:r w:rsidRPr="00101A2A">
              <w:rPr>
                <w:b/>
                <w:bCs/>
                <w:sz w:val="18"/>
                <w:szCs w:val="18"/>
                <w:lang w:val="en-US"/>
              </w:rPr>
              <w:t xml:space="preserve"> (</w:t>
            </w:r>
            <w:r w:rsidR="000E06DA">
              <w:rPr>
                <w:b/>
                <w:bCs/>
                <w:sz w:val="18"/>
                <w:szCs w:val="18"/>
                <w:lang w:val="en-US"/>
              </w:rPr>
              <w:t>log</w:t>
            </w:r>
            <w:r w:rsidRPr="00101A2A">
              <w:rPr>
                <w:b/>
                <w:bCs/>
                <w:sz w:val="18"/>
                <w:szCs w:val="18"/>
                <w:lang w:val="en-US"/>
              </w:rPr>
              <w:t>)</w:t>
            </w:r>
          </w:p>
        </w:tc>
        <w:tc>
          <w:tcPr>
            <w:tcW w:w="990" w:type="dxa"/>
            <w:noWrap/>
            <w:vAlign w:val="center"/>
            <w:hideMark/>
          </w:tcPr>
          <w:p w14:paraId="3334F7DE" w14:textId="09FADAEF" w:rsidR="00CB6C0D" w:rsidRPr="00CB6C0D" w:rsidRDefault="000E06DA" w:rsidP="00CB6C0D">
            <w:pPr>
              <w:pStyle w:val="Table"/>
              <w:rPr>
                <w:sz w:val="18"/>
                <w:szCs w:val="18"/>
                <w:lang w:val="en-US"/>
              </w:rPr>
            </w:pPr>
            <w:r>
              <w:rPr>
                <w:color w:val="000000"/>
                <w:sz w:val="18"/>
                <w:szCs w:val="18"/>
              </w:rPr>
              <w:t>1</w:t>
            </w:r>
            <w:r w:rsidR="00CB6C0D" w:rsidRPr="00CB6C0D">
              <w:rPr>
                <w:color w:val="000000"/>
                <w:sz w:val="18"/>
                <w:szCs w:val="18"/>
                <w:vertAlign w:val="superscript"/>
              </w:rPr>
              <w:t>***</w:t>
            </w:r>
          </w:p>
        </w:tc>
        <w:tc>
          <w:tcPr>
            <w:tcW w:w="900" w:type="dxa"/>
            <w:noWrap/>
            <w:vAlign w:val="center"/>
            <w:hideMark/>
          </w:tcPr>
          <w:p w14:paraId="1215BD8B" w14:textId="77ADA956" w:rsidR="00CB6C0D" w:rsidRPr="00CB6C0D" w:rsidRDefault="00CB6C0D" w:rsidP="00CB6C0D">
            <w:pPr>
              <w:pStyle w:val="Table"/>
              <w:rPr>
                <w:sz w:val="18"/>
                <w:szCs w:val="18"/>
                <w:lang w:val="en-US"/>
              </w:rPr>
            </w:pPr>
            <w:r w:rsidRPr="00CB6C0D">
              <w:rPr>
                <w:color w:val="000000"/>
                <w:sz w:val="18"/>
                <w:szCs w:val="18"/>
              </w:rPr>
              <w:t>-0.</w:t>
            </w:r>
            <w:r w:rsidR="000E06DA" w:rsidRPr="00CB6C0D">
              <w:rPr>
                <w:color w:val="000000"/>
                <w:sz w:val="18"/>
                <w:szCs w:val="18"/>
              </w:rPr>
              <w:t>00</w:t>
            </w:r>
            <w:r w:rsidR="000E06DA">
              <w:rPr>
                <w:color w:val="000000"/>
                <w:sz w:val="18"/>
                <w:szCs w:val="18"/>
              </w:rPr>
              <w:t>4</w:t>
            </w:r>
          </w:p>
        </w:tc>
        <w:tc>
          <w:tcPr>
            <w:tcW w:w="900" w:type="dxa"/>
            <w:noWrap/>
            <w:vAlign w:val="center"/>
            <w:hideMark/>
          </w:tcPr>
          <w:p w14:paraId="67153252" w14:textId="0BACF953" w:rsidR="00CB6C0D" w:rsidRPr="00CB6C0D" w:rsidRDefault="00CB6C0D" w:rsidP="00CB6C0D">
            <w:pPr>
              <w:pStyle w:val="Table"/>
              <w:rPr>
                <w:sz w:val="18"/>
                <w:szCs w:val="18"/>
                <w:lang w:val="en-US"/>
              </w:rPr>
            </w:pPr>
            <w:r w:rsidRPr="00CB6C0D">
              <w:rPr>
                <w:color w:val="000000"/>
                <w:sz w:val="18"/>
                <w:szCs w:val="18"/>
              </w:rPr>
              <w:t>-0.1</w:t>
            </w:r>
            <w:r w:rsidR="000E06DA">
              <w:rPr>
                <w:color w:val="000000"/>
                <w:sz w:val="18"/>
                <w:szCs w:val="18"/>
              </w:rPr>
              <w:t>16</w:t>
            </w:r>
            <w:r w:rsidRPr="00CB6C0D">
              <w:rPr>
                <w:color w:val="000000"/>
                <w:sz w:val="18"/>
                <w:szCs w:val="18"/>
                <w:vertAlign w:val="superscript"/>
              </w:rPr>
              <w:t>**</w:t>
            </w:r>
          </w:p>
        </w:tc>
        <w:tc>
          <w:tcPr>
            <w:tcW w:w="996" w:type="dxa"/>
            <w:vAlign w:val="center"/>
          </w:tcPr>
          <w:p w14:paraId="33384FCD" w14:textId="5533FD9D" w:rsidR="00CB6C0D" w:rsidRPr="00CB6C0D" w:rsidRDefault="00CB6C0D" w:rsidP="00CB6C0D">
            <w:pPr>
              <w:pStyle w:val="Table"/>
              <w:rPr>
                <w:sz w:val="18"/>
                <w:szCs w:val="18"/>
                <w:lang w:val="en-US"/>
              </w:rPr>
            </w:pPr>
            <w:r w:rsidRPr="00CB6C0D">
              <w:rPr>
                <w:color w:val="000000"/>
                <w:sz w:val="18"/>
                <w:szCs w:val="18"/>
              </w:rPr>
              <w:t>-0.</w:t>
            </w:r>
            <w:r w:rsidR="000E06DA" w:rsidRPr="00CB6C0D">
              <w:rPr>
                <w:color w:val="000000"/>
                <w:sz w:val="18"/>
                <w:szCs w:val="18"/>
              </w:rPr>
              <w:t>0</w:t>
            </w:r>
            <w:r w:rsidR="000E06DA">
              <w:rPr>
                <w:color w:val="000000"/>
                <w:sz w:val="18"/>
                <w:szCs w:val="18"/>
              </w:rPr>
              <w:t>25</w:t>
            </w:r>
            <w:r w:rsidRPr="00CB6C0D">
              <w:rPr>
                <w:color w:val="000000"/>
                <w:sz w:val="18"/>
                <w:szCs w:val="18"/>
                <w:vertAlign w:val="superscript"/>
              </w:rPr>
              <w:t>***</w:t>
            </w:r>
          </w:p>
        </w:tc>
        <w:tc>
          <w:tcPr>
            <w:tcW w:w="0" w:type="auto"/>
            <w:noWrap/>
            <w:vAlign w:val="center"/>
            <w:hideMark/>
          </w:tcPr>
          <w:p w14:paraId="125A476A" w14:textId="1C79209F" w:rsidR="00CB6C0D" w:rsidRPr="00CB6C0D" w:rsidRDefault="00CB6C0D" w:rsidP="00CB6C0D">
            <w:pPr>
              <w:pStyle w:val="Table"/>
              <w:rPr>
                <w:sz w:val="18"/>
                <w:szCs w:val="18"/>
                <w:lang w:val="en-US"/>
              </w:rPr>
            </w:pPr>
            <w:r w:rsidRPr="00CB6C0D">
              <w:rPr>
                <w:color w:val="000000"/>
                <w:sz w:val="18"/>
                <w:szCs w:val="18"/>
              </w:rPr>
              <w:t>1</w:t>
            </w:r>
          </w:p>
        </w:tc>
        <w:tc>
          <w:tcPr>
            <w:tcW w:w="0" w:type="auto"/>
            <w:noWrap/>
            <w:vAlign w:val="center"/>
            <w:hideMark/>
          </w:tcPr>
          <w:p w14:paraId="2C725C1D" w14:textId="77777777" w:rsidR="00CB6C0D" w:rsidRPr="00CB6C0D" w:rsidRDefault="00CB6C0D" w:rsidP="00CB6C0D">
            <w:pPr>
              <w:pStyle w:val="Table"/>
              <w:rPr>
                <w:sz w:val="18"/>
                <w:szCs w:val="18"/>
                <w:lang w:val="en-US"/>
              </w:rPr>
            </w:pPr>
          </w:p>
        </w:tc>
        <w:tc>
          <w:tcPr>
            <w:tcW w:w="0" w:type="auto"/>
            <w:noWrap/>
            <w:vAlign w:val="center"/>
            <w:hideMark/>
          </w:tcPr>
          <w:p w14:paraId="3A449DA0" w14:textId="77777777" w:rsidR="00CB6C0D" w:rsidRPr="00CB6C0D" w:rsidRDefault="00CB6C0D" w:rsidP="00CB6C0D">
            <w:pPr>
              <w:pStyle w:val="Table"/>
              <w:rPr>
                <w:sz w:val="18"/>
                <w:szCs w:val="18"/>
                <w:lang w:val="en-US"/>
              </w:rPr>
            </w:pPr>
          </w:p>
        </w:tc>
        <w:tc>
          <w:tcPr>
            <w:tcW w:w="0" w:type="auto"/>
            <w:noWrap/>
            <w:vAlign w:val="center"/>
            <w:hideMark/>
          </w:tcPr>
          <w:p w14:paraId="755FDBD6" w14:textId="77777777" w:rsidR="00CB6C0D" w:rsidRPr="00CB6C0D" w:rsidRDefault="00CB6C0D" w:rsidP="00CB6C0D">
            <w:pPr>
              <w:pStyle w:val="Table"/>
              <w:rPr>
                <w:sz w:val="18"/>
                <w:szCs w:val="18"/>
                <w:lang w:val="en-US"/>
              </w:rPr>
            </w:pPr>
          </w:p>
        </w:tc>
        <w:tc>
          <w:tcPr>
            <w:tcW w:w="0" w:type="auto"/>
            <w:noWrap/>
            <w:vAlign w:val="center"/>
            <w:hideMark/>
          </w:tcPr>
          <w:p w14:paraId="7981A357" w14:textId="77777777" w:rsidR="00CB6C0D" w:rsidRPr="00CB6C0D" w:rsidRDefault="00CB6C0D" w:rsidP="00CB6C0D">
            <w:pPr>
              <w:pStyle w:val="Table"/>
              <w:rPr>
                <w:sz w:val="18"/>
                <w:szCs w:val="18"/>
                <w:lang w:val="en-US"/>
              </w:rPr>
            </w:pPr>
          </w:p>
        </w:tc>
        <w:tc>
          <w:tcPr>
            <w:tcW w:w="0" w:type="auto"/>
            <w:noWrap/>
            <w:vAlign w:val="center"/>
            <w:hideMark/>
          </w:tcPr>
          <w:p w14:paraId="7D643185" w14:textId="77777777" w:rsidR="00CB6C0D" w:rsidRPr="00CB6C0D" w:rsidRDefault="00CB6C0D" w:rsidP="00CB6C0D">
            <w:pPr>
              <w:pStyle w:val="Table"/>
              <w:rPr>
                <w:sz w:val="18"/>
                <w:szCs w:val="18"/>
                <w:lang w:val="en-US"/>
              </w:rPr>
            </w:pPr>
          </w:p>
        </w:tc>
        <w:tc>
          <w:tcPr>
            <w:tcW w:w="0" w:type="auto"/>
            <w:vAlign w:val="center"/>
          </w:tcPr>
          <w:p w14:paraId="17EA17E5" w14:textId="77777777" w:rsidR="00CB6C0D" w:rsidRPr="00CB6C0D" w:rsidRDefault="00CB6C0D" w:rsidP="00CB6C0D">
            <w:pPr>
              <w:pStyle w:val="Table"/>
              <w:rPr>
                <w:sz w:val="18"/>
                <w:szCs w:val="18"/>
                <w:lang w:val="en-US"/>
              </w:rPr>
            </w:pPr>
          </w:p>
        </w:tc>
        <w:tc>
          <w:tcPr>
            <w:tcW w:w="0" w:type="auto"/>
            <w:noWrap/>
            <w:vAlign w:val="center"/>
            <w:hideMark/>
          </w:tcPr>
          <w:p w14:paraId="07CCB155" w14:textId="08D96AFD" w:rsidR="00CB6C0D" w:rsidRPr="00CB6C0D" w:rsidRDefault="00CB6C0D" w:rsidP="00CB6C0D">
            <w:pPr>
              <w:pStyle w:val="Table"/>
              <w:rPr>
                <w:sz w:val="18"/>
                <w:szCs w:val="18"/>
                <w:lang w:val="en-US"/>
              </w:rPr>
            </w:pPr>
          </w:p>
        </w:tc>
        <w:tc>
          <w:tcPr>
            <w:tcW w:w="0" w:type="auto"/>
            <w:noWrap/>
            <w:vAlign w:val="center"/>
            <w:hideMark/>
          </w:tcPr>
          <w:p w14:paraId="52BBC0A7" w14:textId="77777777" w:rsidR="00CB6C0D" w:rsidRPr="00CB6C0D" w:rsidRDefault="00CB6C0D" w:rsidP="00CB6C0D">
            <w:pPr>
              <w:pStyle w:val="Table"/>
              <w:rPr>
                <w:sz w:val="18"/>
                <w:szCs w:val="18"/>
                <w:lang w:val="en-US"/>
              </w:rPr>
            </w:pPr>
          </w:p>
        </w:tc>
      </w:tr>
      <w:tr w:rsidR="00CB6C0D" w:rsidRPr="00101A2A" w14:paraId="02FCB053" w14:textId="77777777" w:rsidTr="00CB6C0D">
        <w:trPr>
          <w:trHeight w:val="260"/>
        </w:trPr>
        <w:tc>
          <w:tcPr>
            <w:tcW w:w="2430" w:type="dxa"/>
            <w:vAlign w:val="center"/>
          </w:tcPr>
          <w:p w14:paraId="06E5CF4E" w14:textId="77777777" w:rsidR="00CB6C0D" w:rsidRPr="00101A2A" w:rsidRDefault="00CB6C0D" w:rsidP="00CB6C0D">
            <w:pPr>
              <w:pStyle w:val="Table"/>
              <w:jc w:val="left"/>
              <w:rPr>
                <w:b/>
                <w:bCs/>
                <w:sz w:val="18"/>
                <w:szCs w:val="18"/>
                <w:lang w:val="en-US"/>
              </w:rPr>
            </w:pPr>
            <w:r w:rsidRPr="00101A2A">
              <w:rPr>
                <w:b/>
                <w:bCs/>
                <w:sz w:val="18"/>
                <w:szCs w:val="18"/>
                <w:lang w:val="en-US"/>
              </w:rPr>
              <w:t>6. No. of spanners</w:t>
            </w:r>
          </w:p>
        </w:tc>
        <w:tc>
          <w:tcPr>
            <w:tcW w:w="990" w:type="dxa"/>
            <w:noWrap/>
            <w:vAlign w:val="center"/>
            <w:hideMark/>
          </w:tcPr>
          <w:p w14:paraId="39F7837D" w14:textId="0D134A55" w:rsidR="00CB6C0D" w:rsidRPr="00CB6C0D" w:rsidRDefault="00CB6C0D" w:rsidP="00CB6C0D">
            <w:pPr>
              <w:pStyle w:val="Table"/>
              <w:rPr>
                <w:sz w:val="18"/>
                <w:szCs w:val="18"/>
                <w:lang w:val="en-US"/>
              </w:rPr>
            </w:pPr>
            <w:r w:rsidRPr="00CB6C0D">
              <w:rPr>
                <w:color w:val="000000"/>
                <w:sz w:val="18"/>
                <w:szCs w:val="18"/>
              </w:rPr>
              <w:t>0.245</w:t>
            </w:r>
            <w:r w:rsidRPr="00CB6C0D">
              <w:rPr>
                <w:color w:val="000000"/>
                <w:sz w:val="18"/>
                <w:szCs w:val="18"/>
                <w:vertAlign w:val="superscript"/>
              </w:rPr>
              <w:t>***</w:t>
            </w:r>
          </w:p>
        </w:tc>
        <w:tc>
          <w:tcPr>
            <w:tcW w:w="900" w:type="dxa"/>
            <w:noWrap/>
            <w:vAlign w:val="center"/>
            <w:hideMark/>
          </w:tcPr>
          <w:p w14:paraId="677C21C2" w14:textId="73742B12" w:rsidR="00CB6C0D" w:rsidRPr="00CB6C0D" w:rsidRDefault="00CB6C0D" w:rsidP="00CB6C0D">
            <w:pPr>
              <w:pStyle w:val="Table"/>
              <w:rPr>
                <w:sz w:val="18"/>
                <w:szCs w:val="18"/>
                <w:lang w:val="en-US"/>
              </w:rPr>
            </w:pPr>
            <w:r w:rsidRPr="00CB6C0D">
              <w:rPr>
                <w:color w:val="000000"/>
                <w:sz w:val="18"/>
                <w:szCs w:val="18"/>
              </w:rPr>
              <w:t>0.258</w:t>
            </w:r>
            <w:r w:rsidRPr="00CB6C0D">
              <w:rPr>
                <w:color w:val="000000"/>
                <w:sz w:val="18"/>
                <w:szCs w:val="18"/>
                <w:vertAlign w:val="superscript"/>
              </w:rPr>
              <w:t>***</w:t>
            </w:r>
          </w:p>
        </w:tc>
        <w:tc>
          <w:tcPr>
            <w:tcW w:w="900" w:type="dxa"/>
            <w:noWrap/>
            <w:vAlign w:val="center"/>
            <w:hideMark/>
          </w:tcPr>
          <w:p w14:paraId="2027F708" w14:textId="2B68DEAB" w:rsidR="00CB6C0D" w:rsidRPr="00CB6C0D" w:rsidRDefault="00CB6C0D" w:rsidP="00CB6C0D">
            <w:pPr>
              <w:pStyle w:val="Table"/>
              <w:rPr>
                <w:sz w:val="18"/>
                <w:szCs w:val="18"/>
                <w:lang w:val="en-US"/>
              </w:rPr>
            </w:pPr>
            <w:r w:rsidRPr="00CB6C0D">
              <w:rPr>
                <w:color w:val="000000"/>
                <w:sz w:val="18"/>
                <w:szCs w:val="18"/>
              </w:rPr>
              <w:t>0.06</w:t>
            </w:r>
            <w:r>
              <w:rPr>
                <w:color w:val="000000"/>
                <w:sz w:val="18"/>
                <w:szCs w:val="18"/>
              </w:rPr>
              <w:t>6</w:t>
            </w:r>
            <w:r w:rsidRPr="00CB6C0D">
              <w:rPr>
                <w:color w:val="000000"/>
                <w:sz w:val="18"/>
                <w:szCs w:val="18"/>
                <w:vertAlign w:val="superscript"/>
              </w:rPr>
              <w:t>***</w:t>
            </w:r>
          </w:p>
        </w:tc>
        <w:tc>
          <w:tcPr>
            <w:tcW w:w="996" w:type="dxa"/>
            <w:vAlign w:val="center"/>
          </w:tcPr>
          <w:p w14:paraId="383CA26F" w14:textId="477FDE1C" w:rsidR="00CB6C0D" w:rsidRPr="00CB6C0D" w:rsidRDefault="00CB6C0D" w:rsidP="00CB6C0D">
            <w:pPr>
              <w:pStyle w:val="Table"/>
              <w:rPr>
                <w:sz w:val="18"/>
                <w:szCs w:val="18"/>
                <w:lang w:val="en-US"/>
              </w:rPr>
            </w:pPr>
            <w:r w:rsidRPr="00CB6C0D">
              <w:rPr>
                <w:color w:val="000000"/>
                <w:sz w:val="18"/>
                <w:szCs w:val="18"/>
              </w:rPr>
              <w:t>-0.</w:t>
            </w:r>
            <w:r>
              <w:rPr>
                <w:color w:val="000000"/>
                <w:sz w:val="18"/>
                <w:szCs w:val="18"/>
              </w:rPr>
              <w:t>100</w:t>
            </w:r>
            <w:r w:rsidRPr="00CB6C0D">
              <w:rPr>
                <w:color w:val="000000"/>
                <w:sz w:val="18"/>
                <w:szCs w:val="18"/>
                <w:vertAlign w:val="superscript"/>
              </w:rPr>
              <w:t>***</w:t>
            </w:r>
          </w:p>
        </w:tc>
        <w:tc>
          <w:tcPr>
            <w:tcW w:w="0" w:type="auto"/>
            <w:noWrap/>
            <w:vAlign w:val="center"/>
            <w:hideMark/>
          </w:tcPr>
          <w:p w14:paraId="09303C77" w14:textId="46955FAE" w:rsidR="00CB6C0D" w:rsidRPr="00CB6C0D" w:rsidRDefault="00CB6C0D" w:rsidP="00CB6C0D">
            <w:pPr>
              <w:pStyle w:val="Table"/>
              <w:rPr>
                <w:sz w:val="18"/>
                <w:szCs w:val="18"/>
                <w:lang w:val="en-US"/>
              </w:rPr>
            </w:pPr>
            <w:r w:rsidRPr="00CB6C0D">
              <w:rPr>
                <w:color w:val="000000"/>
                <w:sz w:val="18"/>
                <w:szCs w:val="18"/>
              </w:rPr>
              <w:t>0.</w:t>
            </w:r>
            <w:r w:rsidR="009C6F0D" w:rsidRPr="00CB6C0D">
              <w:rPr>
                <w:color w:val="000000"/>
                <w:sz w:val="18"/>
                <w:szCs w:val="18"/>
              </w:rPr>
              <w:t>2</w:t>
            </w:r>
            <w:r w:rsidR="009C6F0D">
              <w:rPr>
                <w:color w:val="000000"/>
                <w:sz w:val="18"/>
                <w:szCs w:val="18"/>
              </w:rPr>
              <w:t>44</w:t>
            </w:r>
            <w:r w:rsidRPr="00CB6C0D">
              <w:rPr>
                <w:color w:val="000000"/>
                <w:sz w:val="18"/>
                <w:szCs w:val="18"/>
                <w:vertAlign w:val="superscript"/>
              </w:rPr>
              <w:t>***</w:t>
            </w:r>
          </w:p>
        </w:tc>
        <w:tc>
          <w:tcPr>
            <w:tcW w:w="0" w:type="auto"/>
            <w:noWrap/>
            <w:vAlign w:val="center"/>
            <w:hideMark/>
          </w:tcPr>
          <w:p w14:paraId="1A8C674B" w14:textId="41299B79" w:rsidR="00CB6C0D" w:rsidRPr="00CB6C0D" w:rsidRDefault="00CB6C0D" w:rsidP="00CB6C0D">
            <w:pPr>
              <w:pStyle w:val="Table"/>
              <w:rPr>
                <w:sz w:val="18"/>
                <w:szCs w:val="18"/>
                <w:lang w:val="en-US"/>
              </w:rPr>
            </w:pPr>
            <w:r w:rsidRPr="00CB6C0D">
              <w:rPr>
                <w:color w:val="000000"/>
                <w:sz w:val="18"/>
                <w:szCs w:val="18"/>
              </w:rPr>
              <w:t>1</w:t>
            </w:r>
          </w:p>
        </w:tc>
        <w:tc>
          <w:tcPr>
            <w:tcW w:w="0" w:type="auto"/>
            <w:noWrap/>
            <w:vAlign w:val="center"/>
            <w:hideMark/>
          </w:tcPr>
          <w:p w14:paraId="1763555B" w14:textId="77777777" w:rsidR="00CB6C0D" w:rsidRPr="00CB6C0D" w:rsidRDefault="00CB6C0D" w:rsidP="00CB6C0D">
            <w:pPr>
              <w:pStyle w:val="Table"/>
              <w:rPr>
                <w:sz w:val="18"/>
                <w:szCs w:val="18"/>
                <w:lang w:val="en-US"/>
              </w:rPr>
            </w:pPr>
          </w:p>
        </w:tc>
        <w:tc>
          <w:tcPr>
            <w:tcW w:w="0" w:type="auto"/>
            <w:noWrap/>
            <w:vAlign w:val="center"/>
            <w:hideMark/>
          </w:tcPr>
          <w:p w14:paraId="58CE44DF" w14:textId="77777777" w:rsidR="00CB6C0D" w:rsidRPr="00CB6C0D" w:rsidRDefault="00CB6C0D" w:rsidP="00CB6C0D">
            <w:pPr>
              <w:pStyle w:val="Table"/>
              <w:rPr>
                <w:sz w:val="18"/>
                <w:szCs w:val="18"/>
                <w:lang w:val="en-US"/>
              </w:rPr>
            </w:pPr>
          </w:p>
        </w:tc>
        <w:tc>
          <w:tcPr>
            <w:tcW w:w="0" w:type="auto"/>
            <w:noWrap/>
            <w:vAlign w:val="center"/>
            <w:hideMark/>
          </w:tcPr>
          <w:p w14:paraId="7C34FD6B" w14:textId="77777777" w:rsidR="00CB6C0D" w:rsidRPr="00CB6C0D" w:rsidRDefault="00CB6C0D" w:rsidP="00CB6C0D">
            <w:pPr>
              <w:pStyle w:val="Table"/>
              <w:rPr>
                <w:sz w:val="18"/>
                <w:szCs w:val="18"/>
                <w:lang w:val="en-US"/>
              </w:rPr>
            </w:pPr>
          </w:p>
        </w:tc>
        <w:tc>
          <w:tcPr>
            <w:tcW w:w="0" w:type="auto"/>
            <w:noWrap/>
            <w:vAlign w:val="center"/>
            <w:hideMark/>
          </w:tcPr>
          <w:p w14:paraId="17EAECFB" w14:textId="77777777" w:rsidR="00CB6C0D" w:rsidRPr="00CB6C0D" w:rsidRDefault="00CB6C0D" w:rsidP="00CB6C0D">
            <w:pPr>
              <w:pStyle w:val="Table"/>
              <w:rPr>
                <w:sz w:val="18"/>
                <w:szCs w:val="18"/>
                <w:lang w:val="en-US"/>
              </w:rPr>
            </w:pPr>
          </w:p>
        </w:tc>
        <w:tc>
          <w:tcPr>
            <w:tcW w:w="0" w:type="auto"/>
            <w:vAlign w:val="center"/>
          </w:tcPr>
          <w:p w14:paraId="3C2EEB8A" w14:textId="77777777" w:rsidR="00CB6C0D" w:rsidRPr="00CB6C0D" w:rsidRDefault="00CB6C0D" w:rsidP="00CB6C0D">
            <w:pPr>
              <w:pStyle w:val="Table"/>
              <w:rPr>
                <w:sz w:val="18"/>
                <w:szCs w:val="18"/>
                <w:lang w:val="en-US"/>
              </w:rPr>
            </w:pPr>
          </w:p>
        </w:tc>
        <w:tc>
          <w:tcPr>
            <w:tcW w:w="0" w:type="auto"/>
            <w:noWrap/>
            <w:vAlign w:val="center"/>
            <w:hideMark/>
          </w:tcPr>
          <w:p w14:paraId="2A921D72" w14:textId="0AA37793" w:rsidR="00CB6C0D" w:rsidRPr="00CB6C0D" w:rsidRDefault="00CB6C0D" w:rsidP="00CB6C0D">
            <w:pPr>
              <w:pStyle w:val="Table"/>
              <w:rPr>
                <w:sz w:val="18"/>
                <w:szCs w:val="18"/>
                <w:lang w:val="en-US"/>
              </w:rPr>
            </w:pPr>
          </w:p>
        </w:tc>
        <w:tc>
          <w:tcPr>
            <w:tcW w:w="0" w:type="auto"/>
            <w:noWrap/>
            <w:vAlign w:val="center"/>
            <w:hideMark/>
          </w:tcPr>
          <w:p w14:paraId="42806419" w14:textId="77777777" w:rsidR="00CB6C0D" w:rsidRPr="00CB6C0D" w:rsidRDefault="00CB6C0D" w:rsidP="00CB6C0D">
            <w:pPr>
              <w:pStyle w:val="Table"/>
              <w:rPr>
                <w:sz w:val="18"/>
                <w:szCs w:val="18"/>
                <w:lang w:val="en-US"/>
              </w:rPr>
            </w:pPr>
          </w:p>
        </w:tc>
      </w:tr>
      <w:tr w:rsidR="00CB6C0D" w:rsidRPr="00101A2A" w14:paraId="46DDEC57" w14:textId="77777777" w:rsidTr="00CB6C0D">
        <w:trPr>
          <w:trHeight w:val="260"/>
        </w:trPr>
        <w:tc>
          <w:tcPr>
            <w:tcW w:w="2430" w:type="dxa"/>
            <w:vAlign w:val="center"/>
          </w:tcPr>
          <w:p w14:paraId="33051654" w14:textId="77777777" w:rsidR="00CB6C0D" w:rsidRPr="00101A2A" w:rsidRDefault="00CB6C0D" w:rsidP="00CB6C0D">
            <w:pPr>
              <w:pStyle w:val="Table"/>
              <w:jc w:val="left"/>
              <w:rPr>
                <w:b/>
                <w:bCs/>
                <w:sz w:val="18"/>
                <w:szCs w:val="18"/>
                <w:lang w:val="en-US"/>
              </w:rPr>
            </w:pPr>
            <w:r w:rsidRPr="00101A2A">
              <w:rPr>
                <w:b/>
                <w:bCs/>
                <w:sz w:val="18"/>
                <w:szCs w:val="18"/>
                <w:lang w:val="en-US"/>
              </w:rPr>
              <w:t>7. No. of single-listing actors</w:t>
            </w:r>
          </w:p>
        </w:tc>
        <w:tc>
          <w:tcPr>
            <w:tcW w:w="990" w:type="dxa"/>
            <w:noWrap/>
            <w:vAlign w:val="center"/>
            <w:hideMark/>
          </w:tcPr>
          <w:p w14:paraId="5C0E61EE" w14:textId="1394B39F" w:rsidR="00CB6C0D" w:rsidRPr="00CB6C0D" w:rsidRDefault="00CB6C0D" w:rsidP="00CB6C0D">
            <w:pPr>
              <w:pStyle w:val="Table"/>
              <w:rPr>
                <w:sz w:val="18"/>
                <w:szCs w:val="18"/>
                <w:lang w:val="en-US"/>
              </w:rPr>
            </w:pPr>
            <w:r w:rsidRPr="00CB6C0D">
              <w:rPr>
                <w:color w:val="000000"/>
                <w:sz w:val="18"/>
                <w:szCs w:val="18"/>
              </w:rPr>
              <w:t>0.343</w:t>
            </w:r>
            <w:r w:rsidRPr="00CB6C0D">
              <w:rPr>
                <w:color w:val="000000"/>
                <w:sz w:val="18"/>
                <w:szCs w:val="18"/>
                <w:vertAlign w:val="superscript"/>
              </w:rPr>
              <w:t>***</w:t>
            </w:r>
          </w:p>
        </w:tc>
        <w:tc>
          <w:tcPr>
            <w:tcW w:w="900" w:type="dxa"/>
            <w:noWrap/>
            <w:vAlign w:val="center"/>
            <w:hideMark/>
          </w:tcPr>
          <w:p w14:paraId="2ECFD3CF" w14:textId="78F6A950" w:rsidR="00CB6C0D" w:rsidRPr="00CB6C0D" w:rsidRDefault="00CB6C0D" w:rsidP="00CB6C0D">
            <w:pPr>
              <w:pStyle w:val="Table"/>
              <w:rPr>
                <w:sz w:val="18"/>
                <w:szCs w:val="18"/>
                <w:lang w:val="en-US"/>
              </w:rPr>
            </w:pPr>
            <w:r w:rsidRPr="00CB6C0D">
              <w:rPr>
                <w:color w:val="000000"/>
                <w:sz w:val="18"/>
                <w:szCs w:val="18"/>
              </w:rPr>
              <w:t>-0.04</w:t>
            </w:r>
            <w:r>
              <w:rPr>
                <w:color w:val="000000"/>
                <w:sz w:val="18"/>
                <w:szCs w:val="18"/>
              </w:rPr>
              <w:t>7</w:t>
            </w:r>
            <w:r w:rsidRPr="00CB6C0D">
              <w:rPr>
                <w:color w:val="000000"/>
                <w:sz w:val="18"/>
                <w:szCs w:val="18"/>
                <w:vertAlign w:val="superscript"/>
              </w:rPr>
              <w:t>***</w:t>
            </w:r>
          </w:p>
        </w:tc>
        <w:tc>
          <w:tcPr>
            <w:tcW w:w="900" w:type="dxa"/>
            <w:noWrap/>
            <w:vAlign w:val="center"/>
            <w:hideMark/>
          </w:tcPr>
          <w:p w14:paraId="75FD8429" w14:textId="1D2B5D14" w:rsidR="00CB6C0D" w:rsidRPr="00CB6C0D" w:rsidRDefault="00CB6C0D" w:rsidP="00CB6C0D">
            <w:pPr>
              <w:pStyle w:val="Table"/>
              <w:rPr>
                <w:sz w:val="18"/>
                <w:szCs w:val="18"/>
                <w:lang w:val="en-US"/>
              </w:rPr>
            </w:pPr>
            <w:r w:rsidRPr="00CB6C0D">
              <w:rPr>
                <w:color w:val="000000"/>
                <w:sz w:val="18"/>
                <w:szCs w:val="18"/>
              </w:rPr>
              <w:t>0.125</w:t>
            </w:r>
            <w:r w:rsidRPr="00CB6C0D">
              <w:rPr>
                <w:color w:val="000000"/>
                <w:sz w:val="18"/>
                <w:szCs w:val="18"/>
                <w:vertAlign w:val="superscript"/>
              </w:rPr>
              <w:t>***</w:t>
            </w:r>
          </w:p>
        </w:tc>
        <w:tc>
          <w:tcPr>
            <w:tcW w:w="996" w:type="dxa"/>
            <w:vAlign w:val="center"/>
          </w:tcPr>
          <w:p w14:paraId="19C4228A" w14:textId="16FA4047" w:rsidR="00CB6C0D" w:rsidRPr="00CB6C0D" w:rsidRDefault="00CB6C0D" w:rsidP="00CB6C0D">
            <w:pPr>
              <w:pStyle w:val="Table"/>
              <w:rPr>
                <w:sz w:val="18"/>
                <w:szCs w:val="18"/>
                <w:lang w:val="en-US"/>
              </w:rPr>
            </w:pPr>
            <w:r w:rsidRPr="00CB6C0D">
              <w:rPr>
                <w:color w:val="000000"/>
                <w:sz w:val="18"/>
                <w:szCs w:val="18"/>
              </w:rPr>
              <w:t>-0.137</w:t>
            </w:r>
            <w:r w:rsidRPr="00CB6C0D">
              <w:rPr>
                <w:color w:val="000000"/>
                <w:sz w:val="18"/>
                <w:szCs w:val="18"/>
                <w:vertAlign w:val="superscript"/>
              </w:rPr>
              <w:t>***</w:t>
            </w:r>
          </w:p>
        </w:tc>
        <w:tc>
          <w:tcPr>
            <w:tcW w:w="0" w:type="auto"/>
            <w:noWrap/>
            <w:vAlign w:val="center"/>
            <w:hideMark/>
          </w:tcPr>
          <w:p w14:paraId="146DD589" w14:textId="6B846269" w:rsidR="00CB6C0D" w:rsidRPr="00CB6C0D" w:rsidRDefault="00CB6C0D" w:rsidP="00CB6C0D">
            <w:pPr>
              <w:pStyle w:val="Table"/>
              <w:rPr>
                <w:sz w:val="18"/>
                <w:szCs w:val="18"/>
                <w:lang w:val="en-US"/>
              </w:rPr>
            </w:pPr>
            <w:r w:rsidRPr="00CB6C0D">
              <w:rPr>
                <w:color w:val="000000"/>
                <w:sz w:val="18"/>
                <w:szCs w:val="18"/>
              </w:rPr>
              <w:t>0.3</w:t>
            </w:r>
            <w:r w:rsidR="009C6F0D">
              <w:rPr>
                <w:color w:val="000000"/>
                <w:sz w:val="18"/>
                <w:szCs w:val="18"/>
              </w:rPr>
              <w:t>41</w:t>
            </w:r>
            <w:r w:rsidRPr="00CB6C0D">
              <w:rPr>
                <w:color w:val="000000"/>
                <w:sz w:val="18"/>
                <w:szCs w:val="18"/>
                <w:vertAlign w:val="superscript"/>
              </w:rPr>
              <w:t>***</w:t>
            </w:r>
          </w:p>
        </w:tc>
        <w:tc>
          <w:tcPr>
            <w:tcW w:w="0" w:type="auto"/>
            <w:noWrap/>
            <w:vAlign w:val="center"/>
            <w:hideMark/>
          </w:tcPr>
          <w:p w14:paraId="54A5B499" w14:textId="24741671" w:rsidR="00CB6C0D" w:rsidRPr="00CB6C0D" w:rsidRDefault="00CB6C0D" w:rsidP="00CB6C0D">
            <w:pPr>
              <w:pStyle w:val="Table"/>
              <w:rPr>
                <w:sz w:val="18"/>
                <w:szCs w:val="18"/>
                <w:lang w:val="en-US"/>
              </w:rPr>
            </w:pPr>
            <w:r w:rsidRPr="00CB6C0D">
              <w:rPr>
                <w:color w:val="000000"/>
                <w:sz w:val="18"/>
                <w:szCs w:val="18"/>
              </w:rPr>
              <w:t>0.710</w:t>
            </w:r>
            <w:r w:rsidRPr="00CB6C0D">
              <w:rPr>
                <w:color w:val="000000"/>
                <w:sz w:val="18"/>
                <w:szCs w:val="18"/>
                <w:vertAlign w:val="superscript"/>
              </w:rPr>
              <w:t>***</w:t>
            </w:r>
          </w:p>
        </w:tc>
        <w:tc>
          <w:tcPr>
            <w:tcW w:w="0" w:type="auto"/>
            <w:noWrap/>
            <w:vAlign w:val="center"/>
            <w:hideMark/>
          </w:tcPr>
          <w:p w14:paraId="740E2486" w14:textId="189649BE" w:rsidR="00CB6C0D" w:rsidRPr="00CB6C0D" w:rsidRDefault="00CB6C0D" w:rsidP="00CB6C0D">
            <w:pPr>
              <w:pStyle w:val="Table"/>
              <w:rPr>
                <w:sz w:val="18"/>
                <w:szCs w:val="18"/>
                <w:lang w:val="en-US"/>
              </w:rPr>
            </w:pPr>
            <w:r w:rsidRPr="00CB6C0D">
              <w:rPr>
                <w:color w:val="000000"/>
                <w:sz w:val="18"/>
                <w:szCs w:val="18"/>
              </w:rPr>
              <w:t>1</w:t>
            </w:r>
          </w:p>
        </w:tc>
        <w:tc>
          <w:tcPr>
            <w:tcW w:w="0" w:type="auto"/>
            <w:noWrap/>
            <w:vAlign w:val="center"/>
            <w:hideMark/>
          </w:tcPr>
          <w:p w14:paraId="5D9C2BCD" w14:textId="77777777" w:rsidR="00CB6C0D" w:rsidRPr="00CB6C0D" w:rsidRDefault="00CB6C0D" w:rsidP="00CB6C0D">
            <w:pPr>
              <w:pStyle w:val="Table"/>
              <w:rPr>
                <w:sz w:val="18"/>
                <w:szCs w:val="18"/>
                <w:lang w:val="en-US"/>
              </w:rPr>
            </w:pPr>
          </w:p>
        </w:tc>
        <w:tc>
          <w:tcPr>
            <w:tcW w:w="0" w:type="auto"/>
            <w:noWrap/>
            <w:vAlign w:val="center"/>
            <w:hideMark/>
          </w:tcPr>
          <w:p w14:paraId="4B4952BB" w14:textId="77777777" w:rsidR="00CB6C0D" w:rsidRPr="00CB6C0D" w:rsidRDefault="00CB6C0D" w:rsidP="00CB6C0D">
            <w:pPr>
              <w:pStyle w:val="Table"/>
              <w:rPr>
                <w:sz w:val="18"/>
                <w:szCs w:val="18"/>
                <w:lang w:val="en-US"/>
              </w:rPr>
            </w:pPr>
          </w:p>
        </w:tc>
        <w:tc>
          <w:tcPr>
            <w:tcW w:w="0" w:type="auto"/>
            <w:noWrap/>
            <w:vAlign w:val="center"/>
            <w:hideMark/>
          </w:tcPr>
          <w:p w14:paraId="56F7A20E" w14:textId="77777777" w:rsidR="00CB6C0D" w:rsidRPr="00CB6C0D" w:rsidRDefault="00CB6C0D" w:rsidP="00CB6C0D">
            <w:pPr>
              <w:pStyle w:val="Table"/>
              <w:rPr>
                <w:sz w:val="18"/>
                <w:szCs w:val="18"/>
                <w:lang w:val="en-US"/>
              </w:rPr>
            </w:pPr>
          </w:p>
        </w:tc>
        <w:tc>
          <w:tcPr>
            <w:tcW w:w="0" w:type="auto"/>
            <w:vAlign w:val="center"/>
          </w:tcPr>
          <w:p w14:paraId="2824A2A0" w14:textId="77777777" w:rsidR="00CB6C0D" w:rsidRPr="00CB6C0D" w:rsidRDefault="00CB6C0D" w:rsidP="00CB6C0D">
            <w:pPr>
              <w:pStyle w:val="Table"/>
              <w:rPr>
                <w:sz w:val="18"/>
                <w:szCs w:val="18"/>
                <w:lang w:val="en-US"/>
              </w:rPr>
            </w:pPr>
          </w:p>
        </w:tc>
        <w:tc>
          <w:tcPr>
            <w:tcW w:w="0" w:type="auto"/>
            <w:noWrap/>
            <w:vAlign w:val="center"/>
            <w:hideMark/>
          </w:tcPr>
          <w:p w14:paraId="7510CFEB" w14:textId="6F0EDC41" w:rsidR="00CB6C0D" w:rsidRPr="00CB6C0D" w:rsidRDefault="00CB6C0D" w:rsidP="00CB6C0D">
            <w:pPr>
              <w:pStyle w:val="Table"/>
              <w:rPr>
                <w:sz w:val="18"/>
                <w:szCs w:val="18"/>
                <w:lang w:val="en-US"/>
              </w:rPr>
            </w:pPr>
          </w:p>
        </w:tc>
        <w:tc>
          <w:tcPr>
            <w:tcW w:w="0" w:type="auto"/>
            <w:noWrap/>
            <w:vAlign w:val="center"/>
            <w:hideMark/>
          </w:tcPr>
          <w:p w14:paraId="21056C99" w14:textId="77777777" w:rsidR="00CB6C0D" w:rsidRPr="00CB6C0D" w:rsidRDefault="00CB6C0D" w:rsidP="00CB6C0D">
            <w:pPr>
              <w:pStyle w:val="Table"/>
              <w:rPr>
                <w:sz w:val="18"/>
                <w:szCs w:val="18"/>
                <w:lang w:val="en-US"/>
              </w:rPr>
            </w:pPr>
          </w:p>
        </w:tc>
      </w:tr>
      <w:tr w:rsidR="00CB6C0D" w:rsidRPr="00101A2A" w14:paraId="42E1E1D8" w14:textId="77777777" w:rsidTr="00CB6C0D">
        <w:trPr>
          <w:trHeight w:val="260"/>
        </w:trPr>
        <w:tc>
          <w:tcPr>
            <w:tcW w:w="2430" w:type="dxa"/>
            <w:vAlign w:val="center"/>
          </w:tcPr>
          <w:p w14:paraId="4AC09DF2" w14:textId="77777777" w:rsidR="00CB6C0D" w:rsidRPr="00101A2A" w:rsidRDefault="00CB6C0D" w:rsidP="00CB6C0D">
            <w:pPr>
              <w:pStyle w:val="Table"/>
              <w:jc w:val="left"/>
              <w:rPr>
                <w:b/>
                <w:bCs/>
                <w:sz w:val="18"/>
                <w:szCs w:val="18"/>
                <w:lang w:val="en-US"/>
              </w:rPr>
            </w:pPr>
            <w:r w:rsidRPr="00101A2A">
              <w:rPr>
                <w:b/>
                <w:bCs/>
                <w:sz w:val="18"/>
                <w:szCs w:val="18"/>
                <w:lang w:val="en-US"/>
              </w:rPr>
              <w:t>8. No. of not spanning actors</w:t>
            </w:r>
          </w:p>
        </w:tc>
        <w:tc>
          <w:tcPr>
            <w:tcW w:w="990" w:type="dxa"/>
            <w:noWrap/>
            <w:vAlign w:val="center"/>
            <w:hideMark/>
          </w:tcPr>
          <w:p w14:paraId="7A6C8563" w14:textId="517B0AE6" w:rsidR="00CB6C0D" w:rsidRPr="00CB6C0D" w:rsidRDefault="00CB6C0D" w:rsidP="00CB6C0D">
            <w:pPr>
              <w:pStyle w:val="Table"/>
              <w:rPr>
                <w:sz w:val="18"/>
                <w:szCs w:val="18"/>
                <w:lang w:val="en-US"/>
              </w:rPr>
            </w:pPr>
            <w:r w:rsidRPr="00CB6C0D">
              <w:rPr>
                <w:color w:val="000000"/>
                <w:sz w:val="18"/>
                <w:szCs w:val="18"/>
              </w:rPr>
              <w:t>0.346</w:t>
            </w:r>
            <w:r w:rsidRPr="00CB6C0D">
              <w:rPr>
                <w:color w:val="000000"/>
                <w:sz w:val="18"/>
                <w:szCs w:val="18"/>
                <w:vertAlign w:val="superscript"/>
              </w:rPr>
              <w:t>***</w:t>
            </w:r>
          </w:p>
        </w:tc>
        <w:tc>
          <w:tcPr>
            <w:tcW w:w="900" w:type="dxa"/>
            <w:noWrap/>
            <w:vAlign w:val="center"/>
            <w:hideMark/>
          </w:tcPr>
          <w:p w14:paraId="30460F6B" w14:textId="5057486C" w:rsidR="00CB6C0D" w:rsidRPr="00CB6C0D" w:rsidRDefault="00CB6C0D" w:rsidP="00CB6C0D">
            <w:pPr>
              <w:pStyle w:val="Table"/>
              <w:rPr>
                <w:sz w:val="18"/>
                <w:szCs w:val="18"/>
                <w:lang w:val="en-US"/>
              </w:rPr>
            </w:pPr>
            <w:r w:rsidRPr="00CB6C0D">
              <w:rPr>
                <w:color w:val="000000"/>
                <w:sz w:val="18"/>
                <w:szCs w:val="18"/>
              </w:rPr>
              <w:t>-0.03</w:t>
            </w:r>
            <w:r>
              <w:rPr>
                <w:color w:val="000000"/>
                <w:sz w:val="18"/>
                <w:szCs w:val="18"/>
              </w:rPr>
              <w:t>6</w:t>
            </w:r>
            <w:r w:rsidRPr="00CB6C0D">
              <w:rPr>
                <w:color w:val="000000"/>
                <w:sz w:val="18"/>
                <w:szCs w:val="18"/>
                <w:vertAlign w:val="superscript"/>
              </w:rPr>
              <w:t>***</w:t>
            </w:r>
          </w:p>
        </w:tc>
        <w:tc>
          <w:tcPr>
            <w:tcW w:w="900" w:type="dxa"/>
            <w:noWrap/>
            <w:vAlign w:val="center"/>
            <w:hideMark/>
          </w:tcPr>
          <w:p w14:paraId="0ACA374B" w14:textId="5F036A95" w:rsidR="00CB6C0D" w:rsidRPr="00CB6C0D" w:rsidRDefault="00CB6C0D" w:rsidP="00CB6C0D">
            <w:pPr>
              <w:pStyle w:val="Table"/>
              <w:rPr>
                <w:sz w:val="18"/>
                <w:szCs w:val="18"/>
                <w:lang w:val="en-US"/>
              </w:rPr>
            </w:pPr>
            <w:r w:rsidRPr="00CB6C0D">
              <w:rPr>
                <w:color w:val="000000"/>
                <w:sz w:val="18"/>
                <w:szCs w:val="18"/>
              </w:rPr>
              <w:t>0.103</w:t>
            </w:r>
            <w:r w:rsidRPr="00CB6C0D">
              <w:rPr>
                <w:color w:val="000000"/>
                <w:sz w:val="18"/>
                <w:szCs w:val="18"/>
                <w:vertAlign w:val="superscript"/>
              </w:rPr>
              <w:t>***</w:t>
            </w:r>
          </w:p>
        </w:tc>
        <w:tc>
          <w:tcPr>
            <w:tcW w:w="996" w:type="dxa"/>
            <w:vAlign w:val="center"/>
          </w:tcPr>
          <w:p w14:paraId="0AB7ED4D" w14:textId="64AE8DBB" w:rsidR="00CB6C0D" w:rsidRPr="00CB6C0D" w:rsidRDefault="00CB6C0D" w:rsidP="00CB6C0D">
            <w:pPr>
              <w:pStyle w:val="Table"/>
              <w:rPr>
                <w:sz w:val="18"/>
                <w:szCs w:val="18"/>
                <w:lang w:val="en-US"/>
              </w:rPr>
            </w:pPr>
            <w:r w:rsidRPr="00CB6C0D">
              <w:rPr>
                <w:color w:val="000000"/>
                <w:sz w:val="18"/>
                <w:szCs w:val="18"/>
              </w:rPr>
              <w:t>-0.133</w:t>
            </w:r>
            <w:r w:rsidRPr="00CB6C0D">
              <w:rPr>
                <w:color w:val="000000"/>
                <w:sz w:val="18"/>
                <w:szCs w:val="18"/>
                <w:vertAlign w:val="superscript"/>
              </w:rPr>
              <w:t>***</w:t>
            </w:r>
          </w:p>
        </w:tc>
        <w:tc>
          <w:tcPr>
            <w:tcW w:w="0" w:type="auto"/>
            <w:noWrap/>
            <w:vAlign w:val="center"/>
            <w:hideMark/>
          </w:tcPr>
          <w:p w14:paraId="4D17472A" w14:textId="50C04BEE" w:rsidR="00CB6C0D" w:rsidRPr="00CB6C0D" w:rsidRDefault="00CB6C0D" w:rsidP="00CB6C0D">
            <w:pPr>
              <w:pStyle w:val="Table"/>
              <w:rPr>
                <w:sz w:val="18"/>
                <w:szCs w:val="18"/>
                <w:lang w:val="en-US"/>
              </w:rPr>
            </w:pPr>
            <w:r w:rsidRPr="00CB6C0D">
              <w:rPr>
                <w:color w:val="000000"/>
                <w:sz w:val="18"/>
                <w:szCs w:val="18"/>
              </w:rPr>
              <w:t>0.3</w:t>
            </w:r>
            <w:r w:rsidR="009C6F0D">
              <w:rPr>
                <w:color w:val="000000"/>
                <w:sz w:val="18"/>
                <w:szCs w:val="18"/>
              </w:rPr>
              <w:t>44</w:t>
            </w:r>
            <w:r w:rsidRPr="00CB6C0D">
              <w:rPr>
                <w:color w:val="000000"/>
                <w:sz w:val="18"/>
                <w:szCs w:val="18"/>
                <w:vertAlign w:val="superscript"/>
              </w:rPr>
              <w:t>***</w:t>
            </w:r>
          </w:p>
        </w:tc>
        <w:tc>
          <w:tcPr>
            <w:tcW w:w="0" w:type="auto"/>
            <w:noWrap/>
            <w:vAlign w:val="center"/>
            <w:hideMark/>
          </w:tcPr>
          <w:p w14:paraId="1111E5D6" w14:textId="6BE714D9" w:rsidR="00CB6C0D" w:rsidRPr="00CB6C0D" w:rsidRDefault="00CB6C0D" w:rsidP="00CB6C0D">
            <w:pPr>
              <w:pStyle w:val="Table"/>
              <w:rPr>
                <w:sz w:val="18"/>
                <w:szCs w:val="18"/>
                <w:lang w:val="en-US"/>
              </w:rPr>
            </w:pPr>
            <w:r w:rsidRPr="00CB6C0D">
              <w:rPr>
                <w:color w:val="000000"/>
                <w:sz w:val="18"/>
                <w:szCs w:val="18"/>
              </w:rPr>
              <w:t>0.744</w:t>
            </w:r>
            <w:r w:rsidRPr="00CB6C0D">
              <w:rPr>
                <w:color w:val="000000"/>
                <w:sz w:val="18"/>
                <w:szCs w:val="18"/>
                <w:vertAlign w:val="superscript"/>
              </w:rPr>
              <w:t>***</w:t>
            </w:r>
          </w:p>
        </w:tc>
        <w:tc>
          <w:tcPr>
            <w:tcW w:w="0" w:type="auto"/>
            <w:noWrap/>
            <w:vAlign w:val="center"/>
            <w:hideMark/>
          </w:tcPr>
          <w:p w14:paraId="76AAF278" w14:textId="78158C35" w:rsidR="00CB6C0D" w:rsidRPr="00CB6C0D" w:rsidRDefault="00CB6C0D" w:rsidP="00CB6C0D">
            <w:pPr>
              <w:pStyle w:val="Table"/>
              <w:rPr>
                <w:sz w:val="18"/>
                <w:szCs w:val="18"/>
                <w:lang w:val="en-US"/>
              </w:rPr>
            </w:pPr>
            <w:r w:rsidRPr="00CB6C0D">
              <w:rPr>
                <w:color w:val="000000"/>
                <w:sz w:val="18"/>
                <w:szCs w:val="18"/>
              </w:rPr>
              <w:t>0.992</w:t>
            </w:r>
            <w:r w:rsidRPr="00CB6C0D">
              <w:rPr>
                <w:color w:val="000000"/>
                <w:sz w:val="18"/>
                <w:szCs w:val="18"/>
                <w:vertAlign w:val="superscript"/>
              </w:rPr>
              <w:t>***</w:t>
            </w:r>
          </w:p>
        </w:tc>
        <w:tc>
          <w:tcPr>
            <w:tcW w:w="0" w:type="auto"/>
            <w:noWrap/>
            <w:vAlign w:val="center"/>
            <w:hideMark/>
          </w:tcPr>
          <w:p w14:paraId="1724DA7C" w14:textId="30684E77" w:rsidR="00CB6C0D" w:rsidRPr="00CB6C0D" w:rsidRDefault="00CB6C0D" w:rsidP="00CB6C0D">
            <w:pPr>
              <w:pStyle w:val="Table"/>
              <w:rPr>
                <w:sz w:val="18"/>
                <w:szCs w:val="18"/>
                <w:lang w:val="en-US"/>
              </w:rPr>
            </w:pPr>
            <w:r w:rsidRPr="00CB6C0D">
              <w:rPr>
                <w:color w:val="000000"/>
                <w:sz w:val="18"/>
                <w:szCs w:val="18"/>
              </w:rPr>
              <w:t>1</w:t>
            </w:r>
          </w:p>
        </w:tc>
        <w:tc>
          <w:tcPr>
            <w:tcW w:w="0" w:type="auto"/>
            <w:noWrap/>
            <w:vAlign w:val="center"/>
            <w:hideMark/>
          </w:tcPr>
          <w:p w14:paraId="7BDE884E" w14:textId="77777777" w:rsidR="00CB6C0D" w:rsidRPr="00CB6C0D" w:rsidRDefault="00CB6C0D" w:rsidP="00CB6C0D">
            <w:pPr>
              <w:pStyle w:val="Table"/>
              <w:rPr>
                <w:sz w:val="18"/>
                <w:szCs w:val="18"/>
                <w:lang w:val="en-US"/>
              </w:rPr>
            </w:pPr>
          </w:p>
        </w:tc>
        <w:tc>
          <w:tcPr>
            <w:tcW w:w="0" w:type="auto"/>
            <w:noWrap/>
            <w:vAlign w:val="center"/>
            <w:hideMark/>
          </w:tcPr>
          <w:p w14:paraId="2320208F" w14:textId="77777777" w:rsidR="00CB6C0D" w:rsidRPr="00CB6C0D" w:rsidRDefault="00CB6C0D" w:rsidP="00CB6C0D">
            <w:pPr>
              <w:pStyle w:val="Table"/>
              <w:rPr>
                <w:sz w:val="18"/>
                <w:szCs w:val="18"/>
                <w:lang w:val="en-US"/>
              </w:rPr>
            </w:pPr>
          </w:p>
        </w:tc>
        <w:tc>
          <w:tcPr>
            <w:tcW w:w="0" w:type="auto"/>
            <w:vAlign w:val="center"/>
          </w:tcPr>
          <w:p w14:paraId="59875956" w14:textId="77777777" w:rsidR="00CB6C0D" w:rsidRPr="00CB6C0D" w:rsidRDefault="00CB6C0D" w:rsidP="00CB6C0D">
            <w:pPr>
              <w:pStyle w:val="Table"/>
              <w:rPr>
                <w:sz w:val="18"/>
                <w:szCs w:val="18"/>
                <w:lang w:val="en-US"/>
              </w:rPr>
            </w:pPr>
          </w:p>
        </w:tc>
        <w:tc>
          <w:tcPr>
            <w:tcW w:w="0" w:type="auto"/>
            <w:noWrap/>
            <w:vAlign w:val="center"/>
            <w:hideMark/>
          </w:tcPr>
          <w:p w14:paraId="228DC9F8" w14:textId="207F9517" w:rsidR="00CB6C0D" w:rsidRPr="00CB6C0D" w:rsidRDefault="00CB6C0D" w:rsidP="00CB6C0D">
            <w:pPr>
              <w:pStyle w:val="Table"/>
              <w:rPr>
                <w:sz w:val="18"/>
                <w:szCs w:val="18"/>
                <w:lang w:val="en-US"/>
              </w:rPr>
            </w:pPr>
          </w:p>
        </w:tc>
        <w:tc>
          <w:tcPr>
            <w:tcW w:w="0" w:type="auto"/>
            <w:noWrap/>
            <w:vAlign w:val="center"/>
            <w:hideMark/>
          </w:tcPr>
          <w:p w14:paraId="3489F587" w14:textId="77777777" w:rsidR="00CB6C0D" w:rsidRPr="00CB6C0D" w:rsidRDefault="00CB6C0D" w:rsidP="00CB6C0D">
            <w:pPr>
              <w:pStyle w:val="Table"/>
              <w:rPr>
                <w:sz w:val="18"/>
                <w:szCs w:val="18"/>
                <w:lang w:val="en-US"/>
              </w:rPr>
            </w:pPr>
          </w:p>
        </w:tc>
      </w:tr>
      <w:tr w:rsidR="00CB6C0D" w:rsidRPr="00101A2A" w14:paraId="6AB77400" w14:textId="77777777" w:rsidTr="00CB6C0D">
        <w:trPr>
          <w:trHeight w:val="260"/>
        </w:trPr>
        <w:tc>
          <w:tcPr>
            <w:tcW w:w="2430" w:type="dxa"/>
            <w:vAlign w:val="center"/>
          </w:tcPr>
          <w:p w14:paraId="6EA1FBC0" w14:textId="77777777" w:rsidR="00CB6C0D" w:rsidRPr="00101A2A" w:rsidRDefault="00CB6C0D" w:rsidP="00CB6C0D">
            <w:pPr>
              <w:pStyle w:val="Table"/>
              <w:jc w:val="left"/>
              <w:rPr>
                <w:b/>
                <w:bCs/>
                <w:sz w:val="18"/>
                <w:szCs w:val="18"/>
                <w:lang w:val="en-US"/>
              </w:rPr>
            </w:pPr>
            <w:r w:rsidRPr="00101A2A">
              <w:rPr>
                <w:b/>
                <w:bCs/>
                <w:sz w:val="18"/>
                <w:szCs w:val="18"/>
                <w:lang w:val="en-US"/>
              </w:rPr>
              <w:t>9. Change in no. new building permits</w:t>
            </w:r>
          </w:p>
        </w:tc>
        <w:tc>
          <w:tcPr>
            <w:tcW w:w="990" w:type="dxa"/>
            <w:noWrap/>
            <w:vAlign w:val="center"/>
            <w:hideMark/>
          </w:tcPr>
          <w:p w14:paraId="0FA8B6EE" w14:textId="34DBCA6C" w:rsidR="00CB6C0D" w:rsidRPr="00CB6C0D" w:rsidRDefault="00CB6C0D" w:rsidP="00CB6C0D">
            <w:pPr>
              <w:pStyle w:val="Table"/>
              <w:rPr>
                <w:sz w:val="18"/>
                <w:szCs w:val="18"/>
                <w:lang w:val="en-US"/>
              </w:rPr>
            </w:pPr>
            <w:r w:rsidRPr="00CB6C0D">
              <w:rPr>
                <w:color w:val="000000"/>
                <w:sz w:val="18"/>
                <w:szCs w:val="18"/>
              </w:rPr>
              <w:t>-0.003</w:t>
            </w:r>
          </w:p>
        </w:tc>
        <w:tc>
          <w:tcPr>
            <w:tcW w:w="900" w:type="dxa"/>
            <w:noWrap/>
            <w:vAlign w:val="center"/>
            <w:hideMark/>
          </w:tcPr>
          <w:p w14:paraId="567E8D18" w14:textId="3F82254F" w:rsidR="00CB6C0D" w:rsidRPr="00CB6C0D" w:rsidRDefault="00CB6C0D" w:rsidP="00CB6C0D">
            <w:pPr>
              <w:pStyle w:val="Table"/>
              <w:rPr>
                <w:sz w:val="18"/>
                <w:szCs w:val="18"/>
                <w:lang w:val="en-US"/>
              </w:rPr>
            </w:pPr>
            <w:r w:rsidRPr="00CB6C0D">
              <w:rPr>
                <w:color w:val="000000"/>
                <w:sz w:val="18"/>
                <w:szCs w:val="18"/>
              </w:rPr>
              <w:t>0.001</w:t>
            </w:r>
          </w:p>
        </w:tc>
        <w:tc>
          <w:tcPr>
            <w:tcW w:w="900" w:type="dxa"/>
            <w:noWrap/>
            <w:vAlign w:val="center"/>
            <w:hideMark/>
          </w:tcPr>
          <w:p w14:paraId="4FF7BA3E" w14:textId="71330548" w:rsidR="00CB6C0D" w:rsidRPr="00CB6C0D" w:rsidRDefault="00CB6C0D" w:rsidP="00CB6C0D">
            <w:pPr>
              <w:pStyle w:val="Table"/>
              <w:rPr>
                <w:sz w:val="18"/>
                <w:szCs w:val="18"/>
                <w:lang w:val="en-US"/>
              </w:rPr>
            </w:pPr>
            <w:r w:rsidRPr="00CB6C0D">
              <w:rPr>
                <w:color w:val="000000"/>
                <w:sz w:val="18"/>
                <w:szCs w:val="18"/>
              </w:rPr>
              <w:t>0.002</w:t>
            </w:r>
          </w:p>
        </w:tc>
        <w:tc>
          <w:tcPr>
            <w:tcW w:w="996" w:type="dxa"/>
            <w:vAlign w:val="center"/>
          </w:tcPr>
          <w:p w14:paraId="6DB0C545" w14:textId="0F78A68D" w:rsidR="00CB6C0D" w:rsidRPr="00CB6C0D" w:rsidRDefault="00CB6C0D" w:rsidP="00CB6C0D">
            <w:pPr>
              <w:pStyle w:val="Table"/>
              <w:rPr>
                <w:sz w:val="18"/>
                <w:szCs w:val="18"/>
                <w:lang w:val="en-US"/>
              </w:rPr>
            </w:pPr>
            <w:r w:rsidRPr="00CB6C0D">
              <w:rPr>
                <w:color w:val="000000"/>
                <w:sz w:val="18"/>
                <w:szCs w:val="18"/>
              </w:rPr>
              <w:t>0.031</w:t>
            </w:r>
            <w:r w:rsidRPr="00CB6C0D">
              <w:rPr>
                <w:color w:val="000000"/>
                <w:sz w:val="18"/>
                <w:szCs w:val="18"/>
                <w:vertAlign w:val="superscript"/>
              </w:rPr>
              <w:t>***</w:t>
            </w:r>
          </w:p>
        </w:tc>
        <w:tc>
          <w:tcPr>
            <w:tcW w:w="0" w:type="auto"/>
            <w:noWrap/>
            <w:vAlign w:val="center"/>
            <w:hideMark/>
          </w:tcPr>
          <w:p w14:paraId="318CE5B9" w14:textId="7C2DD7FA" w:rsidR="00CB6C0D" w:rsidRPr="00CB6C0D" w:rsidRDefault="00CB6C0D" w:rsidP="00CB6C0D">
            <w:pPr>
              <w:pStyle w:val="Table"/>
              <w:rPr>
                <w:sz w:val="18"/>
                <w:szCs w:val="18"/>
                <w:lang w:val="en-US"/>
              </w:rPr>
            </w:pPr>
            <w:r w:rsidRPr="00CB6C0D">
              <w:rPr>
                <w:color w:val="000000"/>
                <w:sz w:val="18"/>
                <w:szCs w:val="18"/>
              </w:rPr>
              <w:t>-0.00</w:t>
            </w:r>
            <w:r w:rsidR="009C6F0D">
              <w:rPr>
                <w:color w:val="000000"/>
                <w:sz w:val="18"/>
                <w:szCs w:val="18"/>
              </w:rPr>
              <w:t>3</w:t>
            </w:r>
          </w:p>
        </w:tc>
        <w:tc>
          <w:tcPr>
            <w:tcW w:w="0" w:type="auto"/>
            <w:noWrap/>
            <w:vAlign w:val="center"/>
            <w:hideMark/>
          </w:tcPr>
          <w:p w14:paraId="0555B537" w14:textId="06E4CD97" w:rsidR="00CB6C0D" w:rsidRPr="00CB6C0D" w:rsidRDefault="00CB6C0D" w:rsidP="00CB6C0D">
            <w:pPr>
              <w:pStyle w:val="Table"/>
              <w:rPr>
                <w:sz w:val="18"/>
                <w:szCs w:val="18"/>
                <w:lang w:val="en-US"/>
              </w:rPr>
            </w:pPr>
            <w:r w:rsidRPr="00CB6C0D">
              <w:rPr>
                <w:color w:val="000000"/>
                <w:sz w:val="18"/>
                <w:szCs w:val="18"/>
              </w:rPr>
              <w:t>-0.003</w:t>
            </w:r>
          </w:p>
        </w:tc>
        <w:tc>
          <w:tcPr>
            <w:tcW w:w="0" w:type="auto"/>
            <w:noWrap/>
            <w:vAlign w:val="center"/>
            <w:hideMark/>
          </w:tcPr>
          <w:p w14:paraId="4415ABA3" w14:textId="4942ECAD" w:rsidR="00CB6C0D" w:rsidRPr="00CB6C0D" w:rsidRDefault="00CB6C0D" w:rsidP="00CB6C0D">
            <w:pPr>
              <w:pStyle w:val="Table"/>
              <w:rPr>
                <w:sz w:val="18"/>
                <w:szCs w:val="18"/>
                <w:lang w:val="en-US"/>
              </w:rPr>
            </w:pPr>
            <w:r w:rsidRPr="00CB6C0D">
              <w:rPr>
                <w:color w:val="000000"/>
                <w:sz w:val="18"/>
                <w:szCs w:val="18"/>
              </w:rPr>
              <w:t>-0.008</w:t>
            </w:r>
          </w:p>
        </w:tc>
        <w:tc>
          <w:tcPr>
            <w:tcW w:w="0" w:type="auto"/>
            <w:noWrap/>
            <w:vAlign w:val="center"/>
            <w:hideMark/>
          </w:tcPr>
          <w:p w14:paraId="0E666FF3" w14:textId="76E10CF5" w:rsidR="00CB6C0D" w:rsidRPr="00CB6C0D" w:rsidRDefault="00CB6C0D" w:rsidP="00CB6C0D">
            <w:pPr>
              <w:pStyle w:val="Table"/>
              <w:rPr>
                <w:sz w:val="18"/>
                <w:szCs w:val="18"/>
                <w:lang w:val="en-US"/>
              </w:rPr>
            </w:pPr>
            <w:r w:rsidRPr="00CB6C0D">
              <w:rPr>
                <w:color w:val="000000"/>
                <w:sz w:val="18"/>
                <w:szCs w:val="18"/>
              </w:rPr>
              <w:t>-0.007</w:t>
            </w:r>
          </w:p>
        </w:tc>
        <w:tc>
          <w:tcPr>
            <w:tcW w:w="0" w:type="auto"/>
            <w:noWrap/>
            <w:vAlign w:val="center"/>
            <w:hideMark/>
          </w:tcPr>
          <w:p w14:paraId="0AE167B1" w14:textId="51EB6D58" w:rsidR="00CB6C0D" w:rsidRPr="00CB6C0D" w:rsidRDefault="00CB6C0D" w:rsidP="00CB6C0D">
            <w:pPr>
              <w:pStyle w:val="Table"/>
              <w:rPr>
                <w:sz w:val="18"/>
                <w:szCs w:val="18"/>
                <w:lang w:val="en-US"/>
              </w:rPr>
            </w:pPr>
            <w:r w:rsidRPr="00CB6C0D">
              <w:rPr>
                <w:color w:val="000000"/>
                <w:sz w:val="18"/>
                <w:szCs w:val="18"/>
              </w:rPr>
              <w:t>1</w:t>
            </w:r>
          </w:p>
        </w:tc>
        <w:tc>
          <w:tcPr>
            <w:tcW w:w="0" w:type="auto"/>
            <w:noWrap/>
            <w:vAlign w:val="center"/>
            <w:hideMark/>
          </w:tcPr>
          <w:p w14:paraId="04539D70" w14:textId="77777777" w:rsidR="00CB6C0D" w:rsidRPr="00CB6C0D" w:rsidRDefault="00CB6C0D" w:rsidP="00CB6C0D">
            <w:pPr>
              <w:pStyle w:val="Table"/>
              <w:rPr>
                <w:sz w:val="18"/>
                <w:szCs w:val="18"/>
                <w:lang w:val="en-US"/>
              </w:rPr>
            </w:pPr>
          </w:p>
        </w:tc>
        <w:tc>
          <w:tcPr>
            <w:tcW w:w="0" w:type="auto"/>
            <w:vAlign w:val="center"/>
          </w:tcPr>
          <w:p w14:paraId="6831961B" w14:textId="77777777" w:rsidR="00CB6C0D" w:rsidRPr="00CB6C0D" w:rsidRDefault="00CB6C0D" w:rsidP="00CB6C0D">
            <w:pPr>
              <w:pStyle w:val="Table"/>
              <w:rPr>
                <w:sz w:val="18"/>
                <w:szCs w:val="18"/>
                <w:lang w:val="en-US"/>
              </w:rPr>
            </w:pPr>
          </w:p>
        </w:tc>
        <w:tc>
          <w:tcPr>
            <w:tcW w:w="0" w:type="auto"/>
            <w:noWrap/>
            <w:vAlign w:val="center"/>
            <w:hideMark/>
          </w:tcPr>
          <w:p w14:paraId="16CB84A4" w14:textId="387B2B1C" w:rsidR="00CB6C0D" w:rsidRPr="00CB6C0D" w:rsidRDefault="00CB6C0D" w:rsidP="00CB6C0D">
            <w:pPr>
              <w:pStyle w:val="Table"/>
              <w:rPr>
                <w:sz w:val="18"/>
                <w:szCs w:val="18"/>
                <w:lang w:val="en-US"/>
              </w:rPr>
            </w:pPr>
          </w:p>
        </w:tc>
        <w:tc>
          <w:tcPr>
            <w:tcW w:w="0" w:type="auto"/>
            <w:noWrap/>
            <w:vAlign w:val="center"/>
            <w:hideMark/>
          </w:tcPr>
          <w:p w14:paraId="18AC4ED6" w14:textId="77777777" w:rsidR="00CB6C0D" w:rsidRPr="00CB6C0D" w:rsidRDefault="00CB6C0D" w:rsidP="00CB6C0D">
            <w:pPr>
              <w:pStyle w:val="Table"/>
              <w:rPr>
                <w:sz w:val="18"/>
                <w:szCs w:val="18"/>
                <w:lang w:val="en-US"/>
              </w:rPr>
            </w:pPr>
          </w:p>
        </w:tc>
      </w:tr>
      <w:tr w:rsidR="00CB6C0D" w:rsidRPr="00101A2A" w14:paraId="70B87E9A" w14:textId="77777777" w:rsidTr="00CB6C0D">
        <w:trPr>
          <w:trHeight w:val="260"/>
        </w:trPr>
        <w:tc>
          <w:tcPr>
            <w:tcW w:w="2430" w:type="dxa"/>
            <w:vAlign w:val="center"/>
          </w:tcPr>
          <w:p w14:paraId="1AEA0868" w14:textId="77777777" w:rsidR="00CB6C0D" w:rsidRPr="00101A2A" w:rsidRDefault="00CB6C0D" w:rsidP="00CB6C0D">
            <w:pPr>
              <w:pStyle w:val="Table"/>
              <w:jc w:val="left"/>
              <w:rPr>
                <w:b/>
                <w:bCs/>
                <w:sz w:val="18"/>
                <w:szCs w:val="18"/>
                <w:lang w:val="en-US"/>
              </w:rPr>
            </w:pPr>
            <w:r w:rsidRPr="00101A2A">
              <w:rPr>
                <w:b/>
                <w:bCs/>
                <w:sz w:val="18"/>
                <w:szCs w:val="18"/>
                <w:lang w:val="en-US"/>
              </w:rPr>
              <w:t>10. Change in no. houses sold</w:t>
            </w:r>
          </w:p>
        </w:tc>
        <w:tc>
          <w:tcPr>
            <w:tcW w:w="990" w:type="dxa"/>
            <w:noWrap/>
            <w:vAlign w:val="center"/>
            <w:hideMark/>
          </w:tcPr>
          <w:p w14:paraId="3374AB41" w14:textId="3EF04636" w:rsidR="00CB6C0D" w:rsidRPr="00CB6C0D" w:rsidRDefault="00CB6C0D" w:rsidP="00CB6C0D">
            <w:pPr>
              <w:pStyle w:val="Table"/>
              <w:rPr>
                <w:sz w:val="18"/>
                <w:szCs w:val="18"/>
                <w:lang w:val="en-US"/>
              </w:rPr>
            </w:pPr>
            <w:r w:rsidRPr="00CB6C0D">
              <w:rPr>
                <w:color w:val="000000"/>
                <w:sz w:val="18"/>
                <w:szCs w:val="18"/>
              </w:rPr>
              <w:t>-0.00</w:t>
            </w:r>
            <w:r>
              <w:rPr>
                <w:color w:val="000000"/>
                <w:sz w:val="18"/>
                <w:szCs w:val="18"/>
              </w:rPr>
              <w:t>7</w:t>
            </w:r>
          </w:p>
        </w:tc>
        <w:tc>
          <w:tcPr>
            <w:tcW w:w="900" w:type="dxa"/>
            <w:noWrap/>
            <w:vAlign w:val="center"/>
            <w:hideMark/>
          </w:tcPr>
          <w:p w14:paraId="1DDAB2DC" w14:textId="2C462AF6" w:rsidR="00CB6C0D" w:rsidRPr="00CB6C0D" w:rsidRDefault="00CB6C0D" w:rsidP="00CB6C0D">
            <w:pPr>
              <w:pStyle w:val="Table"/>
              <w:rPr>
                <w:sz w:val="18"/>
                <w:szCs w:val="18"/>
                <w:lang w:val="en-US"/>
              </w:rPr>
            </w:pPr>
            <w:r w:rsidRPr="00CB6C0D">
              <w:rPr>
                <w:color w:val="000000"/>
                <w:sz w:val="18"/>
                <w:szCs w:val="18"/>
              </w:rPr>
              <w:t>-0.00</w:t>
            </w:r>
            <w:r>
              <w:rPr>
                <w:color w:val="000000"/>
                <w:sz w:val="18"/>
                <w:szCs w:val="18"/>
              </w:rPr>
              <w:t>2</w:t>
            </w:r>
          </w:p>
        </w:tc>
        <w:tc>
          <w:tcPr>
            <w:tcW w:w="900" w:type="dxa"/>
            <w:noWrap/>
            <w:vAlign w:val="center"/>
            <w:hideMark/>
          </w:tcPr>
          <w:p w14:paraId="6A0C5805" w14:textId="4D5EA014" w:rsidR="00CB6C0D" w:rsidRPr="00CB6C0D" w:rsidRDefault="00CB6C0D" w:rsidP="00CB6C0D">
            <w:pPr>
              <w:pStyle w:val="Table"/>
              <w:rPr>
                <w:sz w:val="18"/>
                <w:szCs w:val="18"/>
                <w:lang w:val="en-US"/>
              </w:rPr>
            </w:pPr>
            <w:r w:rsidRPr="00CB6C0D">
              <w:rPr>
                <w:color w:val="000000"/>
                <w:sz w:val="18"/>
                <w:szCs w:val="18"/>
              </w:rPr>
              <w:t>0.005</w:t>
            </w:r>
          </w:p>
        </w:tc>
        <w:tc>
          <w:tcPr>
            <w:tcW w:w="996" w:type="dxa"/>
            <w:vAlign w:val="center"/>
          </w:tcPr>
          <w:p w14:paraId="76999732" w14:textId="229A228D" w:rsidR="00CB6C0D" w:rsidRPr="00CB6C0D" w:rsidRDefault="00CB6C0D" w:rsidP="00CB6C0D">
            <w:pPr>
              <w:pStyle w:val="Table"/>
              <w:rPr>
                <w:sz w:val="18"/>
                <w:szCs w:val="18"/>
                <w:lang w:val="en-US"/>
              </w:rPr>
            </w:pPr>
            <w:r w:rsidRPr="00CB6C0D">
              <w:rPr>
                <w:color w:val="000000"/>
                <w:sz w:val="18"/>
                <w:szCs w:val="18"/>
              </w:rPr>
              <w:t>0.005</w:t>
            </w:r>
          </w:p>
        </w:tc>
        <w:tc>
          <w:tcPr>
            <w:tcW w:w="0" w:type="auto"/>
            <w:noWrap/>
            <w:vAlign w:val="center"/>
            <w:hideMark/>
          </w:tcPr>
          <w:p w14:paraId="7D4A6221" w14:textId="05C38EF4" w:rsidR="00CB6C0D" w:rsidRPr="00CB6C0D" w:rsidRDefault="00CB6C0D" w:rsidP="00CB6C0D">
            <w:pPr>
              <w:pStyle w:val="Table"/>
              <w:rPr>
                <w:sz w:val="18"/>
                <w:szCs w:val="18"/>
                <w:lang w:val="en-US"/>
              </w:rPr>
            </w:pPr>
            <w:r w:rsidRPr="00CB6C0D">
              <w:rPr>
                <w:color w:val="000000"/>
                <w:sz w:val="18"/>
                <w:szCs w:val="18"/>
              </w:rPr>
              <w:t>-0.00</w:t>
            </w:r>
            <w:r w:rsidR="009C6F0D">
              <w:rPr>
                <w:color w:val="000000"/>
                <w:sz w:val="18"/>
                <w:szCs w:val="18"/>
              </w:rPr>
              <w:t>3</w:t>
            </w:r>
          </w:p>
        </w:tc>
        <w:tc>
          <w:tcPr>
            <w:tcW w:w="0" w:type="auto"/>
            <w:noWrap/>
            <w:vAlign w:val="center"/>
            <w:hideMark/>
          </w:tcPr>
          <w:p w14:paraId="29A38DB1" w14:textId="7F4DB190" w:rsidR="00CB6C0D" w:rsidRPr="00CB6C0D" w:rsidRDefault="00CB6C0D" w:rsidP="00CB6C0D">
            <w:pPr>
              <w:pStyle w:val="Table"/>
              <w:rPr>
                <w:sz w:val="18"/>
                <w:szCs w:val="18"/>
                <w:lang w:val="en-US"/>
              </w:rPr>
            </w:pPr>
            <w:r w:rsidRPr="00CB6C0D">
              <w:rPr>
                <w:color w:val="000000"/>
                <w:sz w:val="18"/>
                <w:szCs w:val="18"/>
              </w:rPr>
              <w:t>0.00</w:t>
            </w:r>
            <w:r>
              <w:rPr>
                <w:color w:val="000000"/>
                <w:sz w:val="18"/>
                <w:szCs w:val="18"/>
              </w:rPr>
              <w:t>3</w:t>
            </w:r>
          </w:p>
        </w:tc>
        <w:tc>
          <w:tcPr>
            <w:tcW w:w="0" w:type="auto"/>
            <w:noWrap/>
            <w:vAlign w:val="center"/>
            <w:hideMark/>
          </w:tcPr>
          <w:p w14:paraId="027F82F7" w14:textId="277E7B7F" w:rsidR="00CB6C0D" w:rsidRPr="00CB6C0D" w:rsidRDefault="00CB6C0D" w:rsidP="00CB6C0D">
            <w:pPr>
              <w:pStyle w:val="Table"/>
              <w:rPr>
                <w:sz w:val="18"/>
                <w:szCs w:val="18"/>
                <w:lang w:val="en-US"/>
              </w:rPr>
            </w:pPr>
            <w:r w:rsidRPr="00CB6C0D">
              <w:rPr>
                <w:color w:val="000000"/>
                <w:sz w:val="18"/>
                <w:szCs w:val="18"/>
              </w:rPr>
              <w:t>-0.000</w:t>
            </w:r>
          </w:p>
        </w:tc>
        <w:tc>
          <w:tcPr>
            <w:tcW w:w="0" w:type="auto"/>
            <w:noWrap/>
            <w:vAlign w:val="center"/>
            <w:hideMark/>
          </w:tcPr>
          <w:p w14:paraId="70CFF207" w14:textId="32BB1AED" w:rsidR="00CB6C0D" w:rsidRPr="00CB6C0D" w:rsidRDefault="00CB6C0D" w:rsidP="00CB6C0D">
            <w:pPr>
              <w:pStyle w:val="Table"/>
              <w:rPr>
                <w:sz w:val="18"/>
                <w:szCs w:val="18"/>
                <w:lang w:val="en-US"/>
              </w:rPr>
            </w:pPr>
            <w:r w:rsidRPr="00CB6C0D">
              <w:rPr>
                <w:color w:val="000000"/>
                <w:sz w:val="18"/>
                <w:szCs w:val="18"/>
              </w:rPr>
              <w:t>-0.000</w:t>
            </w:r>
          </w:p>
        </w:tc>
        <w:tc>
          <w:tcPr>
            <w:tcW w:w="0" w:type="auto"/>
            <w:noWrap/>
            <w:vAlign w:val="center"/>
            <w:hideMark/>
          </w:tcPr>
          <w:p w14:paraId="7484EE81" w14:textId="739FF6F9" w:rsidR="00CB6C0D" w:rsidRPr="00CB6C0D" w:rsidRDefault="00CB6C0D" w:rsidP="00CB6C0D">
            <w:pPr>
              <w:pStyle w:val="Table"/>
              <w:rPr>
                <w:sz w:val="18"/>
                <w:szCs w:val="18"/>
                <w:lang w:val="en-US"/>
              </w:rPr>
            </w:pPr>
            <w:r w:rsidRPr="00CB6C0D">
              <w:rPr>
                <w:color w:val="000000"/>
                <w:sz w:val="18"/>
                <w:szCs w:val="18"/>
              </w:rPr>
              <w:t>0.04</w:t>
            </w:r>
            <w:r>
              <w:rPr>
                <w:color w:val="000000"/>
                <w:sz w:val="18"/>
                <w:szCs w:val="18"/>
              </w:rPr>
              <w:t>8</w:t>
            </w:r>
            <w:r w:rsidRPr="00CB6C0D">
              <w:rPr>
                <w:color w:val="000000"/>
                <w:sz w:val="18"/>
                <w:szCs w:val="18"/>
                <w:vertAlign w:val="superscript"/>
              </w:rPr>
              <w:t>***</w:t>
            </w:r>
          </w:p>
        </w:tc>
        <w:tc>
          <w:tcPr>
            <w:tcW w:w="0" w:type="auto"/>
            <w:noWrap/>
            <w:vAlign w:val="center"/>
            <w:hideMark/>
          </w:tcPr>
          <w:p w14:paraId="2ABEB44A" w14:textId="38D7A348" w:rsidR="00CB6C0D" w:rsidRPr="00CB6C0D" w:rsidRDefault="00CB6C0D" w:rsidP="00CB6C0D">
            <w:pPr>
              <w:pStyle w:val="Table"/>
              <w:rPr>
                <w:sz w:val="18"/>
                <w:szCs w:val="18"/>
                <w:lang w:val="en-US"/>
              </w:rPr>
            </w:pPr>
            <w:r w:rsidRPr="00CB6C0D">
              <w:rPr>
                <w:color w:val="000000"/>
                <w:sz w:val="18"/>
                <w:szCs w:val="18"/>
              </w:rPr>
              <w:t>1</w:t>
            </w:r>
          </w:p>
        </w:tc>
        <w:tc>
          <w:tcPr>
            <w:tcW w:w="0" w:type="auto"/>
            <w:vAlign w:val="center"/>
          </w:tcPr>
          <w:p w14:paraId="4794A1BC" w14:textId="77777777" w:rsidR="00CB6C0D" w:rsidRPr="00CB6C0D" w:rsidRDefault="00CB6C0D" w:rsidP="00CB6C0D">
            <w:pPr>
              <w:pStyle w:val="Table"/>
              <w:rPr>
                <w:sz w:val="18"/>
                <w:szCs w:val="18"/>
                <w:lang w:val="en-US"/>
              </w:rPr>
            </w:pPr>
          </w:p>
        </w:tc>
        <w:tc>
          <w:tcPr>
            <w:tcW w:w="0" w:type="auto"/>
            <w:noWrap/>
            <w:vAlign w:val="center"/>
            <w:hideMark/>
          </w:tcPr>
          <w:p w14:paraId="7117443C" w14:textId="515867D8" w:rsidR="00CB6C0D" w:rsidRPr="00CB6C0D" w:rsidRDefault="00CB6C0D" w:rsidP="00CB6C0D">
            <w:pPr>
              <w:pStyle w:val="Table"/>
              <w:rPr>
                <w:sz w:val="18"/>
                <w:szCs w:val="18"/>
                <w:lang w:val="en-US"/>
              </w:rPr>
            </w:pPr>
          </w:p>
        </w:tc>
        <w:tc>
          <w:tcPr>
            <w:tcW w:w="0" w:type="auto"/>
            <w:noWrap/>
            <w:vAlign w:val="center"/>
            <w:hideMark/>
          </w:tcPr>
          <w:p w14:paraId="24A1AB55" w14:textId="77777777" w:rsidR="00CB6C0D" w:rsidRPr="00CB6C0D" w:rsidRDefault="00CB6C0D" w:rsidP="00CB6C0D">
            <w:pPr>
              <w:pStyle w:val="Table"/>
              <w:rPr>
                <w:sz w:val="18"/>
                <w:szCs w:val="18"/>
                <w:lang w:val="en-US"/>
              </w:rPr>
            </w:pPr>
          </w:p>
        </w:tc>
      </w:tr>
      <w:tr w:rsidR="00CB6C0D" w:rsidRPr="00101A2A" w14:paraId="1E06BAEC" w14:textId="77777777" w:rsidTr="00CB6C0D">
        <w:trPr>
          <w:trHeight w:val="260"/>
        </w:trPr>
        <w:tc>
          <w:tcPr>
            <w:tcW w:w="2430" w:type="dxa"/>
            <w:vAlign w:val="center"/>
          </w:tcPr>
          <w:p w14:paraId="20B37E88" w14:textId="4F8AAD59" w:rsidR="00CB6C0D" w:rsidRPr="00101A2A" w:rsidRDefault="00CB6C0D" w:rsidP="00CB6C0D">
            <w:pPr>
              <w:pStyle w:val="Table"/>
              <w:jc w:val="left"/>
              <w:rPr>
                <w:b/>
                <w:bCs/>
                <w:sz w:val="18"/>
                <w:szCs w:val="18"/>
                <w:lang w:val="en-US"/>
              </w:rPr>
            </w:pPr>
            <w:r w:rsidRPr="00101A2A">
              <w:rPr>
                <w:b/>
                <w:bCs/>
                <w:sz w:val="18"/>
                <w:szCs w:val="18"/>
                <w:lang w:val="en-US"/>
              </w:rPr>
              <w:t>11. No. of reviews</w:t>
            </w:r>
          </w:p>
        </w:tc>
        <w:tc>
          <w:tcPr>
            <w:tcW w:w="990" w:type="dxa"/>
            <w:noWrap/>
            <w:vAlign w:val="center"/>
          </w:tcPr>
          <w:p w14:paraId="53187EC4" w14:textId="655C68EC" w:rsidR="00CB6C0D" w:rsidRPr="00CB6C0D" w:rsidRDefault="00CB6C0D" w:rsidP="00CB6C0D">
            <w:pPr>
              <w:pStyle w:val="Table"/>
              <w:rPr>
                <w:sz w:val="18"/>
                <w:szCs w:val="18"/>
                <w:lang w:val="en-US"/>
              </w:rPr>
            </w:pPr>
            <w:r w:rsidRPr="00CB6C0D">
              <w:rPr>
                <w:color w:val="000000"/>
                <w:sz w:val="18"/>
                <w:szCs w:val="18"/>
              </w:rPr>
              <w:t>0.110</w:t>
            </w:r>
            <w:r w:rsidRPr="00CB6C0D">
              <w:rPr>
                <w:color w:val="000000"/>
                <w:sz w:val="18"/>
                <w:szCs w:val="18"/>
                <w:vertAlign w:val="superscript"/>
              </w:rPr>
              <w:t>***</w:t>
            </w:r>
          </w:p>
        </w:tc>
        <w:tc>
          <w:tcPr>
            <w:tcW w:w="900" w:type="dxa"/>
            <w:noWrap/>
            <w:vAlign w:val="center"/>
          </w:tcPr>
          <w:p w14:paraId="6DC4051C" w14:textId="0C204F49" w:rsidR="00CB6C0D" w:rsidRPr="00CB6C0D" w:rsidRDefault="00CB6C0D" w:rsidP="00CB6C0D">
            <w:pPr>
              <w:pStyle w:val="Table"/>
              <w:rPr>
                <w:sz w:val="18"/>
                <w:szCs w:val="18"/>
                <w:lang w:val="en-US"/>
              </w:rPr>
            </w:pPr>
            <w:r w:rsidRPr="00CB6C0D">
              <w:rPr>
                <w:color w:val="000000"/>
                <w:sz w:val="18"/>
                <w:szCs w:val="18"/>
              </w:rPr>
              <w:t>0.03</w:t>
            </w:r>
            <w:r>
              <w:rPr>
                <w:color w:val="000000"/>
                <w:sz w:val="18"/>
                <w:szCs w:val="18"/>
              </w:rPr>
              <w:t>3</w:t>
            </w:r>
            <w:r w:rsidRPr="00CB6C0D">
              <w:rPr>
                <w:color w:val="000000"/>
                <w:sz w:val="18"/>
                <w:szCs w:val="18"/>
                <w:vertAlign w:val="superscript"/>
              </w:rPr>
              <w:t>***</w:t>
            </w:r>
          </w:p>
        </w:tc>
        <w:tc>
          <w:tcPr>
            <w:tcW w:w="900" w:type="dxa"/>
            <w:noWrap/>
            <w:vAlign w:val="center"/>
          </w:tcPr>
          <w:p w14:paraId="1404F032" w14:textId="005B6EA8" w:rsidR="00CB6C0D" w:rsidRPr="00CB6C0D" w:rsidRDefault="00CB6C0D" w:rsidP="00CB6C0D">
            <w:pPr>
              <w:pStyle w:val="Table"/>
              <w:rPr>
                <w:sz w:val="18"/>
                <w:szCs w:val="18"/>
                <w:lang w:val="en-US"/>
              </w:rPr>
            </w:pPr>
            <w:r w:rsidRPr="00CB6C0D">
              <w:rPr>
                <w:color w:val="000000"/>
                <w:sz w:val="18"/>
                <w:szCs w:val="18"/>
              </w:rPr>
              <w:t>0.141</w:t>
            </w:r>
            <w:r w:rsidRPr="00CB6C0D">
              <w:rPr>
                <w:color w:val="000000"/>
                <w:sz w:val="18"/>
                <w:szCs w:val="18"/>
                <w:vertAlign w:val="superscript"/>
              </w:rPr>
              <w:t>***</w:t>
            </w:r>
          </w:p>
        </w:tc>
        <w:tc>
          <w:tcPr>
            <w:tcW w:w="996" w:type="dxa"/>
            <w:vAlign w:val="center"/>
          </w:tcPr>
          <w:p w14:paraId="1C7F6CBB" w14:textId="6F368C83" w:rsidR="00CB6C0D" w:rsidRPr="00CB6C0D" w:rsidRDefault="00CB6C0D" w:rsidP="00CB6C0D">
            <w:pPr>
              <w:pStyle w:val="Table"/>
              <w:rPr>
                <w:sz w:val="18"/>
                <w:szCs w:val="18"/>
                <w:lang w:val="en-US"/>
              </w:rPr>
            </w:pPr>
            <w:r w:rsidRPr="00CB6C0D">
              <w:rPr>
                <w:color w:val="000000"/>
                <w:sz w:val="18"/>
                <w:szCs w:val="18"/>
              </w:rPr>
              <w:t>-0.191</w:t>
            </w:r>
            <w:r w:rsidRPr="00CB6C0D">
              <w:rPr>
                <w:color w:val="000000"/>
                <w:sz w:val="18"/>
                <w:szCs w:val="18"/>
                <w:vertAlign w:val="superscript"/>
              </w:rPr>
              <w:t>***</w:t>
            </w:r>
          </w:p>
        </w:tc>
        <w:tc>
          <w:tcPr>
            <w:tcW w:w="0" w:type="auto"/>
            <w:noWrap/>
            <w:vAlign w:val="center"/>
          </w:tcPr>
          <w:p w14:paraId="5F7B0F1C" w14:textId="3A4FE728" w:rsidR="00CB6C0D" w:rsidRPr="00CB6C0D" w:rsidRDefault="00CB6C0D" w:rsidP="00CB6C0D">
            <w:pPr>
              <w:pStyle w:val="Table"/>
              <w:rPr>
                <w:sz w:val="18"/>
                <w:szCs w:val="18"/>
                <w:lang w:val="en-US"/>
              </w:rPr>
            </w:pPr>
            <w:r w:rsidRPr="00CB6C0D">
              <w:rPr>
                <w:color w:val="000000"/>
                <w:sz w:val="18"/>
                <w:szCs w:val="18"/>
              </w:rPr>
              <w:t>0.10</w:t>
            </w:r>
            <w:r w:rsidR="009C6F0D">
              <w:rPr>
                <w:color w:val="000000"/>
                <w:sz w:val="18"/>
                <w:szCs w:val="18"/>
              </w:rPr>
              <w:t>7</w:t>
            </w:r>
            <w:r w:rsidRPr="00CB6C0D">
              <w:rPr>
                <w:color w:val="000000"/>
                <w:sz w:val="18"/>
                <w:szCs w:val="18"/>
                <w:vertAlign w:val="superscript"/>
              </w:rPr>
              <w:t>***</w:t>
            </w:r>
          </w:p>
        </w:tc>
        <w:tc>
          <w:tcPr>
            <w:tcW w:w="0" w:type="auto"/>
            <w:noWrap/>
            <w:vAlign w:val="center"/>
          </w:tcPr>
          <w:p w14:paraId="0EFF8276" w14:textId="38D4C0F2" w:rsidR="00CB6C0D" w:rsidRPr="00CB6C0D" w:rsidRDefault="00CB6C0D" w:rsidP="00CB6C0D">
            <w:pPr>
              <w:pStyle w:val="Table"/>
              <w:rPr>
                <w:sz w:val="18"/>
                <w:szCs w:val="18"/>
                <w:lang w:val="en-US"/>
              </w:rPr>
            </w:pPr>
            <w:r w:rsidRPr="00CB6C0D">
              <w:rPr>
                <w:color w:val="000000"/>
                <w:sz w:val="18"/>
                <w:szCs w:val="18"/>
              </w:rPr>
              <w:t>0.230</w:t>
            </w:r>
            <w:r w:rsidRPr="00CB6C0D">
              <w:rPr>
                <w:color w:val="000000"/>
                <w:sz w:val="18"/>
                <w:szCs w:val="18"/>
                <w:vertAlign w:val="superscript"/>
              </w:rPr>
              <w:t>***</w:t>
            </w:r>
          </w:p>
        </w:tc>
        <w:tc>
          <w:tcPr>
            <w:tcW w:w="0" w:type="auto"/>
            <w:noWrap/>
            <w:vAlign w:val="center"/>
          </w:tcPr>
          <w:p w14:paraId="7B3CA1CF" w14:textId="347C44EB" w:rsidR="00CB6C0D" w:rsidRPr="00CB6C0D" w:rsidRDefault="00CB6C0D" w:rsidP="00CB6C0D">
            <w:pPr>
              <w:pStyle w:val="Table"/>
              <w:rPr>
                <w:sz w:val="18"/>
                <w:szCs w:val="18"/>
                <w:lang w:val="en-US"/>
              </w:rPr>
            </w:pPr>
            <w:r w:rsidRPr="00CB6C0D">
              <w:rPr>
                <w:color w:val="000000"/>
                <w:sz w:val="18"/>
                <w:szCs w:val="18"/>
              </w:rPr>
              <w:t>0.241</w:t>
            </w:r>
            <w:r w:rsidRPr="00CB6C0D">
              <w:rPr>
                <w:color w:val="000000"/>
                <w:sz w:val="18"/>
                <w:szCs w:val="18"/>
                <w:vertAlign w:val="superscript"/>
              </w:rPr>
              <w:t>***</w:t>
            </w:r>
          </w:p>
        </w:tc>
        <w:tc>
          <w:tcPr>
            <w:tcW w:w="0" w:type="auto"/>
            <w:noWrap/>
            <w:vAlign w:val="center"/>
          </w:tcPr>
          <w:p w14:paraId="60188433" w14:textId="4DF05920" w:rsidR="00CB6C0D" w:rsidRPr="00CB6C0D" w:rsidRDefault="00CB6C0D" w:rsidP="00CB6C0D">
            <w:pPr>
              <w:pStyle w:val="Table"/>
              <w:rPr>
                <w:sz w:val="18"/>
                <w:szCs w:val="18"/>
                <w:lang w:val="en-US"/>
              </w:rPr>
            </w:pPr>
            <w:r w:rsidRPr="00CB6C0D">
              <w:rPr>
                <w:color w:val="000000"/>
                <w:sz w:val="18"/>
                <w:szCs w:val="18"/>
              </w:rPr>
              <w:t>0.244</w:t>
            </w:r>
            <w:r w:rsidRPr="00CB6C0D">
              <w:rPr>
                <w:color w:val="000000"/>
                <w:sz w:val="18"/>
                <w:szCs w:val="18"/>
                <w:vertAlign w:val="superscript"/>
              </w:rPr>
              <w:t>***</w:t>
            </w:r>
          </w:p>
        </w:tc>
        <w:tc>
          <w:tcPr>
            <w:tcW w:w="0" w:type="auto"/>
            <w:noWrap/>
            <w:vAlign w:val="center"/>
          </w:tcPr>
          <w:p w14:paraId="27947810" w14:textId="5AD2946F" w:rsidR="00CB6C0D" w:rsidRPr="00CB6C0D" w:rsidRDefault="00CB6C0D" w:rsidP="00CB6C0D">
            <w:pPr>
              <w:pStyle w:val="Table"/>
              <w:rPr>
                <w:sz w:val="18"/>
                <w:szCs w:val="18"/>
                <w:lang w:val="en-US"/>
              </w:rPr>
            </w:pPr>
            <w:r w:rsidRPr="00CB6C0D">
              <w:rPr>
                <w:color w:val="000000"/>
                <w:sz w:val="18"/>
                <w:szCs w:val="18"/>
              </w:rPr>
              <w:t>-0.010</w:t>
            </w:r>
          </w:p>
        </w:tc>
        <w:tc>
          <w:tcPr>
            <w:tcW w:w="0" w:type="auto"/>
            <w:noWrap/>
            <w:vAlign w:val="center"/>
          </w:tcPr>
          <w:p w14:paraId="05CEC7FF" w14:textId="46147AD9" w:rsidR="00CB6C0D" w:rsidRPr="00CB6C0D" w:rsidRDefault="00CB6C0D" w:rsidP="00CB6C0D">
            <w:pPr>
              <w:pStyle w:val="Table"/>
              <w:rPr>
                <w:sz w:val="18"/>
                <w:szCs w:val="18"/>
                <w:lang w:val="en-US"/>
              </w:rPr>
            </w:pPr>
            <w:r w:rsidRPr="00CB6C0D">
              <w:rPr>
                <w:color w:val="000000"/>
                <w:sz w:val="18"/>
                <w:szCs w:val="18"/>
              </w:rPr>
              <w:t>0.02</w:t>
            </w:r>
            <w:r>
              <w:rPr>
                <w:color w:val="000000"/>
                <w:sz w:val="18"/>
                <w:szCs w:val="18"/>
              </w:rPr>
              <w:t>6</w:t>
            </w:r>
            <w:r w:rsidRPr="00CB6C0D">
              <w:rPr>
                <w:color w:val="000000"/>
                <w:sz w:val="18"/>
                <w:szCs w:val="18"/>
                <w:vertAlign w:val="superscript"/>
              </w:rPr>
              <w:t>**</w:t>
            </w:r>
          </w:p>
        </w:tc>
        <w:tc>
          <w:tcPr>
            <w:tcW w:w="0" w:type="auto"/>
            <w:vAlign w:val="center"/>
          </w:tcPr>
          <w:p w14:paraId="1D446933" w14:textId="4E451925" w:rsidR="00CB6C0D" w:rsidRPr="00CB6C0D" w:rsidRDefault="00CB6C0D" w:rsidP="00CB6C0D">
            <w:pPr>
              <w:pStyle w:val="Table"/>
              <w:rPr>
                <w:sz w:val="18"/>
                <w:szCs w:val="18"/>
                <w:lang w:val="en-US"/>
              </w:rPr>
            </w:pPr>
            <w:r w:rsidRPr="00CB6C0D">
              <w:rPr>
                <w:color w:val="000000"/>
                <w:sz w:val="18"/>
                <w:szCs w:val="18"/>
              </w:rPr>
              <w:t>1</w:t>
            </w:r>
          </w:p>
        </w:tc>
        <w:tc>
          <w:tcPr>
            <w:tcW w:w="0" w:type="auto"/>
            <w:noWrap/>
            <w:vAlign w:val="center"/>
          </w:tcPr>
          <w:p w14:paraId="68DB2E5E" w14:textId="2C0D8217" w:rsidR="00CB6C0D" w:rsidRPr="00CB6C0D" w:rsidRDefault="00CB6C0D" w:rsidP="00CB6C0D">
            <w:pPr>
              <w:pStyle w:val="Table"/>
              <w:rPr>
                <w:sz w:val="18"/>
                <w:szCs w:val="18"/>
                <w:lang w:val="en-US"/>
              </w:rPr>
            </w:pPr>
          </w:p>
        </w:tc>
        <w:tc>
          <w:tcPr>
            <w:tcW w:w="0" w:type="auto"/>
            <w:noWrap/>
            <w:vAlign w:val="center"/>
          </w:tcPr>
          <w:p w14:paraId="3B8EB6D9" w14:textId="77777777" w:rsidR="00CB6C0D" w:rsidRPr="00CB6C0D" w:rsidRDefault="00CB6C0D" w:rsidP="00CB6C0D">
            <w:pPr>
              <w:pStyle w:val="Table"/>
              <w:rPr>
                <w:sz w:val="18"/>
                <w:szCs w:val="18"/>
                <w:lang w:val="en-US"/>
              </w:rPr>
            </w:pPr>
          </w:p>
        </w:tc>
      </w:tr>
      <w:tr w:rsidR="00CB6C0D" w:rsidRPr="00101A2A" w14:paraId="52A7350E" w14:textId="77777777" w:rsidTr="00CB6C0D">
        <w:trPr>
          <w:trHeight w:val="260"/>
        </w:trPr>
        <w:tc>
          <w:tcPr>
            <w:tcW w:w="2430" w:type="dxa"/>
            <w:vAlign w:val="center"/>
          </w:tcPr>
          <w:p w14:paraId="70DDD38D" w14:textId="54F1E4AE" w:rsidR="00CB6C0D" w:rsidRPr="00101A2A" w:rsidRDefault="00CB6C0D" w:rsidP="00CB6C0D">
            <w:pPr>
              <w:pStyle w:val="Table"/>
              <w:jc w:val="left"/>
              <w:rPr>
                <w:b/>
                <w:bCs/>
                <w:sz w:val="18"/>
                <w:szCs w:val="18"/>
                <w:lang w:val="en-US"/>
              </w:rPr>
            </w:pPr>
            <w:r w:rsidRPr="00101A2A">
              <w:rPr>
                <w:b/>
                <w:bCs/>
                <w:sz w:val="18"/>
                <w:szCs w:val="18"/>
                <w:lang w:val="en-US"/>
              </w:rPr>
              <w:t>12. Population (log)</w:t>
            </w:r>
          </w:p>
        </w:tc>
        <w:tc>
          <w:tcPr>
            <w:tcW w:w="990" w:type="dxa"/>
            <w:noWrap/>
            <w:vAlign w:val="center"/>
            <w:hideMark/>
          </w:tcPr>
          <w:p w14:paraId="1A416358" w14:textId="48DEE052" w:rsidR="00CB6C0D" w:rsidRPr="00CB6C0D" w:rsidRDefault="00CB6C0D" w:rsidP="00CB6C0D">
            <w:pPr>
              <w:pStyle w:val="Table"/>
              <w:rPr>
                <w:sz w:val="18"/>
                <w:szCs w:val="18"/>
                <w:lang w:val="en-US"/>
              </w:rPr>
            </w:pPr>
            <w:r w:rsidRPr="00CB6C0D">
              <w:rPr>
                <w:color w:val="000000"/>
                <w:sz w:val="18"/>
                <w:szCs w:val="18"/>
              </w:rPr>
              <w:t>0.310</w:t>
            </w:r>
            <w:r w:rsidRPr="00CB6C0D">
              <w:rPr>
                <w:color w:val="000000"/>
                <w:sz w:val="18"/>
                <w:szCs w:val="18"/>
                <w:vertAlign w:val="superscript"/>
              </w:rPr>
              <w:t>***</w:t>
            </w:r>
          </w:p>
        </w:tc>
        <w:tc>
          <w:tcPr>
            <w:tcW w:w="900" w:type="dxa"/>
            <w:noWrap/>
            <w:vAlign w:val="center"/>
            <w:hideMark/>
          </w:tcPr>
          <w:p w14:paraId="598CF9FD" w14:textId="4E8E6ADA" w:rsidR="00CB6C0D" w:rsidRPr="00CB6C0D" w:rsidRDefault="00CB6C0D" w:rsidP="00CB6C0D">
            <w:pPr>
              <w:pStyle w:val="Table"/>
              <w:rPr>
                <w:sz w:val="18"/>
                <w:szCs w:val="18"/>
                <w:lang w:val="en-US"/>
              </w:rPr>
            </w:pPr>
            <w:r w:rsidRPr="00CB6C0D">
              <w:rPr>
                <w:color w:val="000000"/>
                <w:sz w:val="18"/>
                <w:szCs w:val="18"/>
              </w:rPr>
              <w:t>0.049</w:t>
            </w:r>
            <w:r w:rsidRPr="00CB6C0D">
              <w:rPr>
                <w:color w:val="000000"/>
                <w:sz w:val="18"/>
                <w:szCs w:val="18"/>
                <w:vertAlign w:val="superscript"/>
              </w:rPr>
              <w:t>***</w:t>
            </w:r>
          </w:p>
        </w:tc>
        <w:tc>
          <w:tcPr>
            <w:tcW w:w="900" w:type="dxa"/>
            <w:noWrap/>
            <w:vAlign w:val="center"/>
            <w:hideMark/>
          </w:tcPr>
          <w:p w14:paraId="105F42A5" w14:textId="63A4AA0A" w:rsidR="00CB6C0D" w:rsidRPr="00CB6C0D" w:rsidRDefault="00CB6C0D" w:rsidP="00CB6C0D">
            <w:pPr>
              <w:pStyle w:val="Table"/>
              <w:rPr>
                <w:sz w:val="18"/>
                <w:szCs w:val="18"/>
                <w:lang w:val="en-US"/>
              </w:rPr>
            </w:pPr>
            <w:r w:rsidRPr="00CB6C0D">
              <w:rPr>
                <w:color w:val="000000"/>
                <w:sz w:val="18"/>
                <w:szCs w:val="18"/>
              </w:rPr>
              <w:t>-0.309</w:t>
            </w:r>
            <w:r w:rsidRPr="00CB6C0D">
              <w:rPr>
                <w:color w:val="000000"/>
                <w:sz w:val="18"/>
                <w:szCs w:val="18"/>
                <w:vertAlign w:val="superscript"/>
              </w:rPr>
              <w:t>***</w:t>
            </w:r>
          </w:p>
        </w:tc>
        <w:tc>
          <w:tcPr>
            <w:tcW w:w="996" w:type="dxa"/>
            <w:vAlign w:val="center"/>
          </w:tcPr>
          <w:p w14:paraId="318C5E5A" w14:textId="653C20B0" w:rsidR="00CB6C0D" w:rsidRPr="00CB6C0D" w:rsidRDefault="00CB6C0D" w:rsidP="00CB6C0D">
            <w:pPr>
              <w:pStyle w:val="Table"/>
              <w:rPr>
                <w:sz w:val="18"/>
                <w:szCs w:val="18"/>
                <w:lang w:val="en-US"/>
              </w:rPr>
            </w:pPr>
            <w:r w:rsidRPr="00CB6C0D">
              <w:rPr>
                <w:color w:val="000000"/>
                <w:sz w:val="18"/>
                <w:szCs w:val="18"/>
              </w:rPr>
              <w:t>-0.0</w:t>
            </w:r>
            <w:r>
              <w:rPr>
                <w:color w:val="000000"/>
                <w:sz w:val="18"/>
                <w:szCs w:val="18"/>
              </w:rPr>
              <w:t>60</w:t>
            </w:r>
            <w:r w:rsidRPr="00CB6C0D">
              <w:rPr>
                <w:color w:val="000000"/>
                <w:sz w:val="18"/>
                <w:szCs w:val="18"/>
                <w:vertAlign w:val="superscript"/>
              </w:rPr>
              <w:t>***</w:t>
            </w:r>
          </w:p>
        </w:tc>
        <w:tc>
          <w:tcPr>
            <w:tcW w:w="0" w:type="auto"/>
            <w:noWrap/>
            <w:vAlign w:val="center"/>
            <w:hideMark/>
          </w:tcPr>
          <w:p w14:paraId="710C7530" w14:textId="2663AC12" w:rsidR="00CB6C0D" w:rsidRPr="00CB6C0D" w:rsidRDefault="00CB6C0D" w:rsidP="00CB6C0D">
            <w:pPr>
              <w:pStyle w:val="Table"/>
              <w:rPr>
                <w:sz w:val="18"/>
                <w:szCs w:val="18"/>
                <w:lang w:val="en-US"/>
              </w:rPr>
            </w:pPr>
            <w:r w:rsidRPr="00CB6C0D">
              <w:rPr>
                <w:color w:val="000000"/>
                <w:sz w:val="18"/>
                <w:szCs w:val="18"/>
              </w:rPr>
              <w:t>0.</w:t>
            </w:r>
            <w:r w:rsidR="009C6F0D">
              <w:rPr>
                <w:color w:val="000000"/>
                <w:sz w:val="18"/>
                <w:szCs w:val="18"/>
              </w:rPr>
              <w:t>311</w:t>
            </w:r>
            <w:r w:rsidRPr="00CB6C0D">
              <w:rPr>
                <w:color w:val="000000"/>
                <w:sz w:val="18"/>
                <w:szCs w:val="18"/>
                <w:vertAlign w:val="superscript"/>
              </w:rPr>
              <w:t>***</w:t>
            </w:r>
          </w:p>
        </w:tc>
        <w:tc>
          <w:tcPr>
            <w:tcW w:w="0" w:type="auto"/>
            <w:noWrap/>
            <w:vAlign w:val="center"/>
            <w:hideMark/>
          </w:tcPr>
          <w:p w14:paraId="05F8B21F" w14:textId="75C2E8CD" w:rsidR="00CB6C0D" w:rsidRPr="00CB6C0D" w:rsidRDefault="00CB6C0D" w:rsidP="00CB6C0D">
            <w:pPr>
              <w:pStyle w:val="Table"/>
              <w:rPr>
                <w:sz w:val="18"/>
                <w:szCs w:val="18"/>
                <w:lang w:val="en-US"/>
              </w:rPr>
            </w:pPr>
            <w:r w:rsidRPr="00CB6C0D">
              <w:rPr>
                <w:color w:val="000000"/>
                <w:sz w:val="18"/>
                <w:szCs w:val="18"/>
              </w:rPr>
              <w:t>0.01</w:t>
            </w:r>
            <w:r>
              <w:rPr>
                <w:color w:val="000000"/>
                <w:sz w:val="18"/>
                <w:szCs w:val="18"/>
              </w:rPr>
              <w:t>8</w:t>
            </w:r>
            <w:r w:rsidRPr="00CB6C0D">
              <w:rPr>
                <w:color w:val="000000"/>
                <w:sz w:val="18"/>
                <w:szCs w:val="18"/>
                <w:vertAlign w:val="superscript"/>
              </w:rPr>
              <w:t>*</w:t>
            </w:r>
          </w:p>
        </w:tc>
        <w:tc>
          <w:tcPr>
            <w:tcW w:w="0" w:type="auto"/>
            <w:noWrap/>
            <w:vAlign w:val="center"/>
            <w:hideMark/>
          </w:tcPr>
          <w:p w14:paraId="30D5F028" w14:textId="2C313593" w:rsidR="00CB6C0D" w:rsidRPr="00CB6C0D" w:rsidRDefault="00CB6C0D" w:rsidP="00CB6C0D">
            <w:pPr>
              <w:pStyle w:val="Table"/>
              <w:rPr>
                <w:sz w:val="18"/>
                <w:szCs w:val="18"/>
                <w:lang w:val="en-US"/>
              </w:rPr>
            </w:pPr>
            <w:r w:rsidRPr="00CB6C0D">
              <w:rPr>
                <w:color w:val="000000"/>
                <w:sz w:val="18"/>
                <w:szCs w:val="18"/>
              </w:rPr>
              <w:t>0.05</w:t>
            </w:r>
            <w:r>
              <w:rPr>
                <w:color w:val="000000"/>
                <w:sz w:val="18"/>
                <w:szCs w:val="18"/>
              </w:rPr>
              <w:t>5</w:t>
            </w:r>
            <w:r w:rsidRPr="00CB6C0D">
              <w:rPr>
                <w:color w:val="000000"/>
                <w:sz w:val="18"/>
                <w:szCs w:val="18"/>
                <w:vertAlign w:val="superscript"/>
              </w:rPr>
              <w:t>***</w:t>
            </w:r>
          </w:p>
        </w:tc>
        <w:tc>
          <w:tcPr>
            <w:tcW w:w="0" w:type="auto"/>
            <w:noWrap/>
            <w:vAlign w:val="center"/>
            <w:hideMark/>
          </w:tcPr>
          <w:p w14:paraId="1A6AFE68" w14:textId="4F04BC9B" w:rsidR="00CB6C0D" w:rsidRPr="00CB6C0D" w:rsidRDefault="00CB6C0D" w:rsidP="00CB6C0D">
            <w:pPr>
              <w:pStyle w:val="Table"/>
              <w:rPr>
                <w:sz w:val="18"/>
                <w:szCs w:val="18"/>
                <w:lang w:val="en-US"/>
              </w:rPr>
            </w:pPr>
            <w:r w:rsidRPr="00CB6C0D">
              <w:rPr>
                <w:color w:val="000000"/>
                <w:sz w:val="18"/>
                <w:szCs w:val="18"/>
              </w:rPr>
              <w:t>0.062</w:t>
            </w:r>
            <w:r w:rsidRPr="00CB6C0D">
              <w:rPr>
                <w:color w:val="000000"/>
                <w:sz w:val="18"/>
                <w:szCs w:val="18"/>
                <w:vertAlign w:val="superscript"/>
              </w:rPr>
              <w:t>***</w:t>
            </w:r>
          </w:p>
        </w:tc>
        <w:tc>
          <w:tcPr>
            <w:tcW w:w="0" w:type="auto"/>
            <w:noWrap/>
            <w:vAlign w:val="center"/>
            <w:hideMark/>
          </w:tcPr>
          <w:p w14:paraId="15AEA763" w14:textId="5B954867" w:rsidR="00CB6C0D" w:rsidRPr="00CB6C0D" w:rsidRDefault="00CB6C0D" w:rsidP="00CB6C0D">
            <w:pPr>
              <w:pStyle w:val="Table"/>
              <w:rPr>
                <w:sz w:val="18"/>
                <w:szCs w:val="18"/>
                <w:lang w:val="en-US"/>
              </w:rPr>
            </w:pPr>
            <w:r w:rsidRPr="00CB6C0D">
              <w:rPr>
                <w:color w:val="000000"/>
                <w:sz w:val="18"/>
                <w:szCs w:val="18"/>
              </w:rPr>
              <w:t>0.001</w:t>
            </w:r>
          </w:p>
        </w:tc>
        <w:tc>
          <w:tcPr>
            <w:tcW w:w="0" w:type="auto"/>
            <w:noWrap/>
            <w:vAlign w:val="center"/>
            <w:hideMark/>
          </w:tcPr>
          <w:p w14:paraId="68583F01" w14:textId="1AB9BBC3" w:rsidR="00CB6C0D" w:rsidRPr="00CB6C0D" w:rsidRDefault="00CB6C0D" w:rsidP="00CB6C0D">
            <w:pPr>
              <w:pStyle w:val="Table"/>
              <w:rPr>
                <w:sz w:val="18"/>
                <w:szCs w:val="18"/>
                <w:lang w:val="en-US"/>
              </w:rPr>
            </w:pPr>
            <w:r w:rsidRPr="00CB6C0D">
              <w:rPr>
                <w:color w:val="000000"/>
                <w:sz w:val="18"/>
                <w:szCs w:val="18"/>
              </w:rPr>
              <w:t>-0.000</w:t>
            </w:r>
          </w:p>
        </w:tc>
        <w:tc>
          <w:tcPr>
            <w:tcW w:w="0" w:type="auto"/>
            <w:vAlign w:val="center"/>
          </w:tcPr>
          <w:p w14:paraId="4C90C072" w14:textId="03B66CF9" w:rsidR="00CB6C0D" w:rsidRPr="00CB6C0D" w:rsidRDefault="00CB6C0D" w:rsidP="00CB6C0D">
            <w:pPr>
              <w:pStyle w:val="Table"/>
              <w:rPr>
                <w:sz w:val="18"/>
                <w:szCs w:val="18"/>
                <w:lang w:val="en-US"/>
              </w:rPr>
            </w:pPr>
            <w:r w:rsidRPr="00CB6C0D">
              <w:rPr>
                <w:color w:val="000000"/>
                <w:sz w:val="18"/>
                <w:szCs w:val="18"/>
              </w:rPr>
              <w:t>0.02</w:t>
            </w:r>
            <w:r>
              <w:rPr>
                <w:color w:val="000000"/>
                <w:sz w:val="18"/>
                <w:szCs w:val="18"/>
              </w:rPr>
              <w:t>1</w:t>
            </w:r>
            <w:r w:rsidRPr="00CB6C0D">
              <w:rPr>
                <w:color w:val="000000"/>
                <w:sz w:val="18"/>
                <w:szCs w:val="18"/>
                <w:vertAlign w:val="superscript"/>
              </w:rPr>
              <w:t>*</w:t>
            </w:r>
          </w:p>
        </w:tc>
        <w:tc>
          <w:tcPr>
            <w:tcW w:w="0" w:type="auto"/>
            <w:noWrap/>
            <w:vAlign w:val="center"/>
            <w:hideMark/>
          </w:tcPr>
          <w:p w14:paraId="1C75F27D" w14:textId="6BF030E0" w:rsidR="00CB6C0D" w:rsidRPr="00CB6C0D" w:rsidRDefault="00CB6C0D" w:rsidP="00CB6C0D">
            <w:pPr>
              <w:pStyle w:val="Table"/>
              <w:rPr>
                <w:sz w:val="18"/>
                <w:szCs w:val="18"/>
                <w:lang w:val="en-US"/>
              </w:rPr>
            </w:pPr>
            <w:r w:rsidRPr="00CB6C0D">
              <w:rPr>
                <w:color w:val="000000"/>
                <w:sz w:val="18"/>
                <w:szCs w:val="18"/>
              </w:rPr>
              <w:t>1</w:t>
            </w:r>
          </w:p>
        </w:tc>
        <w:tc>
          <w:tcPr>
            <w:tcW w:w="0" w:type="auto"/>
            <w:noWrap/>
            <w:vAlign w:val="center"/>
            <w:hideMark/>
          </w:tcPr>
          <w:p w14:paraId="73E4792D" w14:textId="77777777" w:rsidR="00CB6C0D" w:rsidRPr="00CB6C0D" w:rsidRDefault="00CB6C0D" w:rsidP="00CB6C0D">
            <w:pPr>
              <w:pStyle w:val="Table"/>
              <w:rPr>
                <w:sz w:val="18"/>
                <w:szCs w:val="18"/>
                <w:lang w:val="en-US"/>
              </w:rPr>
            </w:pPr>
          </w:p>
        </w:tc>
      </w:tr>
      <w:tr w:rsidR="00CB6C0D" w:rsidRPr="00101A2A" w14:paraId="45F19B5D" w14:textId="77777777" w:rsidTr="00CB6C0D">
        <w:trPr>
          <w:trHeight w:val="260"/>
        </w:trPr>
        <w:tc>
          <w:tcPr>
            <w:tcW w:w="2430" w:type="dxa"/>
            <w:tcBorders>
              <w:bottom w:val="single" w:sz="4" w:space="0" w:color="auto"/>
            </w:tcBorders>
            <w:vAlign w:val="center"/>
          </w:tcPr>
          <w:p w14:paraId="73AB374B" w14:textId="233A9141" w:rsidR="00CB6C0D" w:rsidRPr="00101A2A" w:rsidRDefault="00CB6C0D" w:rsidP="00CB6C0D">
            <w:pPr>
              <w:pStyle w:val="Table"/>
              <w:jc w:val="left"/>
              <w:rPr>
                <w:b/>
                <w:bCs/>
                <w:sz w:val="18"/>
                <w:szCs w:val="18"/>
                <w:lang w:val="en-US"/>
              </w:rPr>
            </w:pPr>
            <w:r w:rsidRPr="00101A2A">
              <w:rPr>
                <w:b/>
                <w:bCs/>
                <w:sz w:val="18"/>
                <w:szCs w:val="18"/>
                <w:lang w:val="en-US"/>
              </w:rPr>
              <w:t>13. Income (log)</w:t>
            </w:r>
          </w:p>
        </w:tc>
        <w:tc>
          <w:tcPr>
            <w:tcW w:w="990" w:type="dxa"/>
            <w:tcBorders>
              <w:bottom w:val="single" w:sz="4" w:space="0" w:color="auto"/>
            </w:tcBorders>
            <w:noWrap/>
            <w:vAlign w:val="center"/>
            <w:hideMark/>
          </w:tcPr>
          <w:p w14:paraId="35AA53AF" w14:textId="474BBFEE" w:rsidR="00CB6C0D" w:rsidRPr="00CB6C0D" w:rsidRDefault="00CB6C0D" w:rsidP="00CB6C0D">
            <w:pPr>
              <w:pStyle w:val="Table"/>
              <w:rPr>
                <w:sz w:val="18"/>
                <w:szCs w:val="18"/>
                <w:lang w:val="en-US"/>
              </w:rPr>
            </w:pPr>
            <w:r w:rsidRPr="00CB6C0D">
              <w:rPr>
                <w:color w:val="000000"/>
                <w:sz w:val="18"/>
                <w:szCs w:val="18"/>
              </w:rPr>
              <w:t>0.389</w:t>
            </w:r>
            <w:r w:rsidRPr="00CB6C0D">
              <w:rPr>
                <w:color w:val="000000"/>
                <w:sz w:val="18"/>
                <w:szCs w:val="18"/>
                <w:vertAlign w:val="superscript"/>
              </w:rPr>
              <w:t>***</w:t>
            </w:r>
          </w:p>
        </w:tc>
        <w:tc>
          <w:tcPr>
            <w:tcW w:w="900" w:type="dxa"/>
            <w:tcBorders>
              <w:bottom w:val="single" w:sz="4" w:space="0" w:color="auto"/>
            </w:tcBorders>
            <w:noWrap/>
            <w:vAlign w:val="center"/>
            <w:hideMark/>
          </w:tcPr>
          <w:p w14:paraId="62592668" w14:textId="23F5BB1E" w:rsidR="00CB6C0D" w:rsidRPr="00CB6C0D" w:rsidRDefault="00CB6C0D" w:rsidP="00CB6C0D">
            <w:pPr>
              <w:pStyle w:val="Table"/>
              <w:rPr>
                <w:sz w:val="18"/>
                <w:szCs w:val="18"/>
                <w:lang w:val="en-US"/>
              </w:rPr>
            </w:pPr>
            <w:r w:rsidRPr="00CB6C0D">
              <w:rPr>
                <w:color w:val="000000"/>
                <w:sz w:val="18"/>
                <w:szCs w:val="18"/>
              </w:rPr>
              <w:t>-0.03</w:t>
            </w:r>
            <w:r>
              <w:rPr>
                <w:color w:val="000000"/>
                <w:sz w:val="18"/>
                <w:szCs w:val="18"/>
              </w:rPr>
              <w:t>8</w:t>
            </w:r>
            <w:r w:rsidRPr="00CB6C0D">
              <w:rPr>
                <w:color w:val="000000"/>
                <w:sz w:val="18"/>
                <w:szCs w:val="18"/>
                <w:vertAlign w:val="superscript"/>
              </w:rPr>
              <w:t>***</w:t>
            </w:r>
          </w:p>
        </w:tc>
        <w:tc>
          <w:tcPr>
            <w:tcW w:w="900" w:type="dxa"/>
            <w:tcBorders>
              <w:bottom w:val="single" w:sz="4" w:space="0" w:color="auto"/>
            </w:tcBorders>
            <w:noWrap/>
            <w:vAlign w:val="center"/>
            <w:hideMark/>
          </w:tcPr>
          <w:p w14:paraId="112348B6" w14:textId="42F15CC0" w:rsidR="00CB6C0D" w:rsidRPr="00CB6C0D" w:rsidRDefault="00CB6C0D" w:rsidP="00CB6C0D">
            <w:pPr>
              <w:pStyle w:val="Table"/>
              <w:rPr>
                <w:sz w:val="18"/>
                <w:szCs w:val="18"/>
                <w:lang w:val="en-US"/>
              </w:rPr>
            </w:pPr>
            <w:r w:rsidRPr="00CB6C0D">
              <w:rPr>
                <w:color w:val="000000"/>
                <w:sz w:val="18"/>
                <w:szCs w:val="18"/>
              </w:rPr>
              <w:t>-0.130</w:t>
            </w:r>
            <w:r w:rsidRPr="00CB6C0D">
              <w:rPr>
                <w:color w:val="000000"/>
                <w:sz w:val="18"/>
                <w:szCs w:val="18"/>
                <w:vertAlign w:val="superscript"/>
              </w:rPr>
              <w:t>***</w:t>
            </w:r>
          </w:p>
        </w:tc>
        <w:tc>
          <w:tcPr>
            <w:tcW w:w="996" w:type="dxa"/>
            <w:tcBorders>
              <w:bottom w:val="single" w:sz="4" w:space="0" w:color="auto"/>
            </w:tcBorders>
            <w:vAlign w:val="center"/>
          </w:tcPr>
          <w:p w14:paraId="11A93B4C" w14:textId="2FAAE93F" w:rsidR="00CB6C0D" w:rsidRPr="00CB6C0D" w:rsidRDefault="00CB6C0D" w:rsidP="00CB6C0D">
            <w:pPr>
              <w:pStyle w:val="Table"/>
              <w:rPr>
                <w:sz w:val="18"/>
                <w:szCs w:val="18"/>
                <w:lang w:val="en-US"/>
              </w:rPr>
            </w:pPr>
            <w:r w:rsidRPr="00CB6C0D">
              <w:rPr>
                <w:color w:val="000000"/>
                <w:sz w:val="18"/>
                <w:szCs w:val="18"/>
              </w:rPr>
              <w:t>-0.</w:t>
            </w:r>
            <w:r>
              <w:rPr>
                <w:color w:val="000000"/>
                <w:sz w:val="18"/>
                <w:szCs w:val="18"/>
              </w:rPr>
              <w:t>100</w:t>
            </w:r>
            <w:r w:rsidRPr="00CB6C0D">
              <w:rPr>
                <w:color w:val="000000"/>
                <w:sz w:val="18"/>
                <w:szCs w:val="18"/>
                <w:vertAlign w:val="superscript"/>
              </w:rPr>
              <w:t>***</w:t>
            </w:r>
          </w:p>
        </w:tc>
        <w:tc>
          <w:tcPr>
            <w:tcW w:w="0" w:type="auto"/>
            <w:tcBorders>
              <w:bottom w:val="single" w:sz="4" w:space="0" w:color="auto"/>
            </w:tcBorders>
            <w:noWrap/>
            <w:vAlign w:val="center"/>
            <w:hideMark/>
          </w:tcPr>
          <w:p w14:paraId="24548989" w14:textId="58CCED67" w:rsidR="00CB6C0D" w:rsidRPr="00CB6C0D" w:rsidRDefault="00CB6C0D" w:rsidP="00CB6C0D">
            <w:pPr>
              <w:pStyle w:val="Table"/>
              <w:rPr>
                <w:sz w:val="18"/>
                <w:szCs w:val="18"/>
                <w:lang w:val="en-US"/>
              </w:rPr>
            </w:pPr>
            <w:r w:rsidRPr="00CB6C0D">
              <w:rPr>
                <w:color w:val="000000"/>
                <w:sz w:val="18"/>
                <w:szCs w:val="18"/>
              </w:rPr>
              <w:t>0.3</w:t>
            </w:r>
            <w:r w:rsidR="009C6F0D">
              <w:rPr>
                <w:color w:val="000000"/>
                <w:sz w:val="18"/>
                <w:szCs w:val="18"/>
              </w:rPr>
              <w:t>89</w:t>
            </w:r>
            <w:r w:rsidRPr="00CB6C0D">
              <w:rPr>
                <w:color w:val="000000"/>
                <w:sz w:val="18"/>
                <w:szCs w:val="18"/>
                <w:vertAlign w:val="superscript"/>
              </w:rPr>
              <w:t>***</w:t>
            </w:r>
          </w:p>
        </w:tc>
        <w:tc>
          <w:tcPr>
            <w:tcW w:w="0" w:type="auto"/>
            <w:tcBorders>
              <w:bottom w:val="single" w:sz="4" w:space="0" w:color="auto"/>
            </w:tcBorders>
            <w:noWrap/>
            <w:vAlign w:val="center"/>
            <w:hideMark/>
          </w:tcPr>
          <w:p w14:paraId="5A2D05B7" w14:textId="7E101001" w:rsidR="00CB6C0D" w:rsidRPr="00CB6C0D" w:rsidRDefault="00CB6C0D" w:rsidP="00CB6C0D">
            <w:pPr>
              <w:pStyle w:val="Table"/>
              <w:rPr>
                <w:sz w:val="18"/>
                <w:szCs w:val="18"/>
                <w:lang w:val="en-US"/>
              </w:rPr>
            </w:pPr>
            <w:r w:rsidRPr="00CB6C0D">
              <w:rPr>
                <w:color w:val="000000"/>
                <w:sz w:val="18"/>
                <w:szCs w:val="18"/>
              </w:rPr>
              <w:t>0.07</w:t>
            </w:r>
            <w:r>
              <w:rPr>
                <w:color w:val="000000"/>
                <w:sz w:val="18"/>
                <w:szCs w:val="18"/>
              </w:rPr>
              <w:t>4</w:t>
            </w:r>
            <w:r w:rsidRPr="00CB6C0D">
              <w:rPr>
                <w:color w:val="000000"/>
                <w:sz w:val="18"/>
                <w:szCs w:val="18"/>
                <w:vertAlign w:val="superscript"/>
              </w:rPr>
              <w:t>***</w:t>
            </w:r>
          </w:p>
        </w:tc>
        <w:tc>
          <w:tcPr>
            <w:tcW w:w="0" w:type="auto"/>
            <w:tcBorders>
              <w:bottom w:val="single" w:sz="4" w:space="0" w:color="auto"/>
            </w:tcBorders>
            <w:noWrap/>
            <w:vAlign w:val="center"/>
            <w:hideMark/>
          </w:tcPr>
          <w:p w14:paraId="0C41191F" w14:textId="1F6A5EB7" w:rsidR="00CB6C0D" w:rsidRPr="00CB6C0D" w:rsidRDefault="00CB6C0D" w:rsidP="00CB6C0D">
            <w:pPr>
              <w:pStyle w:val="Table"/>
              <w:rPr>
                <w:sz w:val="18"/>
                <w:szCs w:val="18"/>
                <w:lang w:val="en-US"/>
              </w:rPr>
            </w:pPr>
            <w:r w:rsidRPr="00CB6C0D">
              <w:rPr>
                <w:color w:val="000000"/>
                <w:sz w:val="18"/>
                <w:szCs w:val="18"/>
              </w:rPr>
              <w:t>0.276</w:t>
            </w:r>
            <w:r w:rsidRPr="00CB6C0D">
              <w:rPr>
                <w:color w:val="000000"/>
                <w:sz w:val="18"/>
                <w:szCs w:val="18"/>
                <w:vertAlign w:val="superscript"/>
              </w:rPr>
              <w:t>***</w:t>
            </w:r>
          </w:p>
        </w:tc>
        <w:tc>
          <w:tcPr>
            <w:tcW w:w="0" w:type="auto"/>
            <w:tcBorders>
              <w:bottom w:val="single" w:sz="4" w:space="0" w:color="auto"/>
            </w:tcBorders>
            <w:noWrap/>
            <w:vAlign w:val="center"/>
            <w:hideMark/>
          </w:tcPr>
          <w:p w14:paraId="386D735C" w14:textId="43A9FE42" w:rsidR="00CB6C0D" w:rsidRPr="00CB6C0D" w:rsidRDefault="00CB6C0D" w:rsidP="00CB6C0D">
            <w:pPr>
              <w:pStyle w:val="Table"/>
              <w:rPr>
                <w:sz w:val="18"/>
                <w:szCs w:val="18"/>
                <w:lang w:val="en-US"/>
              </w:rPr>
            </w:pPr>
            <w:r w:rsidRPr="00CB6C0D">
              <w:rPr>
                <w:color w:val="000000"/>
                <w:sz w:val="18"/>
                <w:szCs w:val="18"/>
              </w:rPr>
              <w:t>0.269</w:t>
            </w:r>
            <w:r w:rsidRPr="00CB6C0D">
              <w:rPr>
                <w:color w:val="000000"/>
                <w:sz w:val="18"/>
                <w:szCs w:val="18"/>
                <w:vertAlign w:val="superscript"/>
              </w:rPr>
              <w:t>***</w:t>
            </w:r>
          </w:p>
        </w:tc>
        <w:tc>
          <w:tcPr>
            <w:tcW w:w="0" w:type="auto"/>
            <w:tcBorders>
              <w:bottom w:val="single" w:sz="4" w:space="0" w:color="auto"/>
            </w:tcBorders>
            <w:noWrap/>
            <w:vAlign w:val="center"/>
            <w:hideMark/>
          </w:tcPr>
          <w:p w14:paraId="59EF53A2" w14:textId="24240A9A" w:rsidR="00CB6C0D" w:rsidRPr="00CB6C0D" w:rsidRDefault="00CB6C0D" w:rsidP="00CB6C0D">
            <w:pPr>
              <w:pStyle w:val="Table"/>
              <w:rPr>
                <w:sz w:val="18"/>
                <w:szCs w:val="18"/>
                <w:lang w:val="en-US"/>
              </w:rPr>
            </w:pPr>
            <w:r w:rsidRPr="00CB6C0D">
              <w:rPr>
                <w:color w:val="000000"/>
                <w:sz w:val="18"/>
                <w:szCs w:val="18"/>
              </w:rPr>
              <w:t>-0.001</w:t>
            </w:r>
          </w:p>
        </w:tc>
        <w:tc>
          <w:tcPr>
            <w:tcW w:w="0" w:type="auto"/>
            <w:tcBorders>
              <w:bottom w:val="single" w:sz="4" w:space="0" w:color="auto"/>
            </w:tcBorders>
            <w:noWrap/>
            <w:vAlign w:val="center"/>
            <w:hideMark/>
          </w:tcPr>
          <w:p w14:paraId="4D684511" w14:textId="6264F504" w:rsidR="00CB6C0D" w:rsidRPr="00CB6C0D" w:rsidRDefault="00CB6C0D" w:rsidP="00CB6C0D">
            <w:pPr>
              <w:pStyle w:val="Table"/>
              <w:rPr>
                <w:sz w:val="18"/>
                <w:szCs w:val="18"/>
                <w:lang w:val="en-US"/>
              </w:rPr>
            </w:pPr>
            <w:r w:rsidRPr="00CB6C0D">
              <w:rPr>
                <w:color w:val="000000"/>
                <w:sz w:val="18"/>
                <w:szCs w:val="18"/>
              </w:rPr>
              <w:t>-0.003</w:t>
            </w:r>
          </w:p>
        </w:tc>
        <w:tc>
          <w:tcPr>
            <w:tcW w:w="0" w:type="auto"/>
            <w:tcBorders>
              <w:bottom w:val="single" w:sz="4" w:space="0" w:color="auto"/>
            </w:tcBorders>
            <w:vAlign w:val="center"/>
          </w:tcPr>
          <w:p w14:paraId="215E67B8" w14:textId="087F41BC" w:rsidR="00CB6C0D" w:rsidRPr="00CB6C0D" w:rsidRDefault="00CB6C0D" w:rsidP="00CB6C0D">
            <w:pPr>
              <w:pStyle w:val="Table"/>
              <w:rPr>
                <w:sz w:val="18"/>
                <w:szCs w:val="18"/>
                <w:lang w:val="en-US"/>
              </w:rPr>
            </w:pPr>
            <w:r w:rsidRPr="00CB6C0D">
              <w:rPr>
                <w:color w:val="000000"/>
                <w:sz w:val="18"/>
                <w:szCs w:val="18"/>
              </w:rPr>
              <w:t>0.074</w:t>
            </w:r>
            <w:r w:rsidRPr="00CB6C0D">
              <w:rPr>
                <w:color w:val="000000"/>
                <w:sz w:val="18"/>
                <w:szCs w:val="18"/>
                <w:vertAlign w:val="superscript"/>
              </w:rPr>
              <w:t>***</w:t>
            </w:r>
          </w:p>
        </w:tc>
        <w:tc>
          <w:tcPr>
            <w:tcW w:w="0" w:type="auto"/>
            <w:tcBorders>
              <w:bottom w:val="single" w:sz="4" w:space="0" w:color="auto"/>
            </w:tcBorders>
            <w:noWrap/>
            <w:vAlign w:val="center"/>
            <w:hideMark/>
          </w:tcPr>
          <w:p w14:paraId="342E8780" w14:textId="0DC371BE" w:rsidR="00CB6C0D" w:rsidRPr="00CB6C0D" w:rsidRDefault="00CB6C0D" w:rsidP="00CB6C0D">
            <w:pPr>
              <w:pStyle w:val="Table"/>
              <w:rPr>
                <w:sz w:val="18"/>
                <w:szCs w:val="18"/>
                <w:lang w:val="en-US"/>
              </w:rPr>
            </w:pPr>
            <w:r w:rsidRPr="00CB6C0D">
              <w:rPr>
                <w:color w:val="000000"/>
                <w:sz w:val="18"/>
                <w:szCs w:val="18"/>
              </w:rPr>
              <w:t>0.470</w:t>
            </w:r>
            <w:r w:rsidRPr="00CB6C0D">
              <w:rPr>
                <w:color w:val="000000"/>
                <w:sz w:val="18"/>
                <w:szCs w:val="18"/>
                <w:vertAlign w:val="superscript"/>
              </w:rPr>
              <w:t>***</w:t>
            </w:r>
          </w:p>
        </w:tc>
        <w:tc>
          <w:tcPr>
            <w:tcW w:w="0" w:type="auto"/>
            <w:tcBorders>
              <w:bottom w:val="single" w:sz="4" w:space="0" w:color="auto"/>
            </w:tcBorders>
            <w:noWrap/>
            <w:vAlign w:val="center"/>
            <w:hideMark/>
          </w:tcPr>
          <w:p w14:paraId="781109AC" w14:textId="7DAE92F8" w:rsidR="00CB6C0D" w:rsidRPr="00CB6C0D" w:rsidRDefault="00CB6C0D" w:rsidP="00CB6C0D">
            <w:pPr>
              <w:pStyle w:val="Table"/>
              <w:rPr>
                <w:sz w:val="18"/>
                <w:szCs w:val="18"/>
                <w:lang w:val="en-US"/>
              </w:rPr>
            </w:pPr>
            <w:r w:rsidRPr="00CB6C0D">
              <w:rPr>
                <w:color w:val="000000"/>
                <w:sz w:val="18"/>
                <w:szCs w:val="18"/>
              </w:rPr>
              <w:t>1</w:t>
            </w:r>
          </w:p>
        </w:tc>
      </w:tr>
      <w:tr w:rsidR="00CB6C0D" w:rsidRPr="00101A2A" w14:paraId="732ADF21" w14:textId="77777777" w:rsidTr="00CB6C0D">
        <w:trPr>
          <w:trHeight w:val="260"/>
        </w:trPr>
        <w:tc>
          <w:tcPr>
            <w:tcW w:w="0" w:type="auto"/>
            <w:gridSpan w:val="14"/>
            <w:tcBorders>
              <w:top w:val="single" w:sz="4" w:space="0" w:color="auto"/>
              <w:bottom w:val="single" w:sz="4" w:space="0" w:color="auto"/>
            </w:tcBorders>
            <w:vAlign w:val="center"/>
          </w:tcPr>
          <w:p w14:paraId="23C90E00" w14:textId="083C1270" w:rsidR="00CB6C0D" w:rsidRPr="00CB6C0D" w:rsidRDefault="00CB6C0D" w:rsidP="00CB6C0D">
            <w:pPr>
              <w:pStyle w:val="Table"/>
              <w:jc w:val="left"/>
              <w:rPr>
                <w:color w:val="000000"/>
                <w:sz w:val="18"/>
                <w:szCs w:val="18"/>
              </w:rPr>
            </w:pPr>
            <w:r w:rsidRPr="00CB6C0D">
              <w:rPr>
                <w:color w:val="000000"/>
                <w:sz w:val="18"/>
                <w:szCs w:val="18"/>
              </w:rPr>
              <w:t>* p &lt; 0.05, ** p &lt; 0.01, *** p &lt; 0.001</w:t>
            </w:r>
          </w:p>
        </w:tc>
      </w:tr>
    </w:tbl>
    <w:p w14:paraId="14F06420" w14:textId="653DE36F" w:rsidR="009D6B67" w:rsidRPr="00101A2A" w:rsidRDefault="009D6B67" w:rsidP="00E42864">
      <w:pPr>
        <w:pStyle w:val="Table"/>
        <w:jc w:val="left"/>
        <w:rPr>
          <w:lang w:val="en-US"/>
        </w:rPr>
      </w:pPr>
    </w:p>
    <w:p w14:paraId="1BFD87D1" w14:textId="295DEA89" w:rsidR="004B0D49" w:rsidRPr="00101A2A" w:rsidRDefault="004B0D49" w:rsidP="005B5DDF">
      <w:pPr>
        <w:sectPr w:rsidR="004B0D49" w:rsidRPr="00101A2A" w:rsidSect="00304811">
          <w:pgSz w:w="15840" w:h="12240" w:orient="landscape"/>
          <w:pgMar w:top="1440" w:right="1440" w:bottom="1440" w:left="1440" w:header="720" w:footer="720" w:gutter="0"/>
          <w:cols w:space="720"/>
          <w:docGrid w:linePitch="360"/>
        </w:sectPr>
      </w:pPr>
    </w:p>
    <w:p w14:paraId="3B9C489B" w14:textId="0D54F830" w:rsidR="00E42864" w:rsidRPr="00101A2A" w:rsidRDefault="00E42864" w:rsidP="009B154F">
      <w:pPr>
        <w:spacing w:line="240" w:lineRule="auto"/>
        <w:ind w:firstLine="0"/>
        <w:rPr>
          <w:b/>
          <w:bCs/>
        </w:rPr>
      </w:pPr>
      <w:r w:rsidRPr="00101A2A">
        <w:rPr>
          <w:b/>
          <w:bCs/>
        </w:rPr>
        <w:lastRenderedPageBreak/>
        <w:t>Table 3: Descriptive statistics</w:t>
      </w:r>
    </w:p>
    <w:p w14:paraId="58259AF1" w14:textId="77777777" w:rsidR="00E42864" w:rsidRPr="00101A2A" w:rsidRDefault="00E42864" w:rsidP="009B154F">
      <w:pPr>
        <w:spacing w:line="240" w:lineRule="auto"/>
        <w:ind w:firstLine="0"/>
        <w:rPr>
          <w:b/>
          <w:bCs/>
        </w:rPr>
      </w:pPr>
    </w:p>
    <w:tbl>
      <w:tblPr>
        <w:tblStyle w:val="TableGrid"/>
        <w:tblW w:w="5533"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1"/>
        <w:gridCol w:w="1448"/>
        <w:gridCol w:w="1838"/>
        <w:gridCol w:w="1838"/>
        <w:gridCol w:w="1833"/>
      </w:tblGrid>
      <w:tr w:rsidR="00E55711" w:rsidRPr="00101A2A" w14:paraId="0404C01F" w14:textId="57D470F4" w:rsidTr="00B61D56">
        <w:trPr>
          <w:trHeight w:val="260"/>
        </w:trPr>
        <w:tc>
          <w:tcPr>
            <w:tcW w:w="1642" w:type="pct"/>
            <w:tcBorders>
              <w:top w:val="single" w:sz="4" w:space="0" w:color="auto"/>
              <w:bottom w:val="single" w:sz="4" w:space="0" w:color="auto"/>
            </w:tcBorders>
            <w:vAlign w:val="center"/>
          </w:tcPr>
          <w:p w14:paraId="43436F64" w14:textId="77777777" w:rsidR="00535324" w:rsidRPr="00101A2A" w:rsidRDefault="00535324" w:rsidP="00686921">
            <w:pPr>
              <w:pStyle w:val="Table"/>
              <w:rPr>
                <w:sz w:val="18"/>
                <w:szCs w:val="18"/>
                <w:lang w:val="en-US"/>
              </w:rPr>
            </w:pPr>
          </w:p>
        </w:tc>
        <w:tc>
          <w:tcPr>
            <w:tcW w:w="699" w:type="pct"/>
            <w:tcBorders>
              <w:top w:val="single" w:sz="4" w:space="0" w:color="auto"/>
              <w:bottom w:val="single" w:sz="4" w:space="0" w:color="auto"/>
            </w:tcBorders>
            <w:noWrap/>
            <w:vAlign w:val="center"/>
            <w:hideMark/>
          </w:tcPr>
          <w:p w14:paraId="0D152D97" w14:textId="667A5ACD" w:rsidR="00535324" w:rsidRPr="00101A2A" w:rsidRDefault="00535324" w:rsidP="00686921">
            <w:pPr>
              <w:pStyle w:val="Table"/>
              <w:rPr>
                <w:b/>
                <w:bCs/>
                <w:sz w:val="18"/>
                <w:szCs w:val="18"/>
                <w:lang w:val="en-US"/>
              </w:rPr>
            </w:pPr>
            <w:r w:rsidRPr="00101A2A">
              <w:rPr>
                <w:b/>
                <w:bCs/>
                <w:sz w:val="18"/>
                <w:szCs w:val="18"/>
                <w:lang w:val="en-US"/>
              </w:rPr>
              <w:t>M</w:t>
            </w:r>
            <w:r>
              <w:rPr>
                <w:b/>
                <w:bCs/>
                <w:sz w:val="18"/>
                <w:szCs w:val="18"/>
                <w:lang w:val="en-US"/>
              </w:rPr>
              <w:t>ean</w:t>
            </w:r>
          </w:p>
        </w:tc>
        <w:tc>
          <w:tcPr>
            <w:tcW w:w="887" w:type="pct"/>
            <w:tcBorders>
              <w:top w:val="single" w:sz="4" w:space="0" w:color="auto"/>
              <w:bottom w:val="single" w:sz="4" w:space="0" w:color="auto"/>
            </w:tcBorders>
          </w:tcPr>
          <w:p w14:paraId="05269000" w14:textId="13B87070" w:rsidR="00535324" w:rsidRPr="00101A2A" w:rsidRDefault="00535324" w:rsidP="00686921">
            <w:pPr>
              <w:pStyle w:val="Table"/>
              <w:rPr>
                <w:b/>
                <w:bCs/>
                <w:sz w:val="18"/>
                <w:szCs w:val="18"/>
                <w:lang w:val="en-US"/>
              </w:rPr>
            </w:pPr>
            <w:r>
              <w:rPr>
                <w:b/>
                <w:bCs/>
                <w:sz w:val="18"/>
                <w:szCs w:val="18"/>
                <w:lang w:val="en-US"/>
              </w:rPr>
              <w:t>Standard deviation</w:t>
            </w:r>
          </w:p>
        </w:tc>
        <w:tc>
          <w:tcPr>
            <w:tcW w:w="887" w:type="pct"/>
            <w:tcBorders>
              <w:top w:val="single" w:sz="4" w:space="0" w:color="auto"/>
              <w:bottom w:val="single" w:sz="4" w:space="0" w:color="auto"/>
            </w:tcBorders>
            <w:noWrap/>
            <w:vAlign w:val="center"/>
            <w:hideMark/>
          </w:tcPr>
          <w:p w14:paraId="0082C0AB" w14:textId="46073639" w:rsidR="00535324" w:rsidRPr="00101A2A" w:rsidRDefault="00535324" w:rsidP="00686921">
            <w:pPr>
              <w:pStyle w:val="Table"/>
              <w:rPr>
                <w:b/>
                <w:bCs/>
                <w:sz w:val="18"/>
                <w:szCs w:val="18"/>
                <w:lang w:val="en-US"/>
              </w:rPr>
            </w:pPr>
            <w:r w:rsidRPr="00101A2A">
              <w:rPr>
                <w:b/>
                <w:bCs/>
                <w:sz w:val="18"/>
                <w:szCs w:val="18"/>
                <w:lang w:val="en-US"/>
              </w:rPr>
              <w:t>Min</w:t>
            </w:r>
          </w:p>
        </w:tc>
        <w:tc>
          <w:tcPr>
            <w:tcW w:w="885" w:type="pct"/>
            <w:tcBorders>
              <w:top w:val="single" w:sz="4" w:space="0" w:color="auto"/>
              <w:bottom w:val="single" w:sz="4" w:space="0" w:color="auto"/>
            </w:tcBorders>
          </w:tcPr>
          <w:p w14:paraId="0BFE2353" w14:textId="5ED6AC4B" w:rsidR="00535324" w:rsidRPr="00101A2A" w:rsidRDefault="00535324" w:rsidP="00686921">
            <w:pPr>
              <w:pStyle w:val="Table"/>
              <w:rPr>
                <w:b/>
                <w:bCs/>
                <w:sz w:val="18"/>
                <w:szCs w:val="18"/>
                <w:lang w:val="en-US"/>
              </w:rPr>
            </w:pPr>
            <w:r>
              <w:rPr>
                <w:b/>
                <w:bCs/>
                <w:sz w:val="18"/>
                <w:szCs w:val="18"/>
                <w:lang w:val="en-US"/>
              </w:rPr>
              <w:t>Max</w:t>
            </w:r>
          </w:p>
        </w:tc>
      </w:tr>
      <w:tr w:rsidR="00E55711" w:rsidRPr="00101A2A" w14:paraId="3FAF207D" w14:textId="2F9DE319" w:rsidTr="00B61D56">
        <w:trPr>
          <w:trHeight w:val="280"/>
        </w:trPr>
        <w:tc>
          <w:tcPr>
            <w:tcW w:w="1642" w:type="pct"/>
            <w:tcBorders>
              <w:top w:val="single" w:sz="4" w:space="0" w:color="auto"/>
            </w:tcBorders>
            <w:vAlign w:val="center"/>
          </w:tcPr>
          <w:p w14:paraId="454B0F5F" w14:textId="58BC1F0E" w:rsidR="00535324" w:rsidRPr="00101A2A" w:rsidRDefault="00535324" w:rsidP="00535324">
            <w:pPr>
              <w:pStyle w:val="Table"/>
              <w:jc w:val="left"/>
              <w:rPr>
                <w:b/>
                <w:bCs/>
                <w:sz w:val="18"/>
                <w:szCs w:val="18"/>
                <w:lang w:val="en-US"/>
              </w:rPr>
            </w:pPr>
            <w:r w:rsidRPr="00101A2A">
              <w:rPr>
                <w:b/>
                <w:bCs/>
                <w:sz w:val="18"/>
                <w:szCs w:val="18"/>
                <w:lang w:val="en-US"/>
              </w:rPr>
              <w:t>1. Real estate prices at t</w:t>
            </w:r>
            <w:r w:rsidRPr="00101A2A">
              <w:rPr>
                <w:b/>
                <w:bCs/>
                <w:sz w:val="18"/>
                <w:szCs w:val="18"/>
                <w:vertAlign w:val="subscript"/>
                <w:lang w:val="en-US"/>
              </w:rPr>
              <w:t>1</w:t>
            </w:r>
            <w:r w:rsidRPr="00101A2A">
              <w:rPr>
                <w:b/>
                <w:bCs/>
                <w:sz w:val="18"/>
                <w:szCs w:val="18"/>
                <w:lang w:val="en-US"/>
              </w:rPr>
              <w:t xml:space="preserve"> (log)</w:t>
            </w:r>
          </w:p>
        </w:tc>
        <w:tc>
          <w:tcPr>
            <w:tcW w:w="699" w:type="pct"/>
            <w:tcBorders>
              <w:top w:val="single" w:sz="4" w:space="0" w:color="auto"/>
            </w:tcBorders>
            <w:noWrap/>
            <w:vAlign w:val="center"/>
            <w:hideMark/>
          </w:tcPr>
          <w:p w14:paraId="6B998C7F" w14:textId="4AB3DF34" w:rsidR="00535324" w:rsidRPr="00535324" w:rsidRDefault="00535324" w:rsidP="00535324">
            <w:pPr>
              <w:pStyle w:val="Table"/>
              <w:rPr>
                <w:sz w:val="18"/>
                <w:szCs w:val="18"/>
                <w:lang w:val="en-US"/>
              </w:rPr>
            </w:pPr>
            <w:r w:rsidRPr="00535324">
              <w:rPr>
                <w:color w:val="000000"/>
                <w:sz w:val="18"/>
                <w:szCs w:val="18"/>
              </w:rPr>
              <w:t>5.924</w:t>
            </w:r>
            <w:r>
              <w:rPr>
                <w:color w:val="000000"/>
                <w:sz w:val="18"/>
                <w:szCs w:val="18"/>
              </w:rPr>
              <w:t>6</w:t>
            </w:r>
          </w:p>
        </w:tc>
        <w:tc>
          <w:tcPr>
            <w:tcW w:w="887" w:type="pct"/>
            <w:tcBorders>
              <w:top w:val="single" w:sz="4" w:space="0" w:color="auto"/>
            </w:tcBorders>
            <w:vAlign w:val="center"/>
          </w:tcPr>
          <w:p w14:paraId="45CB26A5" w14:textId="41F45702" w:rsidR="00535324" w:rsidRPr="00535324" w:rsidRDefault="00535324" w:rsidP="00535324">
            <w:pPr>
              <w:pStyle w:val="Table"/>
              <w:rPr>
                <w:sz w:val="18"/>
                <w:szCs w:val="18"/>
                <w:lang w:val="en-US"/>
              </w:rPr>
            </w:pPr>
            <w:r w:rsidRPr="00535324">
              <w:rPr>
                <w:color w:val="000000"/>
                <w:sz w:val="18"/>
                <w:szCs w:val="18"/>
              </w:rPr>
              <w:t>0.694</w:t>
            </w:r>
          </w:p>
        </w:tc>
        <w:tc>
          <w:tcPr>
            <w:tcW w:w="887" w:type="pct"/>
            <w:tcBorders>
              <w:top w:val="single" w:sz="4" w:space="0" w:color="auto"/>
            </w:tcBorders>
            <w:noWrap/>
            <w:vAlign w:val="center"/>
            <w:hideMark/>
          </w:tcPr>
          <w:p w14:paraId="7CAFCDEF" w14:textId="1325943B" w:rsidR="00535324" w:rsidRPr="00535324" w:rsidRDefault="00535324" w:rsidP="00535324">
            <w:pPr>
              <w:pStyle w:val="Table"/>
              <w:rPr>
                <w:sz w:val="18"/>
                <w:szCs w:val="18"/>
                <w:lang w:val="en-US"/>
              </w:rPr>
            </w:pPr>
            <w:r w:rsidRPr="00535324">
              <w:rPr>
                <w:color w:val="000000"/>
                <w:sz w:val="18"/>
                <w:szCs w:val="18"/>
              </w:rPr>
              <w:t>4.22</w:t>
            </w:r>
            <w:r>
              <w:rPr>
                <w:color w:val="000000"/>
                <w:sz w:val="18"/>
                <w:szCs w:val="18"/>
              </w:rPr>
              <w:t>1</w:t>
            </w:r>
          </w:p>
        </w:tc>
        <w:tc>
          <w:tcPr>
            <w:tcW w:w="885" w:type="pct"/>
            <w:tcBorders>
              <w:top w:val="single" w:sz="4" w:space="0" w:color="auto"/>
            </w:tcBorders>
            <w:vAlign w:val="center"/>
          </w:tcPr>
          <w:p w14:paraId="571DF58C" w14:textId="77DFB12C" w:rsidR="00535324" w:rsidRPr="00535324" w:rsidRDefault="00535324" w:rsidP="00535324">
            <w:pPr>
              <w:pStyle w:val="Table"/>
              <w:rPr>
                <w:sz w:val="18"/>
                <w:szCs w:val="18"/>
                <w:lang w:val="en-US"/>
              </w:rPr>
            </w:pPr>
            <w:r w:rsidRPr="00535324">
              <w:rPr>
                <w:color w:val="000000"/>
                <w:sz w:val="18"/>
                <w:szCs w:val="18"/>
              </w:rPr>
              <w:t>7.94</w:t>
            </w:r>
            <w:r>
              <w:rPr>
                <w:color w:val="000000"/>
                <w:sz w:val="18"/>
                <w:szCs w:val="18"/>
              </w:rPr>
              <w:t>8</w:t>
            </w:r>
          </w:p>
        </w:tc>
      </w:tr>
      <w:tr w:rsidR="00E55711" w:rsidRPr="00101A2A" w14:paraId="37DA5B45" w14:textId="3361CFEE" w:rsidTr="00B61D56">
        <w:trPr>
          <w:trHeight w:val="260"/>
        </w:trPr>
        <w:tc>
          <w:tcPr>
            <w:tcW w:w="1642" w:type="pct"/>
            <w:vAlign w:val="center"/>
          </w:tcPr>
          <w:p w14:paraId="3C7E2AE9" w14:textId="5971BC21" w:rsidR="00535324" w:rsidRPr="00101A2A" w:rsidRDefault="00535324" w:rsidP="00535324">
            <w:pPr>
              <w:pStyle w:val="Table"/>
              <w:jc w:val="left"/>
              <w:rPr>
                <w:b/>
                <w:bCs/>
                <w:sz w:val="18"/>
                <w:szCs w:val="18"/>
                <w:lang w:val="en-US"/>
              </w:rPr>
            </w:pPr>
            <w:r w:rsidRPr="00101A2A">
              <w:rPr>
                <w:b/>
                <w:bCs/>
                <w:sz w:val="18"/>
                <w:szCs w:val="18"/>
                <w:lang w:val="en-US"/>
              </w:rPr>
              <w:t>2. Spanner proportion</w:t>
            </w:r>
          </w:p>
        </w:tc>
        <w:tc>
          <w:tcPr>
            <w:tcW w:w="699" w:type="pct"/>
            <w:noWrap/>
            <w:vAlign w:val="center"/>
            <w:hideMark/>
          </w:tcPr>
          <w:p w14:paraId="4F40FBC5" w14:textId="7186B657" w:rsidR="00535324" w:rsidRPr="00535324" w:rsidRDefault="00535324" w:rsidP="00535324">
            <w:pPr>
              <w:pStyle w:val="Table"/>
              <w:rPr>
                <w:sz w:val="18"/>
                <w:szCs w:val="18"/>
                <w:lang w:val="en-US"/>
              </w:rPr>
            </w:pPr>
            <w:r w:rsidRPr="00535324">
              <w:rPr>
                <w:color w:val="000000"/>
                <w:sz w:val="18"/>
                <w:szCs w:val="18"/>
              </w:rPr>
              <w:t>0.175</w:t>
            </w:r>
          </w:p>
        </w:tc>
        <w:tc>
          <w:tcPr>
            <w:tcW w:w="887" w:type="pct"/>
            <w:vAlign w:val="center"/>
          </w:tcPr>
          <w:p w14:paraId="2F76AD35" w14:textId="55BAB055" w:rsidR="00535324" w:rsidRPr="00535324" w:rsidRDefault="00535324" w:rsidP="00535324">
            <w:pPr>
              <w:pStyle w:val="Table"/>
              <w:rPr>
                <w:sz w:val="18"/>
                <w:szCs w:val="18"/>
                <w:lang w:val="en-US"/>
              </w:rPr>
            </w:pPr>
            <w:r w:rsidRPr="00535324">
              <w:rPr>
                <w:color w:val="000000"/>
                <w:sz w:val="18"/>
                <w:szCs w:val="18"/>
              </w:rPr>
              <w:t>0.245</w:t>
            </w:r>
          </w:p>
        </w:tc>
        <w:tc>
          <w:tcPr>
            <w:tcW w:w="887" w:type="pct"/>
            <w:noWrap/>
            <w:vAlign w:val="center"/>
            <w:hideMark/>
          </w:tcPr>
          <w:p w14:paraId="0B078737" w14:textId="7443FD1D" w:rsidR="00535324" w:rsidRPr="00535324" w:rsidRDefault="00535324" w:rsidP="00535324">
            <w:pPr>
              <w:pStyle w:val="Table"/>
              <w:rPr>
                <w:sz w:val="18"/>
                <w:szCs w:val="18"/>
                <w:lang w:val="en-US"/>
              </w:rPr>
            </w:pPr>
            <w:r w:rsidRPr="00535324">
              <w:rPr>
                <w:color w:val="000000"/>
                <w:sz w:val="18"/>
                <w:szCs w:val="18"/>
              </w:rPr>
              <w:t>0</w:t>
            </w:r>
          </w:p>
        </w:tc>
        <w:tc>
          <w:tcPr>
            <w:tcW w:w="885" w:type="pct"/>
            <w:vAlign w:val="center"/>
          </w:tcPr>
          <w:p w14:paraId="4A72AFA8" w14:textId="6F522569" w:rsidR="00535324" w:rsidRPr="00535324" w:rsidRDefault="00535324" w:rsidP="00535324">
            <w:pPr>
              <w:pStyle w:val="Table"/>
              <w:rPr>
                <w:sz w:val="18"/>
                <w:szCs w:val="18"/>
                <w:lang w:val="en-US"/>
              </w:rPr>
            </w:pPr>
            <w:r w:rsidRPr="00535324">
              <w:rPr>
                <w:color w:val="000000"/>
                <w:sz w:val="18"/>
                <w:szCs w:val="18"/>
              </w:rPr>
              <w:t>1</w:t>
            </w:r>
          </w:p>
        </w:tc>
      </w:tr>
      <w:tr w:rsidR="00E55711" w:rsidRPr="00101A2A" w14:paraId="61E9E3AC" w14:textId="2CC9A3D6" w:rsidTr="00B61D56">
        <w:trPr>
          <w:trHeight w:val="260"/>
        </w:trPr>
        <w:tc>
          <w:tcPr>
            <w:tcW w:w="1642" w:type="pct"/>
            <w:vAlign w:val="center"/>
          </w:tcPr>
          <w:p w14:paraId="4EEC3F61" w14:textId="0A0EFB01" w:rsidR="00535324" w:rsidRPr="00101A2A" w:rsidRDefault="00535324" w:rsidP="00535324">
            <w:pPr>
              <w:pStyle w:val="Table"/>
              <w:jc w:val="left"/>
              <w:rPr>
                <w:b/>
                <w:bCs/>
                <w:sz w:val="18"/>
                <w:szCs w:val="18"/>
                <w:lang w:val="en-US"/>
              </w:rPr>
            </w:pPr>
            <w:r w:rsidRPr="00101A2A">
              <w:rPr>
                <w:b/>
                <w:bCs/>
                <w:sz w:val="18"/>
                <w:szCs w:val="18"/>
                <w:lang w:val="en-US"/>
              </w:rPr>
              <w:t>3. Regulated market</w:t>
            </w:r>
          </w:p>
        </w:tc>
        <w:tc>
          <w:tcPr>
            <w:tcW w:w="699" w:type="pct"/>
            <w:noWrap/>
            <w:vAlign w:val="center"/>
            <w:hideMark/>
          </w:tcPr>
          <w:p w14:paraId="584859DB" w14:textId="471D91AA" w:rsidR="00535324" w:rsidRPr="00535324" w:rsidRDefault="00535324" w:rsidP="00535324">
            <w:pPr>
              <w:pStyle w:val="Table"/>
              <w:rPr>
                <w:sz w:val="18"/>
                <w:szCs w:val="18"/>
                <w:lang w:val="en-US"/>
              </w:rPr>
            </w:pPr>
            <w:r w:rsidRPr="00535324">
              <w:rPr>
                <w:color w:val="000000"/>
                <w:sz w:val="18"/>
                <w:szCs w:val="18"/>
              </w:rPr>
              <w:t>0.0</w:t>
            </w:r>
            <w:r>
              <w:rPr>
                <w:color w:val="000000"/>
                <w:sz w:val="18"/>
                <w:szCs w:val="18"/>
              </w:rPr>
              <w:t>80</w:t>
            </w:r>
          </w:p>
        </w:tc>
        <w:tc>
          <w:tcPr>
            <w:tcW w:w="887" w:type="pct"/>
            <w:vAlign w:val="center"/>
          </w:tcPr>
          <w:p w14:paraId="7890AD76" w14:textId="760B8717" w:rsidR="00535324" w:rsidRPr="00535324" w:rsidRDefault="00535324" w:rsidP="00535324">
            <w:pPr>
              <w:pStyle w:val="Table"/>
              <w:rPr>
                <w:sz w:val="18"/>
                <w:szCs w:val="18"/>
                <w:lang w:val="en-US"/>
              </w:rPr>
            </w:pPr>
            <w:r w:rsidRPr="00535324">
              <w:rPr>
                <w:color w:val="000000"/>
                <w:sz w:val="18"/>
                <w:szCs w:val="18"/>
              </w:rPr>
              <w:t>0.271</w:t>
            </w:r>
          </w:p>
        </w:tc>
        <w:tc>
          <w:tcPr>
            <w:tcW w:w="887" w:type="pct"/>
            <w:noWrap/>
            <w:vAlign w:val="center"/>
            <w:hideMark/>
          </w:tcPr>
          <w:p w14:paraId="6AAC1CCB" w14:textId="6100388B" w:rsidR="00535324" w:rsidRPr="00535324" w:rsidRDefault="00535324" w:rsidP="00535324">
            <w:pPr>
              <w:pStyle w:val="Table"/>
              <w:rPr>
                <w:sz w:val="18"/>
                <w:szCs w:val="18"/>
                <w:lang w:val="en-US"/>
              </w:rPr>
            </w:pPr>
            <w:r w:rsidRPr="00535324">
              <w:rPr>
                <w:color w:val="000000"/>
                <w:sz w:val="18"/>
                <w:szCs w:val="18"/>
              </w:rPr>
              <w:t>0</w:t>
            </w:r>
          </w:p>
        </w:tc>
        <w:tc>
          <w:tcPr>
            <w:tcW w:w="885" w:type="pct"/>
            <w:vAlign w:val="center"/>
          </w:tcPr>
          <w:p w14:paraId="4E9F207C" w14:textId="60860968" w:rsidR="00535324" w:rsidRPr="00535324" w:rsidRDefault="00535324" w:rsidP="00535324">
            <w:pPr>
              <w:pStyle w:val="Table"/>
              <w:rPr>
                <w:sz w:val="18"/>
                <w:szCs w:val="18"/>
                <w:lang w:val="en-US"/>
              </w:rPr>
            </w:pPr>
            <w:r w:rsidRPr="00535324">
              <w:rPr>
                <w:color w:val="000000"/>
                <w:sz w:val="18"/>
                <w:szCs w:val="18"/>
              </w:rPr>
              <w:t>1</w:t>
            </w:r>
          </w:p>
        </w:tc>
      </w:tr>
      <w:tr w:rsidR="00E55711" w:rsidRPr="00101A2A" w14:paraId="5872A5C0" w14:textId="49AE036C" w:rsidTr="00B61D56">
        <w:trPr>
          <w:trHeight w:val="260"/>
        </w:trPr>
        <w:tc>
          <w:tcPr>
            <w:tcW w:w="1642" w:type="pct"/>
            <w:vAlign w:val="center"/>
          </w:tcPr>
          <w:p w14:paraId="64D0366B" w14:textId="0F87C425" w:rsidR="00535324" w:rsidRPr="00101A2A" w:rsidRDefault="00535324" w:rsidP="00535324">
            <w:pPr>
              <w:pStyle w:val="Table"/>
              <w:jc w:val="left"/>
              <w:rPr>
                <w:b/>
                <w:bCs/>
                <w:sz w:val="18"/>
                <w:szCs w:val="18"/>
                <w:lang w:val="en-US"/>
              </w:rPr>
            </w:pPr>
            <w:r w:rsidRPr="00101A2A">
              <w:rPr>
                <w:b/>
                <w:bCs/>
                <w:sz w:val="18"/>
                <w:szCs w:val="18"/>
                <w:lang w:val="en-US"/>
              </w:rPr>
              <w:t>4. Consumer attention</w:t>
            </w:r>
          </w:p>
        </w:tc>
        <w:tc>
          <w:tcPr>
            <w:tcW w:w="699" w:type="pct"/>
            <w:noWrap/>
            <w:vAlign w:val="center"/>
          </w:tcPr>
          <w:p w14:paraId="22C48728" w14:textId="5469F236" w:rsidR="00535324" w:rsidRPr="00535324" w:rsidRDefault="00535324" w:rsidP="00535324">
            <w:pPr>
              <w:pStyle w:val="Table"/>
              <w:rPr>
                <w:sz w:val="18"/>
                <w:szCs w:val="18"/>
                <w:lang w:val="en-US"/>
              </w:rPr>
            </w:pPr>
            <w:r w:rsidRPr="00535324">
              <w:rPr>
                <w:color w:val="000000"/>
                <w:sz w:val="18"/>
                <w:szCs w:val="18"/>
              </w:rPr>
              <w:t>0.147</w:t>
            </w:r>
          </w:p>
        </w:tc>
        <w:tc>
          <w:tcPr>
            <w:tcW w:w="887" w:type="pct"/>
            <w:vAlign w:val="center"/>
          </w:tcPr>
          <w:p w14:paraId="10042657" w14:textId="49FF3CDF" w:rsidR="00535324" w:rsidRPr="00535324" w:rsidRDefault="00535324" w:rsidP="00535324">
            <w:pPr>
              <w:pStyle w:val="Table"/>
              <w:rPr>
                <w:sz w:val="18"/>
                <w:szCs w:val="18"/>
                <w:lang w:val="en-US"/>
              </w:rPr>
            </w:pPr>
            <w:r w:rsidRPr="00535324">
              <w:rPr>
                <w:color w:val="000000"/>
                <w:sz w:val="18"/>
                <w:szCs w:val="18"/>
              </w:rPr>
              <w:t>0.27</w:t>
            </w:r>
            <w:r>
              <w:rPr>
                <w:color w:val="000000"/>
                <w:sz w:val="18"/>
                <w:szCs w:val="18"/>
              </w:rPr>
              <w:t>7</w:t>
            </w:r>
          </w:p>
        </w:tc>
        <w:tc>
          <w:tcPr>
            <w:tcW w:w="887" w:type="pct"/>
            <w:noWrap/>
            <w:vAlign w:val="center"/>
          </w:tcPr>
          <w:p w14:paraId="6881CCAA" w14:textId="232DF9EB" w:rsidR="00535324" w:rsidRPr="00535324" w:rsidRDefault="00535324" w:rsidP="00535324">
            <w:pPr>
              <w:pStyle w:val="Table"/>
              <w:rPr>
                <w:sz w:val="18"/>
                <w:szCs w:val="18"/>
                <w:lang w:val="en-US"/>
              </w:rPr>
            </w:pPr>
            <w:r w:rsidRPr="00535324">
              <w:rPr>
                <w:color w:val="000000"/>
                <w:sz w:val="18"/>
                <w:szCs w:val="18"/>
              </w:rPr>
              <w:t>0</w:t>
            </w:r>
          </w:p>
        </w:tc>
        <w:tc>
          <w:tcPr>
            <w:tcW w:w="885" w:type="pct"/>
            <w:vAlign w:val="center"/>
          </w:tcPr>
          <w:p w14:paraId="33C61FED" w14:textId="35D96398" w:rsidR="00535324" w:rsidRPr="00535324" w:rsidRDefault="00535324" w:rsidP="00535324">
            <w:pPr>
              <w:pStyle w:val="Table"/>
              <w:rPr>
                <w:sz w:val="18"/>
                <w:szCs w:val="18"/>
                <w:lang w:val="en-US"/>
              </w:rPr>
            </w:pPr>
            <w:r w:rsidRPr="00535324">
              <w:rPr>
                <w:color w:val="000000"/>
                <w:sz w:val="18"/>
                <w:szCs w:val="18"/>
              </w:rPr>
              <w:t>1</w:t>
            </w:r>
          </w:p>
        </w:tc>
      </w:tr>
      <w:tr w:rsidR="00E55711" w:rsidRPr="00101A2A" w14:paraId="5FDFDA75" w14:textId="52C38AD5" w:rsidTr="00B61D56">
        <w:trPr>
          <w:trHeight w:val="260"/>
        </w:trPr>
        <w:tc>
          <w:tcPr>
            <w:tcW w:w="1642" w:type="pct"/>
            <w:vAlign w:val="center"/>
          </w:tcPr>
          <w:p w14:paraId="414D9E87" w14:textId="48BC7178" w:rsidR="00535324" w:rsidRPr="00101A2A" w:rsidRDefault="00535324" w:rsidP="00535324">
            <w:pPr>
              <w:pStyle w:val="Table"/>
              <w:jc w:val="left"/>
              <w:rPr>
                <w:b/>
                <w:bCs/>
                <w:sz w:val="18"/>
                <w:szCs w:val="18"/>
                <w:lang w:val="en-US"/>
              </w:rPr>
            </w:pPr>
            <w:r w:rsidRPr="00101A2A">
              <w:rPr>
                <w:b/>
                <w:bCs/>
                <w:sz w:val="18"/>
                <w:szCs w:val="18"/>
                <w:lang w:val="en-US"/>
              </w:rPr>
              <w:t xml:space="preserve">5. </w:t>
            </w:r>
            <w:r w:rsidR="00CB1FA9">
              <w:rPr>
                <w:b/>
                <w:bCs/>
                <w:sz w:val="18"/>
                <w:szCs w:val="18"/>
                <w:lang w:val="en-US"/>
              </w:rPr>
              <w:t>Real estate prices at t</w:t>
            </w:r>
            <w:r w:rsidR="00CB1FA9" w:rsidRPr="00CB1FA9">
              <w:rPr>
                <w:b/>
                <w:bCs/>
                <w:sz w:val="18"/>
                <w:szCs w:val="18"/>
                <w:vertAlign w:val="subscript"/>
                <w:lang w:val="en-US"/>
              </w:rPr>
              <w:t>0</w:t>
            </w:r>
            <w:r w:rsidR="00CB1FA9" w:rsidRPr="00101A2A">
              <w:rPr>
                <w:b/>
                <w:bCs/>
                <w:sz w:val="18"/>
                <w:szCs w:val="18"/>
                <w:lang w:val="en-US"/>
              </w:rPr>
              <w:t xml:space="preserve"> (</w:t>
            </w:r>
            <w:r w:rsidR="000E06DA">
              <w:rPr>
                <w:b/>
                <w:bCs/>
                <w:sz w:val="18"/>
                <w:szCs w:val="18"/>
                <w:lang w:val="en-US"/>
              </w:rPr>
              <w:t>log</w:t>
            </w:r>
            <w:r w:rsidR="00CB1FA9" w:rsidRPr="00101A2A">
              <w:rPr>
                <w:b/>
                <w:bCs/>
                <w:sz w:val="18"/>
                <w:szCs w:val="18"/>
                <w:lang w:val="en-US"/>
              </w:rPr>
              <w:t>)</w:t>
            </w:r>
          </w:p>
        </w:tc>
        <w:tc>
          <w:tcPr>
            <w:tcW w:w="699" w:type="pct"/>
            <w:noWrap/>
            <w:vAlign w:val="center"/>
            <w:hideMark/>
          </w:tcPr>
          <w:p w14:paraId="59C76A79" w14:textId="115C6480" w:rsidR="00535324" w:rsidRPr="00535324" w:rsidRDefault="000E06DA" w:rsidP="00535324">
            <w:pPr>
              <w:pStyle w:val="Table"/>
              <w:rPr>
                <w:sz w:val="18"/>
                <w:szCs w:val="18"/>
                <w:lang w:val="en-US"/>
              </w:rPr>
            </w:pPr>
            <w:r>
              <w:rPr>
                <w:color w:val="000000"/>
                <w:sz w:val="18"/>
                <w:szCs w:val="18"/>
              </w:rPr>
              <w:t>5.9196</w:t>
            </w:r>
          </w:p>
        </w:tc>
        <w:tc>
          <w:tcPr>
            <w:tcW w:w="887" w:type="pct"/>
            <w:vAlign w:val="center"/>
          </w:tcPr>
          <w:p w14:paraId="4417C72B" w14:textId="2873EADB" w:rsidR="00535324" w:rsidRPr="00535324" w:rsidRDefault="000E06DA" w:rsidP="00535324">
            <w:pPr>
              <w:pStyle w:val="Table"/>
              <w:rPr>
                <w:sz w:val="18"/>
                <w:szCs w:val="18"/>
                <w:lang w:val="en-US"/>
              </w:rPr>
            </w:pPr>
            <w:r>
              <w:rPr>
                <w:color w:val="000000"/>
                <w:sz w:val="18"/>
                <w:szCs w:val="18"/>
              </w:rPr>
              <w:t>0.693</w:t>
            </w:r>
          </w:p>
        </w:tc>
        <w:tc>
          <w:tcPr>
            <w:tcW w:w="887" w:type="pct"/>
            <w:noWrap/>
            <w:vAlign w:val="center"/>
            <w:hideMark/>
          </w:tcPr>
          <w:p w14:paraId="524C7E18" w14:textId="0205A157" w:rsidR="00535324" w:rsidRPr="00535324" w:rsidRDefault="000E06DA" w:rsidP="00535324">
            <w:pPr>
              <w:pStyle w:val="Table"/>
              <w:rPr>
                <w:sz w:val="18"/>
                <w:szCs w:val="18"/>
                <w:lang w:val="en-US"/>
              </w:rPr>
            </w:pPr>
            <w:r>
              <w:rPr>
                <w:color w:val="000000"/>
                <w:sz w:val="18"/>
                <w:szCs w:val="18"/>
              </w:rPr>
              <w:t>4.234</w:t>
            </w:r>
          </w:p>
        </w:tc>
        <w:tc>
          <w:tcPr>
            <w:tcW w:w="885" w:type="pct"/>
            <w:vAlign w:val="center"/>
          </w:tcPr>
          <w:p w14:paraId="32B1EF03" w14:textId="2D0B288D" w:rsidR="00535324" w:rsidRPr="00535324" w:rsidRDefault="000E06DA" w:rsidP="00535324">
            <w:pPr>
              <w:pStyle w:val="Table"/>
              <w:rPr>
                <w:sz w:val="18"/>
                <w:szCs w:val="18"/>
                <w:lang w:val="en-US"/>
              </w:rPr>
            </w:pPr>
            <w:r>
              <w:rPr>
                <w:color w:val="000000"/>
                <w:sz w:val="18"/>
                <w:szCs w:val="18"/>
              </w:rPr>
              <w:t>7.941</w:t>
            </w:r>
          </w:p>
        </w:tc>
      </w:tr>
      <w:tr w:rsidR="00E55711" w:rsidRPr="00101A2A" w14:paraId="530CA106" w14:textId="6F2B1390" w:rsidTr="00B61D56">
        <w:trPr>
          <w:trHeight w:val="260"/>
        </w:trPr>
        <w:tc>
          <w:tcPr>
            <w:tcW w:w="1642" w:type="pct"/>
            <w:vAlign w:val="center"/>
          </w:tcPr>
          <w:p w14:paraId="29CCAB46" w14:textId="650AEB55" w:rsidR="00535324" w:rsidRPr="00101A2A" w:rsidRDefault="00535324" w:rsidP="00535324">
            <w:pPr>
              <w:pStyle w:val="Table"/>
              <w:jc w:val="left"/>
              <w:rPr>
                <w:b/>
                <w:bCs/>
                <w:sz w:val="18"/>
                <w:szCs w:val="18"/>
                <w:lang w:val="en-US"/>
              </w:rPr>
            </w:pPr>
            <w:r w:rsidRPr="00101A2A">
              <w:rPr>
                <w:b/>
                <w:bCs/>
                <w:sz w:val="18"/>
                <w:szCs w:val="18"/>
                <w:lang w:val="en-US"/>
              </w:rPr>
              <w:t>6. No. of spanners</w:t>
            </w:r>
          </w:p>
        </w:tc>
        <w:tc>
          <w:tcPr>
            <w:tcW w:w="699" w:type="pct"/>
            <w:noWrap/>
            <w:vAlign w:val="center"/>
            <w:hideMark/>
          </w:tcPr>
          <w:p w14:paraId="2BD35E12" w14:textId="3E811A81" w:rsidR="00535324" w:rsidRPr="00535324" w:rsidRDefault="00535324" w:rsidP="00535324">
            <w:pPr>
              <w:pStyle w:val="Table"/>
              <w:rPr>
                <w:sz w:val="18"/>
                <w:szCs w:val="18"/>
                <w:lang w:val="en-US"/>
              </w:rPr>
            </w:pPr>
            <w:r w:rsidRPr="00535324">
              <w:rPr>
                <w:color w:val="000000"/>
                <w:sz w:val="18"/>
                <w:szCs w:val="18"/>
              </w:rPr>
              <w:t>8.233</w:t>
            </w:r>
          </w:p>
        </w:tc>
        <w:tc>
          <w:tcPr>
            <w:tcW w:w="887" w:type="pct"/>
            <w:vAlign w:val="center"/>
          </w:tcPr>
          <w:p w14:paraId="4E4302BC" w14:textId="77D2FB49" w:rsidR="00535324" w:rsidRPr="00535324" w:rsidRDefault="00535324" w:rsidP="00535324">
            <w:pPr>
              <w:pStyle w:val="Table"/>
              <w:rPr>
                <w:sz w:val="18"/>
                <w:szCs w:val="18"/>
                <w:lang w:val="en-US"/>
              </w:rPr>
            </w:pPr>
            <w:r w:rsidRPr="00535324">
              <w:rPr>
                <w:color w:val="000000"/>
                <w:sz w:val="18"/>
                <w:szCs w:val="18"/>
              </w:rPr>
              <w:t>18.5</w:t>
            </w:r>
            <w:r>
              <w:rPr>
                <w:color w:val="000000"/>
                <w:sz w:val="18"/>
                <w:szCs w:val="18"/>
              </w:rPr>
              <w:t>90</w:t>
            </w:r>
          </w:p>
        </w:tc>
        <w:tc>
          <w:tcPr>
            <w:tcW w:w="887" w:type="pct"/>
            <w:noWrap/>
            <w:vAlign w:val="center"/>
            <w:hideMark/>
          </w:tcPr>
          <w:p w14:paraId="66CC9082" w14:textId="2ABA881D" w:rsidR="00535324" w:rsidRPr="00535324" w:rsidRDefault="00535324" w:rsidP="00535324">
            <w:pPr>
              <w:pStyle w:val="Table"/>
              <w:rPr>
                <w:sz w:val="18"/>
                <w:szCs w:val="18"/>
                <w:lang w:val="en-US"/>
              </w:rPr>
            </w:pPr>
            <w:r w:rsidRPr="00535324">
              <w:rPr>
                <w:color w:val="000000"/>
                <w:sz w:val="18"/>
                <w:szCs w:val="18"/>
              </w:rPr>
              <w:t>0</w:t>
            </w:r>
          </w:p>
        </w:tc>
        <w:tc>
          <w:tcPr>
            <w:tcW w:w="885" w:type="pct"/>
            <w:vAlign w:val="center"/>
          </w:tcPr>
          <w:p w14:paraId="629A7478" w14:textId="51048C5D" w:rsidR="00535324" w:rsidRPr="00535324" w:rsidRDefault="00535324" w:rsidP="00535324">
            <w:pPr>
              <w:pStyle w:val="Table"/>
              <w:rPr>
                <w:sz w:val="18"/>
                <w:szCs w:val="18"/>
                <w:lang w:val="en-US"/>
              </w:rPr>
            </w:pPr>
            <w:r w:rsidRPr="00535324">
              <w:rPr>
                <w:color w:val="000000"/>
                <w:sz w:val="18"/>
                <w:szCs w:val="18"/>
              </w:rPr>
              <w:t>220</w:t>
            </w:r>
          </w:p>
        </w:tc>
      </w:tr>
      <w:tr w:rsidR="00E55711" w:rsidRPr="00101A2A" w14:paraId="3FC501F9" w14:textId="5A7314DB" w:rsidTr="00B61D56">
        <w:trPr>
          <w:trHeight w:val="260"/>
        </w:trPr>
        <w:tc>
          <w:tcPr>
            <w:tcW w:w="1642" w:type="pct"/>
            <w:vAlign w:val="center"/>
          </w:tcPr>
          <w:p w14:paraId="268A4ABC" w14:textId="7B3954F5" w:rsidR="00535324" w:rsidRPr="00101A2A" w:rsidRDefault="00535324" w:rsidP="00535324">
            <w:pPr>
              <w:pStyle w:val="Table"/>
              <w:jc w:val="left"/>
              <w:rPr>
                <w:b/>
                <w:bCs/>
                <w:sz w:val="18"/>
                <w:szCs w:val="18"/>
                <w:lang w:val="en-US"/>
              </w:rPr>
            </w:pPr>
            <w:r w:rsidRPr="00101A2A">
              <w:rPr>
                <w:b/>
                <w:bCs/>
                <w:sz w:val="18"/>
                <w:szCs w:val="18"/>
                <w:lang w:val="en-US"/>
              </w:rPr>
              <w:t>7. No. of single-listing actors</w:t>
            </w:r>
          </w:p>
        </w:tc>
        <w:tc>
          <w:tcPr>
            <w:tcW w:w="699" w:type="pct"/>
            <w:noWrap/>
            <w:vAlign w:val="center"/>
            <w:hideMark/>
          </w:tcPr>
          <w:p w14:paraId="2261C2D3" w14:textId="79E299CE" w:rsidR="00535324" w:rsidRPr="00535324" w:rsidRDefault="00535324" w:rsidP="00535324">
            <w:pPr>
              <w:pStyle w:val="Table"/>
              <w:rPr>
                <w:sz w:val="18"/>
                <w:szCs w:val="18"/>
                <w:lang w:val="en-US"/>
              </w:rPr>
            </w:pPr>
            <w:r w:rsidRPr="00535324">
              <w:rPr>
                <w:color w:val="000000"/>
                <w:sz w:val="18"/>
                <w:szCs w:val="18"/>
              </w:rPr>
              <w:t>37.137</w:t>
            </w:r>
          </w:p>
        </w:tc>
        <w:tc>
          <w:tcPr>
            <w:tcW w:w="887" w:type="pct"/>
            <w:vAlign w:val="center"/>
          </w:tcPr>
          <w:p w14:paraId="7855B77F" w14:textId="19DBD723" w:rsidR="00535324" w:rsidRPr="00535324" w:rsidRDefault="00535324" w:rsidP="00535324">
            <w:pPr>
              <w:pStyle w:val="Table"/>
              <w:rPr>
                <w:sz w:val="18"/>
                <w:szCs w:val="18"/>
                <w:lang w:val="en-US"/>
              </w:rPr>
            </w:pPr>
            <w:r w:rsidRPr="00535324">
              <w:rPr>
                <w:color w:val="000000"/>
                <w:sz w:val="18"/>
                <w:szCs w:val="18"/>
              </w:rPr>
              <w:t>78.31</w:t>
            </w:r>
            <w:r>
              <w:rPr>
                <w:color w:val="000000"/>
                <w:sz w:val="18"/>
                <w:szCs w:val="18"/>
              </w:rPr>
              <w:t>9</w:t>
            </w:r>
          </w:p>
        </w:tc>
        <w:tc>
          <w:tcPr>
            <w:tcW w:w="887" w:type="pct"/>
            <w:noWrap/>
            <w:vAlign w:val="center"/>
            <w:hideMark/>
          </w:tcPr>
          <w:p w14:paraId="1B7BD8CB" w14:textId="589B48B2" w:rsidR="00535324" w:rsidRPr="00535324" w:rsidRDefault="00535324" w:rsidP="00535324">
            <w:pPr>
              <w:pStyle w:val="Table"/>
              <w:rPr>
                <w:sz w:val="18"/>
                <w:szCs w:val="18"/>
                <w:lang w:val="en-US"/>
              </w:rPr>
            </w:pPr>
            <w:r w:rsidRPr="00535324">
              <w:rPr>
                <w:color w:val="000000"/>
                <w:sz w:val="18"/>
                <w:szCs w:val="18"/>
              </w:rPr>
              <w:t>0</w:t>
            </w:r>
          </w:p>
        </w:tc>
        <w:tc>
          <w:tcPr>
            <w:tcW w:w="885" w:type="pct"/>
            <w:vAlign w:val="center"/>
          </w:tcPr>
          <w:p w14:paraId="0BF3F9AB" w14:textId="5840A98F" w:rsidR="00535324" w:rsidRPr="00535324" w:rsidRDefault="00535324" w:rsidP="00535324">
            <w:pPr>
              <w:pStyle w:val="Table"/>
              <w:rPr>
                <w:sz w:val="18"/>
                <w:szCs w:val="18"/>
                <w:lang w:val="en-US"/>
              </w:rPr>
            </w:pPr>
            <w:r w:rsidRPr="00535324">
              <w:rPr>
                <w:color w:val="000000"/>
                <w:sz w:val="18"/>
                <w:szCs w:val="18"/>
              </w:rPr>
              <w:t>952</w:t>
            </w:r>
          </w:p>
        </w:tc>
      </w:tr>
      <w:tr w:rsidR="00E55711" w:rsidRPr="00101A2A" w14:paraId="14FDC02C" w14:textId="29BDBC03" w:rsidTr="00B61D56">
        <w:trPr>
          <w:trHeight w:val="260"/>
        </w:trPr>
        <w:tc>
          <w:tcPr>
            <w:tcW w:w="1642" w:type="pct"/>
            <w:vAlign w:val="center"/>
          </w:tcPr>
          <w:p w14:paraId="03E97F35" w14:textId="1DB3E23A" w:rsidR="00535324" w:rsidRPr="00101A2A" w:rsidRDefault="00535324" w:rsidP="00535324">
            <w:pPr>
              <w:pStyle w:val="Table"/>
              <w:jc w:val="left"/>
              <w:rPr>
                <w:b/>
                <w:bCs/>
                <w:sz w:val="18"/>
                <w:szCs w:val="18"/>
                <w:lang w:val="en-US"/>
              </w:rPr>
            </w:pPr>
            <w:r w:rsidRPr="00101A2A">
              <w:rPr>
                <w:b/>
                <w:bCs/>
                <w:sz w:val="18"/>
                <w:szCs w:val="18"/>
                <w:lang w:val="en-US"/>
              </w:rPr>
              <w:t>8. No. of not spanning actors</w:t>
            </w:r>
          </w:p>
        </w:tc>
        <w:tc>
          <w:tcPr>
            <w:tcW w:w="699" w:type="pct"/>
            <w:noWrap/>
            <w:vAlign w:val="center"/>
            <w:hideMark/>
          </w:tcPr>
          <w:p w14:paraId="2FC1CE40" w14:textId="053376F7" w:rsidR="00535324" w:rsidRPr="00535324" w:rsidRDefault="00535324" w:rsidP="00535324">
            <w:pPr>
              <w:pStyle w:val="Table"/>
              <w:rPr>
                <w:sz w:val="18"/>
                <w:szCs w:val="18"/>
                <w:lang w:val="en-US"/>
              </w:rPr>
            </w:pPr>
            <w:r w:rsidRPr="00535324">
              <w:rPr>
                <w:color w:val="000000"/>
                <w:sz w:val="18"/>
                <w:szCs w:val="18"/>
              </w:rPr>
              <w:t>54.515</w:t>
            </w:r>
          </w:p>
        </w:tc>
        <w:tc>
          <w:tcPr>
            <w:tcW w:w="887" w:type="pct"/>
            <w:vAlign w:val="center"/>
          </w:tcPr>
          <w:p w14:paraId="02BEF915" w14:textId="20575167" w:rsidR="00535324" w:rsidRPr="00535324" w:rsidRDefault="00535324" w:rsidP="00535324">
            <w:pPr>
              <w:pStyle w:val="Table"/>
              <w:rPr>
                <w:sz w:val="18"/>
                <w:szCs w:val="18"/>
                <w:lang w:val="en-US"/>
              </w:rPr>
            </w:pPr>
            <w:r w:rsidRPr="00535324">
              <w:rPr>
                <w:color w:val="000000"/>
                <w:sz w:val="18"/>
                <w:szCs w:val="18"/>
              </w:rPr>
              <w:t>118.61</w:t>
            </w:r>
            <w:r>
              <w:rPr>
                <w:color w:val="000000"/>
                <w:sz w:val="18"/>
                <w:szCs w:val="18"/>
              </w:rPr>
              <w:t>3</w:t>
            </w:r>
          </w:p>
        </w:tc>
        <w:tc>
          <w:tcPr>
            <w:tcW w:w="887" w:type="pct"/>
            <w:noWrap/>
            <w:vAlign w:val="center"/>
            <w:hideMark/>
          </w:tcPr>
          <w:p w14:paraId="3912375B" w14:textId="2A8A8060" w:rsidR="00535324" w:rsidRPr="00535324" w:rsidRDefault="00535324" w:rsidP="00535324">
            <w:pPr>
              <w:pStyle w:val="Table"/>
              <w:rPr>
                <w:sz w:val="18"/>
                <w:szCs w:val="18"/>
                <w:lang w:val="en-US"/>
              </w:rPr>
            </w:pPr>
            <w:r w:rsidRPr="00535324">
              <w:rPr>
                <w:color w:val="000000"/>
                <w:sz w:val="18"/>
                <w:szCs w:val="18"/>
              </w:rPr>
              <w:t>0</w:t>
            </w:r>
          </w:p>
        </w:tc>
        <w:tc>
          <w:tcPr>
            <w:tcW w:w="885" w:type="pct"/>
            <w:vAlign w:val="center"/>
          </w:tcPr>
          <w:p w14:paraId="6EE27CFA" w14:textId="1E6BBEBD" w:rsidR="00535324" w:rsidRPr="00535324" w:rsidRDefault="00535324" w:rsidP="00535324">
            <w:pPr>
              <w:pStyle w:val="Table"/>
              <w:rPr>
                <w:sz w:val="18"/>
                <w:szCs w:val="18"/>
                <w:lang w:val="en-US"/>
              </w:rPr>
            </w:pPr>
            <w:r w:rsidRPr="00535324">
              <w:rPr>
                <w:color w:val="000000"/>
                <w:sz w:val="18"/>
                <w:szCs w:val="18"/>
              </w:rPr>
              <w:t>1264</w:t>
            </w:r>
          </w:p>
        </w:tc>
      </w:tr>
      <w:tr w:rsidR="00E55711" w:rsidRPr="00101A2A" w14:paraId="7E209E03" w14:textId="01E18460" w:rsidTr="00B61D56">
        <w:trPr>
          <w:trHeight w:val="260"/>
        </w:trPr>
        <w:tc>
          <w:tcPr>
            <w:tcW w:w="1642" w:type="pct"/>
            <w:vAlign w:val="center"/>
          </w:tcPr>
          <w:p w14:paraId="65C20EAE" w14:textId="5D346E43" w:rsidR="00535324" w:rsidRPr="00101A2A" w:rsidRDefault="00535324" w:rsidP="00535324">
            <w:pPr>
              <w:pStyle w:val="Table"/>
              <w:jc w:val="left"/>
              <w:rPr>
                <w:b/>
                <w:bCs/>
                <w:sz w:val="18"/>
                <w:szCs w:val="18"/>
                <w:lang w:val="en-US"/>
              </w:rPr>
            </w:pPr>
            <w:r w:rsidRPr="00101A2A">
              <w:rPr>
                <w:b/>
                <w:bCs/>
                <w:sz w:val="18"/>
                <w:szCs w:val="18"/>
                <w:lang w:val="en-US"/>
              </w:rPr>
              <w:t>9. Change in no. new building permits</w:t>
            </w:r>
          </w:p>
        </w:tc>
        <w:tc>
          <w:tcPr>
            <w:tcW w:w="699" w:type="pct"/>
            <w:noWrap/>
            <w:vAlign w:val="center"/>
            <w:hideMark/>
          </w:tcPr>
          <w:p w14:paraId="60BA19FA" w14:textId="22679043" w:rsidR="00535324" w:rsidRPr="00535324" w:rsidRDefault="00535324" w:rsidP="00535324">
            <w:pPr>
              <w:pStyle w:val="Table"/>
              <w:rPr>
                <w:sz w:val="18"/>
                <w:szCs w:val="18"/>
                <w:lang w:val="en-US"/>
              </w:rPr>
            </w:pPr>
            <w:r w:rsidRPr="00535324">
              <w:rPr>
                <w:color w:val="000000"/>
                <w:sz w:val="18"/>
                <w:szCs w:val="18"/>
              </w:rPr>
              <w:t>18.516</w:t>
            </w:r>
          </w:p>
        </w:tc>
        <w:tc>
          <w:tcPr>
            <w:tcW w:w="887" w:type="pct"/>
            <w:vAlign w:val="center"/>
          </w:tcPr>
          <w:p w14:paraId="3567E3A6" w14:textId="361AFD61" w:rsidR="00535324" w:rsidRPr="00535324" w:rsidRDefault="00535324" w:rsidP="00535324">
            <w:pPr>
              <w:pStyle w:val="Table"/>
              <w:rPr>
                <w:sz w:val="18"/>
                <w:szCs w:val="18"/>
                <w:lang w:val="en-US"/>
              </w:rPr>
            </w:pPr>
            <w:r w:rsidRPr="00535324">
              <w:rPr>
                <w:color w:val="000000"/>
                <w:sz w:val="18"/>
                <w:szCs w:val="18"/>
              </w:rPr>
              <w:t>1437.082</w:t>
            </w:r>
          </w:p>
        </w:tc>
        <w:tc>
          <w:tcPr>
            <w:tcW w:w="887" w:type="pct"/>
            <w:noWrap/>
            <w:vAlign w:val="center"/>
            <w:hideMark/>
          </w:tcPr>
          <w:p w14:paraId="5E8373D2" w14:textId="43B4FE9B" w:rsidR="00535324" w:rsidRPr="00535324" w:rsidRDefault="00535324" w:rsidP="00535324">
            <w:pPr>
              <w:pStyle w:val="Table"/>
              <w:rPr>
                <w:sz w:val="18"/>
                <w:szCs w:val="18"/>
                <w:lang w:val="en-US"/>
              </w:rPr>
            </w:pPr>
            <w:r w:rsidRPr="00535324">
              <w:rPr>
                <w:color w:val="000000"/>
                <w:sz w:val="18"/>
                <w:szCs w:val="18"/>
              </w:rPr>
              <w:t>-18640</w:t>
            </w:r>
          </w:p>
        </w:tc>
        <w:tc>
          <w:tcPr>
            <w:tcW w:w="885" w:type="pct"/>
            <w:vAlign w:val="center"/>
          </w:tcPr>
          <w:p w14:paraId="43A00C99" w14:textId="119858A7" w:rsidR="00535324" w:rsidRPr="00535324" w:rsidRDefault="00535324" w:rsidP="00535324">
            <w:pPr>
              <w:pStyle w:val="Table"/>
              <w:rPr>
                <w:sz w:val="18"/>
                <w:szCs w:val="18"/>
                <w:lang w:val="en-US"/>
              </w:rPr>
            </w:pPr>
            <w:r w:rsidRPr="00535324">
              <w:rPr>
                <w:color w:val="000000"/>
                <w:sz w:val="18"/>
                <w:szCs w:val="18"/>
              </w:rPr>
              <w:t>6993</w:t>
            </w:r>
          </w:p>
        </w:tc>
      </w:tr>
      <w:tr w:rsidR="00E55711" w:rsidRPr="00101A2A" w14:paraId="64DE0294" w14:textId="6E102C7D" w:rsidTr="00B61D56">
        <w:trPr>
          <w:trHeight w:val="260"/>
        </w:trPr>
        <w:tc>
          <w:tcPr>
            <w:tcW w:w="1642" w:type="pct"/>
            <w:vAlign w:val="center"/>
          </w:tcPr>
          <w:p w14:paraId="445ADC70" w14:textId="50296B06" w:rsidR="00535324" w:rsidRPr="00101A2A" w:rsidRDefault="00535324" w:rsidP="00535324">
            <w:pPr>
              <w:pStyle w:val="Table"/>
              <w:jc w:val="left"/>
              <w:rPr>
                <w:b/>
                <w:bCs/>
                <w:sz w:val="18"/>
                <w:szCs w:val="18"/>
                <w:lang w:val="en-US"/>
              </w:rPr>
            </w:pPr>
            <w:r w:rsidRPr="00101A2A">
              <w:rPr>
                <w:b/>
                <w:bCs/>
                <w:sz w:val="18"/>
                <w:szCs w:val="18"/>
                <w:lang w:val="en-US"/>
              </w:rPr>
              <w:t>10. Change in no. houses sold</w:t>
            </w:r>
          </w:p>
        </w:tc>
        <w:tc>
          <w:tcPr>
            <w:tcW w:w="699" w:type="pct"/>
            <w:noWrap/>
            <w:vAlign w:val="center"/>
            <w:hideMark/>
          </w:tcPr>
          <w:p w14:paraId="6CC79E8F" w14:textId="3FB487B4" w:rsidR="00535324" w:rsidRPr="00535324" w:rsidRDefault="00535324" w:rsidP="00535324">
            <w:pPr>
              <w:pStyle w:val="Table"/>
              <w:rPr>
                <w:sz w:val="18"/>
                <w:szCs w:val="18"/>
                <w:lang w:val="en-US"/>
              </w:rPr>
            </w:pPr>
            <w:r w:rsidRPr="00535324">
              <w:rPr>
                <w:color w:val="000000"/>
                <w:sz w:val="18"/>
                <w:szCs w:val="18"/>
              </w:rPr>
              <w:t>0.20</w:t>
            </w:r>
            <w:r>
              <w:rPr>
                <w:color w:val="000000"/>
                <w:sz w:val="18"/>
                <w:szCs w:val="18"/>
              </w:rPr>
              <w:t>2</w:t>
            </w:r>
          </w:p>
        </w:tc>
        <w:tc>
          <w:tcPr>
            <w:tcW w:w="887" w:type="pct"/>
            <w:vAlign w:val="center"/>
          </w:tcPr>
          <w:p w14:paraId="0FA22915" w14:textId="5605A718" w:rsidR="00535324" w:rsidRPr="00535324" w:rsidRDefault="00535324" w:rsidP="00535324">
            <w:pPr>
              <w:pStyle w:val="Table"/>
              <w:rPr>
                <w:sz w:val="18"/>
                <w:szCs w:val="18"/>
                <w:lang w:val="en-US"/>
              </w:rPr>
            </w:pPr>
            <w:r w:rsidRPr="00535324">
              <w:rPr>
                <w:color w:val="000000"/>
                <w:sz w:val="18"/>
                <w:szCs w:val="18"/>
              </w:rPr>
              <w:t>10.61</w:t>
            </w:r>
            <w:r>
              <w:rPr>
                <w:color w:val="000000"/>
                <w:sz w:val="18"/>
                <w:szCs w:val="18"/>
              </w:rPr>
              <w:t>3</w:t>
            </w:r>
          </w:p>
        </w:tc>
        <w:tc>
          <w:tcPr>
            <w:tcW w:w="887" w:type="pct"/>
            <w:noWrap/>
            <w:vAlign w:val="center"/>
            <w:hideMark/>
          </w:tcPr>
          <w:p w14:paraId="411AC70A" w14:textId="03DB1CE7" w:rsidR="00535324" w:rsidRPr="00535324" w:rsidRDefault="00535324" w:rsidP="00535324">
            <w:pPr>
              <w:pStyle w:val="Table"/>
              <w:rPr>
                <w:sz w:val="18"/>
                <w:szCs w:val="18"/>
                <w:lang w:val="en-US"/>
              </w:rPr>
            </w:pPr>
            <w:r w:rsidRPr="00535324">
              <w:rPr>
                <w:color w:val="000000"/>
                <w:sz w:val="18"/>
                <w:szCs w:val="18"/>
              </w:rPr>
              <w:t>-114</w:t>
            </w:r>
          </w:p>
        </w:tc>
        <w:tc>
          <w:tcPr>
            <w:tcW w:w="885" w:type="pct"/>
            <w:vAlign w:val="center"/>
          </w:tcPr>
          <w:p w14:paraId="7D879F42" w14:textId="07F06A4A" w:rsidR="00535324" w:rsidRPr="00535324" w:rsidRDefault="00535324" w:rsidP="00535324">
            <w:pPr>
              <w:pStyle w:val="Table"/>
              <w:rPr>
                <w:sz w:val="18"/>
                <w:szCs w:val="18"/>
                <w:lang w:val="en-US"/>
              </w:rPr>
            </w:pPr>
            <w:r w:rsidRPr="00535324">
              <w:rPr>
                <w:color w:val="000000"/>
                <w:sz w:val="18"/>
                <w:szCs w:val="18"/>
              </w:rPr>
              <w:t>91</w:t>
            </w:r>
          </w:p>
        </w:tc>
      </w:tr>
      <w:tr w:rsidR="00E55711" w:rsidRPr="00101A2A" w14:paraId="798C1FE7" w14:textId="56F59DBD" w:rsidTr="00B61D56">
        <w:trPr>
          <w:trHeight w:val="260"/>
        </w:trPr>
        <w:tc>
          <w:tcPr>
            <w:tcW w:w="1642" w:type="pct"/>
            <w:vAlign w:val="center"/>
          </w:tcPr>
          <w:p w14:paraId="3415CF18" w14:textId="5FFBB62C" w:rsidR="00535324" w:rsidRPr="00101A2A" w:rsidRDefault="00535324" w:rsidP="00535324">
            <w:pPr>
              <w:pStyle w:val="Table"/>
              <w:jc w:val="left"/>
              <w:rPr>
                <w:b/>
                <w:bCs/>
                <w:sz w:val="18"/>
                <w:szCs w:val="18"/>
                <w:lang w:val="en-US"/>
              </w:rPr>
            </w:pPr>
            <w:r w:rsidRPr="00101A2A">
              <w:rPr>
                <w:b/>
                <w:bCs/>
                <w:sz w:val="18"/>
                <w:szCs w:val="18"/>
                <w:lang w:val="en-US"/>
              </w:rPr>
              <w:t>11. No. of reviews</w:t>
            </w:r>
          </w:p>
        </w:tc>
        <w:tc>
          <w:tcPr>
            <w:tcW w:w="699" w:type="pct"/>
            <w:noWrap/>
            <w:vAlign w:val="center"/>
          </w:tcPr>
          <w:p w14:paraId="43B691B4" w14:textId="6798CB7B" w:rsidR="00535324" w:rsidRPr="00535324" w:rsidRDefault="00535324" w:rsidP="00535324">
            <w:pPr>
              <w:pStyle w:val="Table"/>
              <w:rPr>
                <w:sz w:val="18"/>
                <w:szCs w:val="18"/>
                <w:lang w:val="en-US"/>
              </w:rPr>
            </w:pPr>
            <w:r w:rsidRPr="00535324">
              <w:rPr>
                <w:color w:val="000000"/>
                <w:sz w:val="18"/>
                <w:szCs w:val="18"/>
              </w:rPr>
              <w:t>1.87</w:t>
            </w:r>
            <w:r>
              <w:rPr>
                <w:color w:val="000000"/>
                <w:sz w:val="18"/>
                <w:szCs w:val="18"/>
              </w:rPr>
              <w:t>7</w:t>
            </w:r>
          </w:p>
        </w:tc>
        <w:tc>
          <w:tcPr>
            <w:tcW w:w="887" w:type="pct"/>
            <w:vAlign w:val="center"/>
          </w:tcPr>
          <w:p w14:paraId="605D9AF1" w14:textId="2FABF52B" w:rsidR="00535324" w:rsidRPr="00535324" w:rsidRDefault="00535324" w:rsidP="00535324">
            <w:pPr>
              <w:pStyle w:val="Table"/>
              <w:rPr>
                <w:sz w:val="18"/>
                <w:szCs w:val="18"/>
                <w:lang w:val="en-US"/>
              </w:rPr>
            </w:pPr>
            <w:r w:rsidRPr="00535324">
              <w:rPr>
                <w:color w:val="000000"/>
                <w:sz w:val="18"/>
                <w:szCs w:val="18"/>
              </w:rPr>
              <w:t>1.77</w:t>
            </w:r>
            <w:r>
              <w:rPr>
                <w:color w:val="000000"/>
                <w:sz w:val="18"/>
                <w:szCs w:val="18"/>
              </w:rPr>
              <w:t>9</w:t>
            </w:r>
          </w:p>
        </w:tc>
        <w:tc>
          <w:tcPr>
            <w:tcW w:w="887" w:type="pct"/>
            <w:noWrap/>
            <w:vAlign w:val="center"/>
          </w:tcPr>
          <w:p w14:paraId="4E0072E4" w14:textId="4D72180E" w:rsidR="00535324" w:rsidRPr="00535324" w:rsidRDefault="00535324" w:rsidP="00535324">
            <w:pPr>
              <w:pStyle w:val="Table"/>
              <w:rPr>
                <w:sz w:val="18"/>
                <w:szCs w:val="18"/>
                <w:lang w:val="en-US"/>
              </w:rPr>
            </w:pPr>
            <w:r w:rsidRPr="00535324">
              <w:rPr>
                <w:color w:val="000000"/>
                <w:sz w:val="18"/>
                <w:szCs w:val="18"/>
              </w:rPr>
              <w:t>0</w:t>
            </w:r>
          </w:p>
        </w:tc>
        <w:tc>
          <w:tcPr>
            <w:tcW w:w="885" w:type="pct"/>
            <w:vAlign w:val="center"/>
          </w:tcPr>
          <w:p w14:paraId="27B131C1" w14:textId="2D11B2DE" w:rsidR="00535324" w:rsidRPr="00535324" w:rsidRDefault="00535324" w:rsidP="00535324">
            <w:pPr>
              <w:pStyle w:val="Table"/>
              <w:rPr>
                <w:sz w:val="18"/>
                <w:szCs w:val="18"/>
                <w:lang w:val="en-US"/>
              </w:rPr>
            </w:pPr>
            <w:r w:rsidRPr="00535324">
              <w:rPr>
                <w:color w:val="000000"/>
                <w:sz w:val="18"/>
                <w:szCs w:val="18"/>
              </w:rPr>
              <w:t>18</w:t>
            </w:r>
          </w:p>
        </w:tc>
      </w:tr>
      <w:tr w:rsidR="00E55711" w:rsidRPr="00101A2A" w14:paraId="5D144E7D" w14:textId="53CE87A3" w:rsidTr="00B61D56">
        <w:trPr>
          <w:trHeight w:val="260"/>
        </w:trPr>
        <w:tc>
          <w:tcPr>
            <w:tcW w:w="1642" w:type="pct"/>
            <w:vAlign w:val="center"/>
          </w:tcPr>
          <w:p w14:paraId="0FB0D7AF" w14:textId="4F83E904" w:rsidR="00535324" w:rsidRPr="00101A2A" w:rsidRDefault="00535324" w:rsidP="00535324">
            <w:pPr>
              <w:pStyle w:val="Table"/>
              <w:jc w:val="left"/>
              <w:rPr>
                <w:b/>
                <w:bCs/>
                <w:sz w:val="18"/>
                <w:szCs w:val="18"/>
                <w:lang w:val="en-US"/>
              </w:rPr>
            </w:pPr>
            <w:r w:rsidRPr="00101A2A">
              <w:rPr>
                <w:b/>
                <w:bCs/>
                <w:sz w:val="18"/>
                <w:szCs w:val="18"/>
                <w:lang w:val="en-US"/>
              </w:rPr>
              <w:t>12. Population (log)</w:t>
            </w:r>
          </w:p>
        </w:tc>
        <w:tc>
          <w:tcPr>
            <w:tcW w:w="699" w:type="pct"/>
            <w:noWrap/>
            <w:vAlign w:val="center"/>
            <w:hideMark/>
          </w:tcPr>
          <w:p w14:paraId="0E4F044F" w14:textId="6BC32D22" w:rsidR="00535324" w:rsidRPr="00535324" w:rsidRDefault="00535324" w:rsidP="00535324">
            <w:pPr>
              <w:pStyle w:val="Table"/>
              <w:rPr>
                <w:sz w:val="18"/>
                <w:szCs w:val="18"/>
                <w:lang w:val="en-US"/>
              </w:rPr>
            </w:pPr>
            <w:r w:rsidRPr="00535324">
              <w:rPr>
                <w:color w:val="000000"/>
                <w:sz w:val="18"/>
                <w:szCs w:val="18"/>
              </w:rPr>
              <w:t>14.560</w:t>
            </w:r>
          </w:p>
        </w:tc>
        <w:tc>
          <w:tcPr>
            <w:tcW w:w="887" w:type="pct"/>
            <w:vAlign w:val="center"/>
          </w:tcPr>
          <w:p w14:paraId="6FE9B782" w14:textId="72E935C1" w:rsidR="00535324" w:rsidRPr="00535324" w:rsidRDefault="00535324" w:rsidP="00535324">
            <w:pPr>
              <w:pStyle w:val="Table"/>
              <w:rPr>
                <w:sz w:val="18"/>
                <w:szCs w:val="18"/>
                <w:lang w:val="en-US"/>
              </w:rPr>
            </w:pPr>
            <w:r w:rsidRPr="00535324">
              <w:rPr>
                <w:color w:val="000000"/>
                <w:sz w:val="18"/>
                <w:szCs w:val="18"/>
              </w:rPr>
              <w:t>0.923</w:t>
            </w:r>
          </w:p>
        </w:tc>
        <w:tc>
          <w:tcPr>
            <w:tcW w:w="887" w:type="pct"/>
            <w:noWrap/>
            <w:vAlign w:val="center"/>
            <w:hideMark/>
          </w:tcPr>
          <w:p w14:paraId="0864F2DD" w14:textId="23B44C24" w:rsidR="00535324" w:rsidRPr="00535324" w:rsidRDefault="00535324" w:rsidP="00535324">
            <w:pPr>
              <w:pStyle w:val="Table"/>
              <w:rPr>
                <w:sz w:val="18"/>
                <w:szCs w:val="18"/>
                <w:lang w:val="en-US"/>
              </w:rPr>
            </w:pPr>
            <w:r w:rsidRPr="00535324">
              <w:rPr>
                <w:color w:val="000000"/>
                <w:sz w:val="18"/>
                <w:szCs w:val="18"/>
              </w:rPr>
              <w:t>13.260</w:t>
            </w:r>
          </w:p>
        </w:tc>
        <w:tc>
          <w:tcPr>
            <w:tcW w:w="885" w:type="pct"/>
            <w:vAlign w:val="center"/>
          </w:tcPr>
          <w:p w14:paraId="35365FD7" w14:textId="5B9CDF91" w:rsidR="00535324" w:rsidRPr="00535324" w:rsidRDefault="00535324" w:rsidP="00535324">
            <w:pPr>
              <w:pStyle w:val="Table"/>
              <w:rPr>
                <w:sz w:val="18"/>
                <w:szCs w:val="18"/>
                <w:lang w:val="en-US"/>
              </w:rPr>
            </w:pPr>
            <w:r w:rsidRPr="00535324">
              <w:rPr>
                <w:color w:val="000000"/>
                <w:sz w:val="18"/>
                <w:szCs w:val="18"/>
              </w:rPr>
              <w:t>15.952</w:t>
            </w:r>
          </w:p>
        </w:tc>
      </w:tr>
      <w:tr w:rsidR="00E55711" w:rsidRPr="00101A2A" w14:paraId="311F8D72" w14:textId="02079CF7" w:rsidTr="00B61D56">
        <w:trPr>
          <w:trHeight w:val="260"/>
        </w:trPr>
        <w:tc>
          <w:tcPr>
            <w:tcW w:w="1642" w:type="pct"/>
            <w:tcBorders>
              <w:bottom w:val="single" w:sz="4" w:space="0" w:color="auto"/>
            </w:tcBorders>
            <w:vAlign w:val="center"/>
          </w:tcPr>
          <w:p w14:paraId="6F13F690" w14:textId="150019CD" w:rsidR="00535324" w:rsidRPr="00101A2A" w:rsidRDefault="00535324" w:rsidP="00535324">
            <w:pPr>
              <w:pStyle w:val="Table"/>
              <w:jc w:val="left"/>
              <w:rPr>
                <w:b/>
                <w:bCs/>
                <w:sz w:val="18"/>
                <w:szCs w:val="18"/>
                <w:lang w:val="en-US"/>
              </w:rPr>
            </w:pPr>
            <w:r w:rsidRPr="00101A2A">
              <w:rPr>
                <w:b/>
                <w:bCs/>
                <w:sz w:val="18"/>
                <w:szCs w:val="18"/>
                <w:lang w:val="en-US"/>
              </w:rPr>
              <w:t>13. Income (log)</w:t>
            </w:r>
          </w:p>
        </w:tc>
        <w:tc>
          <w:tcPr>
            <w:tcW w:w="699" w:type="pct"/>
            <w:tcBorders>
              <w:bottom w:val="single" w:sz="4" w:space="0" w:color="auto"/>
            </w:tcBorders>
            <w:noWrap/>
            <w:vAlign w:val="center"/>
            <w:hideMark/>
          </w:tcPr>
          <w:p w14:paraId="6BE6D464" w14:textId="67910832" w:rsidR="00535324" w:rsidRPr="00535324" w:rsidRDefault="00535324" w:rsidP="00535324">
            <w:pPr>
              <w:pStyle w:val="Table"/>
              <w:rPr>
                <w:sz w:val="18"/>
                <w:szCs w:val="18"/>
                <w:lang w:val="en-US"/>
              </w:rPr>
            </w:pPr>
            <w:r w:rsidRPr="00535324">
              <w:rPr>
                <w:color w:val="000000"/>
                <w:sz w:val="18"/>
                <w:szCs w:val="18"/>
              </w:rPr>
              <w:t>11.02</w:t>
            </w:r>
            <w:r>
              <w:rPr>
                <w:color w:val="000000"/>
                <w:sz w:val="18"/>
                <w:szCs w:val="18"/>
              </w:rPr>
              <w:t>4</w:t>
            </w:r>
          </w:p>
        </w:tc>
        <w:tc>
          <w:tcPr>
            <w:tcW w:w="887" w:type="pct"/>
            <w:tcBorders>
              <w:bottom w:val="single" w:sz="4" w:space="0" w:color="auto"/>
            </w:tcBorders>
            <w:vAlign w:val="center"/>
          </w:tcPr>
          <w:p w14:paraId="39551ED4" w14:textId="21275EBA" w:rsidR="00535324" w:rsidRPr="00535324" w:rsidRDefault="00535324" w:rsidP="00535324">
            <w:pPr>
              <w:pStyle w:val="Table"/>
              <w:rPr>
                <w:sz w:val="18"/>
                <w:szCs w:val="18"/>
                <w:lang w:val="en-US"/>
              </w:rPr>
            </w:pPr>
            <w:r w:rsidRPr="00535324">
              <w:rPr>
                <w:color w:val="000000"/>
                <w:sz w:val="18"/>
                <w:szCs w:val="18"/>
              </w:rPr>
              <w:t>0.40</w:t>
            </w:r>
            <w:r>
              <w:rPr>
                <w:color w:val="000000"/>
                <w:sz w:val="18"/>
                <w:szCs w:val="18"/>
              </w:rPr>
              <w:t>8</w:t>
            </w:r>
          </w:p>
        </w:tc>
        <w:tc>
          <w:tcPr>
            <w:tcW w:w="887" w:type="pct"/>
            <w:tcBorders>
              <w:bottom w:val="single" w:sz="4" w:space="0" w:color="auto"/>
            </w:tcBorders>
            <w:noWrap/>
            <w:vAlign w:val="center"/>
            <w:hideMark/>
          </w:tcPr>
          <w:p w14:paraId="116EF7B1" w14:textId="06A95959" w:rsidR="00535324" w:rsidRPr="00535324" w:rsidRDefault="00535324" w:rsidP="00535324">
            <w:pPr>
              <w:pStyle w:val="Table"/>
              <w:rPr>
                <w:sz w:val="18"/>
                <w:szCs w:val="18"/>
                <w:lang w:val="en-US"/>
              </w:rPr>
            </w:pPr>
            <w:r w:rsidRPr="00535324">
              <w:rPr>
                <w:color w:val="000000"/>
                <w:sz w:val="18"/>
                <w:szCs w:val="18"/>
              </w:rPr>
              <w:t>10.</w:t>
            </w:r>
            <w:r>
              <w:rPr>
                <w:color w:val="000000"/>
                <w:sz w:val="18"/>
                <w:szCs w:val="18"/>
              </w:rPr>
              <w:t>600</w:t>
            </w:r>
          </w:p>
        </w:tc>
        <w:tc>
          <w:tcPr>
            <w:tcW w:w="885" w:type="pct"/>
            <w:tcBorders>
              <w:bottom w:val="single" w:sz="4" w:space="0" w:color="auto"/>
            </w:tcBorders>
            <w:vAlign w:val="center"/>
          </w:tcPr>
          <w:p w14:paraId="791D6BBF" w14:textId="3967E9C3" w:rsidR="00535324" w:rsidRPr="00535324" w:rsidRDefault="00535324" w:rsidP="00535324">
            <w:pPr>
              <w:pStyle w:val="Table"/>
              <w:rPr>
                <w:sz w:val="18"/>
                <w:szCs w:val="18"/>
                <w:lang w:val="en-US"/>
              </w:rPr>
            </w:pPr>
            <w:r w:rsidRPr="00535324">
              <w:rPr>
                <w:color w:val="000000"/>
                <w:sz w:val="18"/>
                <w:szCs w:val="18"/>
              </w:rPr>
              <w:t>11.98</w:t>
            </w:r>
            <w:r>
              <w:rPr>
                <w:color w:val="000000"/>
                <w:sz w:val="18"/>
                <w:szCs w:val="18"/>
              </w:rPr>
              <w:t>7</w:t>
            </w:r>
          </w:p>
        </w:tc>
      </w:tr>
    </w:tbl>
    <w:p w14:paraId="1844D4D3" w14:textId="77777777" w:rsidR="00E42864" w:rsidRPr="00101A2A" w:rsidRDefault="00E42864" w:rsidP="009B154F">
      <w:pPr>
        <w:spacing w:line="240" w:lineRule="auto"/>
        <w:ind w:firstLine="0"/>
        <w:rPr>
          <w:b/>
          <w:bCs/>
        </w:rPr>
      </w:pPr>
    </w:p>
    <w:p w14:paraId="217C7476" w14:textId="77777777" w:rsidR="00E42864" w:rsidRPr="00101A2A" w:rsidRDefault="00E42864" w:rsidP="009B154F">
      <w:pPr>
        <w:spacing w:line="240" w:lineRule="auto"/>
        <w:ind w:firstLine="0"/>
        <w:rPr>
          <w:b/>
          <w:bCs/>
        </w:rPr>
      </w:pPr>
    </w:p>
    <w:p w14:paraId="73326EC3" w14:textId="77777777" w:rsidR="00E42864" w:rsidRPr="00101A2A" w:rsidRDefault="00E42864">
      <w:pPr>
        <w:spacing w:after="160" w:line="259" w:lineRule="auto"/>
        <w:ind w:firstLine="0"/>
        <w:rPr>
          <w:b/>
          <w:bCs/>
        </w:rPr>
      </w:pPr>
      <w:r w:rsidRPr="00101A2A">
        <w:rPr>
          <w:b/>
          <w:bCs/>
        </w:rPr>
        <w:br w:type="page"/>
      </w:r>
    </w:p>
    <w:p w14:paraId="4116EF71" w14:textId="28FBB81C" w:rsidR="00DC25B9" w:rsidRPr="00101A2A" w:rsidRDefault="00F74DE0" w:rsidP="009B154F">
      <w:pPr>
        <w:spacing w:line="240" w:lineRule="auto"/>
        <w:ind w:firstLine="0"/>
      </w:pPr>
      <w:r w:rsidRPr="00101A2A">
        <w:rPr>
          <w:b/>
          <w:bCs/>
        </w:rPr>
        <w:lastRenderedPageBreak/>
        <w:t xml:space="preserve">Table </w:t>
      </w:r>
      <w:r w:rsidR="00E34F52">
        <w:rPr>
          <w:b/>
          <w:bCs/>
        </w:rPr>
        <w:t>4</w:t>
      </w:r>
      <w:r w:rsidRPr="00101A2A">
        <w:rPr>
          <w:b/>
          <w:bCs/>
        </w:rPr>
        <w:t>: Main models</w:t>
      </w:r>
      <w:r w:rsidR="00841C36" w:rsidRPr="00101A2A">
        <w:rPr>
          <w:b/>
          <w:bCs/>
        </w:rPr>
        <w:t xml:space="preserve"> </w:t>
      </w:r>
      <w:r w:rsidR="00C2059B" w:rsidRPr="00101A2A">
        <w:rPr>
          <w:b/>
          <w:bCs/>
        </w:rPr>
        <w:t>(</w:t>
      </w:r>
      <w:r w:rsidR="007C58E4" w:rsidRPr="00101A2A">
        <w:rPr>
          <w:b/>
          <w:bCs/>
        </w:rPr>
        <w:t xml:space="preserve">a </w:t>
      </w:r>
      <w:r w:rsidR="009B7E62" w:rsidRPr="00101A2A">
        <w:rPr>
          <w:b/>
          <w:bCs/>
        </w:rPr>
        <w:t>spanner manages 6 or more listings</w:t>
      </w:r>
      <w:r w:rsidR="00C2059B" w:rsidRPr="00101A2A">
        <w:rPr>
          <w:b/>
          <w:bCs/>
        </w:rPr>
        <w:t>)</w:t>
      </w:r>
      <w:r w:rsidR="00133460" w:rsidRPr="00101A2A">
        <w:rPr>
          <w:b/>
          <w:bCs/>
        </w:rPr>
        <w:t>.</w:t>
      </w:r>
      <w:r w:rsidR="00133460" w:rsidRPr="00101A2A">
        <w:t xml:space="preserve"> </w:t>
      </w:r>
    </w:p>
    <w:p w14:paraId="240149A4" w14:textId="020489C6" w:rsidR="00845DF5" w:rsidRPr="00101A2A" w:rsidRDefault="00A52F78" w:rsidP="009B154F">
      <w:pPr>
        <w:spacing w:line="240" w:lineRule="auto"/>
        <w:ind w:firstLine="0"/>
      </w:pPr>
      <w:r w:rsidRPr="00101A2A">
        <w:t xml:space="preserve">All models use the </w:t>
      </w:r>
      <w:r w:rsidR="00CE1688">
        <w:t>Arellano-Bond estimator (1991)</w:t>
      </w:r>
      <w:r w:rsidRPr="00101A2A">
        <w:t xml:space="preserve">. </w:t>
      </w:r>
      <w:r w:rsidR="00845DF5" w:rsidRPr="00101A2A">
        <w:t>Models 1 to 3 and model 7 use the 10-city sample, models 4 to 6 use the three-city sample.</w:t>
      </w:r>
    </w:p>
    <w:p w14:paraId="091E82A6" w14:textId="77777777" w:rsidR="007C58E4" w:rsidRPr="00101A2A" w:rsidRDefault="007C58E4" w:rsidP="009B154F">
      <w:pPr>
        <w:spacing w:line="240" w:lineRule="auto"/>
        <w:ind w:firstLine="0"/>
      </w:pPr>
    </w:p>
    <w:tbl>
      <w:tblPr>
        <w:tblStyle w:val="TableGrid"/>
        <w:tblW w:w="1006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2"/>
        <w:gridCol w:w="1070"/>
        <w:gridCol w:w="1070"/>
        <w:gridCol w:w="1070"/>
        <w:gridCol w:w="1070"/>
        <w:gridCol w:w="1070"/>
        <w:gridCol w:w="1070"/>
        <w:gridCol w:w="1097"/>
      </w:tblGrid>
      <w:tr w:rsidR="007C58E4" w:rsidRPr="00101A2A" w14:paraId="00F20CE1" w14:textId="77777777" w:rsidTr="00B61D56">
        <w:trPr>
          <w:trHeight w:val="280"/>
        </w:trPr>
        <w:tc>
          <w:tcPr>
            <w:tcW w:w="2552" w:type="dxa"/>
            <w:tcBorders>
              <w:top w:val="single" w:sz="4" w:space="0" w:color="auto"/>
            </w:tcBorders>
            <w:noWrap/>
            <w:vAlign w:val="center"/>
          </w:tcPr>
          <w:p w14:paraId="26AD1C66" w14:textId="77777777" w:rsidR="007C58E4" w:rsidRPr="00101A2A" w:rsidRDefault="007C58E4" w:rsidP="00A52F78">
            <w:pPr>
              <w:spacing w:line="240" w:lineRule="auto"/>
              <w:ind w:firstLine="0"/>
              <w:jc w:val="center"/>
              <w:rPr>
                <w:sz w:val="18"/>
                <w:szCs w:val="18"/>
              </w:rPr>
            </w:pPr>
          </w:p>
        </w:tc>
        <w:tc>
          <w:tcPr>
            <w:tcW w:w="3210" w:type="dxa"/>
            <w:gridSpan w:val="3"/>
            <w:tcBorders>
              <w:top w:val="single" w:sz="4" w:space="0" w:color="auto"/>
              <w:bottom w:val="single" w:sz="4" w:space="0" w:color="auto"/>
            </w:tcBorders>
            <w:noWrap/>
            <w:vAlign w:val="center"/>
          </w:tcPr>
          <w:p w14:paraId="66A789ED" w14:textId="38108FB9" w:rsidR="007C58E4" w:rsidRPr="00101A2A" w:rsidRDefault="007C58E4" w:rsidP="00A52F78">
            <w:pPr>
              <w:spacing w:line="240" w:lineRule="auto"/>
              <w:ind w:firstLine="0"/>
              <w:jc w:val="center"/>
              <w:rPr>
                <w:b/>
                <w:bCs/>
                <w:sz w:val="18"/>
                <w:szCs w:val="18"/>
              </w:rPr>
            </w:pPr>
            <w:r w:rsidRPr="00101A2A">
              <w:rPr>
                <w:b/>
                <w:bCs/>
                <w:sz w:val="18"/>
                <w:szCs w:val="18"/>
              </w:rPr>
              <w:t>10-city</w:t>
            </w:r>
          </w:p>
        </w:tc>
        <w:tc>
          <w:tcPr>
            <w:tcW w:w="3210" w:type="dxa"/>
            <w:gridSpan w:val="3"/>
            <w:tcBorders>
              <w:top w:val="single" w:sz="4" w:space="0" w:color="auto"/>
              <w:bottom w:val="single" w:sz="4" w:space="0" w:color="auto"/>
            </w:tcBorders>
            <w:noWrap/>
            <w:vAlign w:val="center"/>
          </w:tcPr>
          <w:p w14:paraId="087F119D" w14:textId="07C842F3" w:rsidR="007C58E4" w:rsidRPr="00101A2A" w:rsidRDefault="007C58E4" w:rsidP="00A52F78">
            <w:pPr>
              <w:spacing w:line="240" w:lineRule="auto"/>
              <w:ind w:firstLine="0"/>
              <w:jc w:val="center"/>
              <w:rPr>
                <w:b/>
                <w:bCs/>
                <w:sz w:val="18"/>
                <w:szCs w:val="18"/>
              </w:rPr>
            </w:pPr>
            <w:r w:rsidRPr="00101A2A">
              <w:rPr>
                <w:b/>
                <w:bCs/>
                <w:sz w:val="18"/>
                <w:szCs w:val="18"/>
              </w:rPr>
              <w:t>3-city</w:t>
            </w:r>
          </w:p>
        </w:tc>
        <w:tc>
          <w:tcPr>
            <w:tcW w:w="1070" w:type="dxa"/>
            <w:tcBorders>
              <w:top w:val="single" w:sz="4" w:space="0" w:color="auto"/>
              <w:bottom w:val="single" w:sz="4" w:space="0" w:color="auto"/>
            </w:tcBorders>
            <w:noWrap/>
            <w:vAlign w:val="center"/>
          </w:tcPr>
          <w:p w14:paraId="0DD35F0C" w14:textId="60DBA740" w:rsidR="007C58E4" w:rsidRPr="00101A2A" w:rsidRDefault="007C58E4" w:rsidP="00A52F78">
            <w:pPr>
              <w:spacing w:line="240" w:lineRule="auto"/>
              <w:ind w:firstLine="0"/>
              <w:jc w:val="center"/>
              <w:rPr>
                <w:b/>
                <w:bCs/>
                <w:sz w:val="18"/>
                <w:szCs w:val="18"/>
              </w:rPr>
            </w:pPr>
            <w:r w:rsidRPr="00101A2A">
              <w:rPr>
                <w:b/>
                <w:bCs/>
                <w:sz w:val="18"/>
                <w:szCs w:val="18"/>
              </w:rPr>
              <w:t>10-city</w:t>
            </w:r>
          </w:p>
        </w:tc>
      </w:tr>
      <w:tr w:rsidR="00DC25B9" w:rsidRPr="00101A2A" w14:paraId="3B056AE3" w14:textId="77777777" w:rsidTr="00B61D56">
        <w:trPr>
          <w:trHeight w:val="280"/>
        </w:trPr>
        <w:tc>
          <w:tcPr>
            <w:tcW w:w="2552" w:type="dxa"/>
            <w:tcBorders>
              <w:bottom w:val="single" w:sz="4" w:space="0" w:color="auto"/>
            </w:tcBorders>
            <w:noWrap/>
            <w:vAlign w:val="center"/>
            <w:hideMark/>
          </w:tcPr>
          <w:p w14:paraId="52BE996F" w14:textId="77777777" w:rsidR="00DC25B9" w:rsidRPr="00101A2A" w:rsidRDefault="00DC25B9" w:rsidP="00A52F78">
            <w:pPr>
              <w:spacing w:line="240" w:lineRule="auto"/>
              <w:ind w:firstLine="0"/>
              <w:jc w:val="center"/>
              <w:rPr>
                <w:sz w:val="18"/>
                <w:szCs w:val="18"/>
              </w:rPr>
            </w:pPr>
          </w:p>
        </w:tc>
        <w:tc>
          <w:tcPr>
            <w:tcW w:w="1070" w:type="dxa"/>
            <w:tcBorders>
              <w:bottom w:val="single" w:sz="4" w:space="0" w:color="auto"/>
            </w:tcBorders>
            <w:noWrap/>
            <w:vAlign w:val="center"/>
            <w:hideMark/>
          </w:tcPr>
          <w:p w14:paraId="751121F2" w14:textId="77777777" w:rsidR="00DC25B9" w:rsidRPr="00101A2A" w:rsidRDefault="00DC25B9" w:rsidP="00A52F78">
            <w:pPr>
              <w:spacing w:line="240" w:lineRule="auto"/>
              <w:ind w:firstLine="0"/>
              <w:jc w:val="center"/>
              <w:rPr>
                <w:b/>
                <w:bCs/>
                <w:sz w:val="18"/>
                <w:szCs w:val="18"/>
              </w:rPr>
            </w:pPr>
            <w:r w:rsidRPr="00101A2A">
              <w:rPr>
                <w:b/>
                <w:bCs/>
                <w:sz w:val="18"/>
                <w:szCs w:val="18"/>
              </w:rPr>
              <w:t>Model 1</w:t>
            </w:r>
          </w:p>
        </w:tc>
        <w:tc>
          <w:tcPr>
            <w:tcW w:w="1070" w:type="dxa"/>
            <w:tcBorders>
              <w:bottom w:val="single" w:sz="4" w:space="0" w:color="auto"/>
            </w:tcBorders>
            <w:noWrap/>
            <w:vAlign w:val="center"/>
            <w:hideMark/>
          </w:tcPr>
          <w:p w14:paraId="2D502CF6" w14:textId="77777777" w:rsidR="00DC25B9" w:rsidRPr="00101A2A" w:rsidRDefault="00DC25B9" w:rsidP="00A52F78">
            <w:pPr>
              <w:spacing w:line="240" w:lineRule="auto"/>
              <w:ind w:firstLine="0"/>
              <w:jc w:val="center"/>
              <w:rPr>
                <w:b/>
                <w:bCs/>
                <w:sz w:val="18"/>
                <w:szCs w:val="18"/>
              </w:rPr>
            </w:pPr>
            <w:r w:rsidRPr="00101A2A">
              <w:rPr>
                <w:b/>
                <w:bCs/>
                <w:sz w:val="18"/>
                <w:szCs w:val="18"/>
              </w:rPr>
              <w:t>Model 2</w:t>
            </w:r>
          </w:p>
        </w:tc>
        <w:tc>
          <w:tcPr>
            <w:tcW w:w="1070" w:type="dxa"/>
            <w:tcBorders>
              <w:bottom w:val="single" w:sz="4" w:space="0" w:color="auto"/>
            </w:tcBorders>
            <w:vAlign w:val="center"/>
          </w:tcPr>
          <w:p w14:paraId="77D9B081" w14:textId="77777777" w:rsidR="00DC25B9" w:rsidRPr="00101A2A" w:rsidRDefault="00DC25B9" w:rsidP="00A52F78">
            <w:pPr>
              <w:spacing w:line="240" w:lineRule="auto"/>
              <w:ind w:firstLine="0"/>
              <w:jc w:val="center"/>
              <w:rPr>
                <w:b/>
                <w:bCs/>
                <w:sz w:val="18"/>
                <w:szCs w:val="18"/>
              </w:rPr>
            </w:pPr>
            <w:r w:rsidRPr="00101A2A">
              <w:rPr>
                <w:b/>
                <w:bCs/>
                <w:sz w:val="18"/>
                <w:szCs w:val="18"/>
              </w:rPr>
              <w:t>Model 3</w:t>
            </w:r>
          </w:p>
        </w:tc>
        <w:tc>
          <w:tcPr>
            <w:tcW w:w="1070" w:type="dxa"/>
            <w:tcBorders>
              <w:bottom w:val="single" w:sz="4" w:space="0" w:color="auto"/>
            </w:tcBorders>
            <w:noWrap/>
            <w:vAlign w:val="center"/>
            <w:hideMark/>
          </w:tcPr>
          <w:p w14:paraId="75554E94" w14:textId="77777777" w:rsidR="00DC25B9" w:rsidRPr="00101A2A" w:rsidRDefault="00DC25B9" w:rsidP="00A52F78">
            <w:pPr>
              <w:spacing w:line="240" w:lineRule="auto"/>
              <w:ind w:firstLine="0"/>
              <w:jc w:val="center"/>
              <w:rPr>
                <w:b/>
                <w:bCs/>
                <w:sz w:val="18"/>
                <w:szCs w:val="18"/>
              </w:rPr>
            </w:pPr>
            <w:r w:rsidRPr="00101A2A">
              <w:rPr>
                <w:b/>
                <w:bCs/>
                <w:sz w:val="18"/>
                <w:szCs w:val="18"/>
              </w:rPr>
              <w:t>Model 4</w:t>
            </w:r>
          </w:p>
        </w:tc>
        <w:tc>
          <w:tcPr>
            <w:tcW w:w="1070" w:type="dxa"/>
            <w:tcBorders>
              <w:bottom w:val="single" w:sz="4" w:space="0" w:color="auto"/>
            </w:tcBorders>
            <w:noWrap/>
            <w:vAlign w:val="center"/>
            <w:hideMark/>
          </w:tcPr>
          <w:p w14:paraId="64B47E92" w14:textId="77777777" w:rsidR="00DC25B9" w:rsidRPr="00101A2A" w:rsidRDefault="00DC25B9" w:rsidP="00A52F78">
            <w:pPr>
              <w:spacing w:line="240" w:lineRule="auto"/>
              <w:ind w:firstLine="0"/>
              <w:jc w:val="center"/>
              <w:rPr>
                <w:b/>
                <w:bCs/>
                <w:sz w:val="18"/>
                <w:szCs w:val="18"/>
              </w:rPr>
            </w:pPr>
            <w:r w:rsidRPr="00101A2A">
              <w:rPr>
                <w:b/>
                <w:bCs/>
                <w:sz w:val="18"/>
                <w:szCs w:val="18"/>
              </w:rPr>
              <w:t>Model 5</w:t>
            </w:r>
          </w:p>
        </w:tc>
        <w:tc>
          <w:tcPr>
            <w:tcW w:w="1070" w:type="dxa"/>
            <w:tcBorders>
              <w:bottom w:val="single" w:sz="4" w:space="0" w:color="auto"/>
            </w:tcBorders>
            <w:noWrap/>
            <w:vAlign w:val="center"/>
            <w:hideMark/>
          </w:tcPr>
          <w:p w14:paraId="7B689C26" w14:textId="77777777" w:rsidR="00DC25B9" w:rsidRPr="00101A2A" w:rsidRDefault="00DC25B9" w:rsidP="00A52F78">
            <w:pPr>
              <w:spacing w:line="240" w:lineRule="auto"/>
              <w:ind w:firstLine="0"/>
              <w:jc w:val="center"/>
              <w:rPr>
                <w:b/>
                <w:bCs/>
                <w:sz w:val="18"/>
                <w:szCs w:val="18"/>
              </w:rPr>
            </w:pPr>
            <w:r w:rsidRPr="00101A2A">
              <w:rPr>
                <w:b/>
                <w:bCs/>
                <w:sz w:val="18"/>
                <w:szCs w:val="18"/>
              </w:rPr>
              <w:t>Model 6</w:t>
            </w:r>
          </w:p>
        </w:tc>
        <w:tc>
          <w:tcPr>
            <w:tcW w:w="1070" w:type="dxa"/>
            <w:tcBorders>
              <w:bottom w:val="single" w:sz="4" w:space="0" w:color="auto"/>
            </w:tcBorders>
            <w:noWrap/>
            <w:vAlign w:val="center"/>
            <w:hideMark/>
          </w:tcPr>
          <w:p w14:paraId="773B5A55" w14:textId="77777777" w:rsidR="00DC25B9" w:rsidRPr="00101A2A" w:rsidRDefault="00DC25B9" w:rsidP="00A52F78">
            <w:pPr>
              <w:spacing w:line="240" w:lineRule="auto"/>
              <w:ind w:firstLine="0"/>
              <w:jc w:val="center"/>
              <w:rPr>
                <w:b/>
                <w:bCs/>
                <w:sz w:val="18"/>
                <w:szCs w:val="18"/>
              </w:rPr>
            </w:pPr>
            <w:r w:rsidRPr="00101A2A">
              <w:rPr>
                <w:b/>
                <w:bCs/>
                <w:sz w:val="18"/>
                <w:szCs w:val="18"/>
              </w:rPr>
              <w:t>Model 7</w:t>
            </w:r>
          </w:p>
        </w:tc>
      </w:tr>
      <w:tr w:rsidR="00B53E6C" w:rsidRPr="00101A2A" w14:paraId="3FF5854F" w14:textId="77777777" w:rsidTr="00B61D56">
        <w:trPr>
          <w:trHeight w:val="280"/>
        </w:trPr>
        <w:tc>
          <w:tcPr>
            <w:tcW w:w="2552" w:type="dxa"/>
            <w:vMerge w:val="restart"/>
            <w:tcBorders>
              <w:top w:val="single" w:sz="4" w:space="0" w:color="auto"/>
            </w:tcBorders>
            <w:noWrap/>
            <w:vAlign w:val="center"/>
            <w:hideMark/>
          </w:tcPr>
          <w:p w14:paraId="59E2519E" w14:textId="68BF1F95" w:rsidR="00B53E6C" w:rsidRPr="00101A2A" w:rsidRDefault="00B53E6C" w:rsidP="00B53E6C">
            <w:pPr>
              <w:spacing w:line="240" w:lineRule="auto"/>
              <w:ind w:firstLine="0"/>
              <w:rPr>
                <w:b/>
                <w:bCs/>
                <w:sz w:val="18"/>
                <w:szCs w:val="18"/>
              </w:rPr>
            </w:pPr>
            <w:r w:rsidRPr="00101A2A">
              <w:rPr>
                <w:b/>
                <w:bCs/>
                <w:sz w:val="18"/>
                <w:szCs w:val="18"/>
              </w:rPr>
              <w:t>Spanner proportion</w:t>
            </w:r>
          </w:p>
        </w:tc>
        <w:tc>
          <w:tcPr>
            <w:tcW w:w="1070" w:type="dxa"/>
            <w:tcBorders>
              <w:top w:val="single" w:sz="4" w:space="0" w:color="auto"/>
            </w:tcBorders>
            <w:noWrap/>
            <w:vAlign w:val="center"/>
            <w:hideMark/>
          </w:tcPr>
          <w:p w14:paraId="5A61FB5B" w14:textId="77777777" w:rsidR="00B53E6C" w:rsidRPr="00B53E6C" w:rsidRDefault="00B53E6C" w:rsidP="00B53E6C">
            <w:pPr>
              <w:spacing w:line="240" w:lineRule="auto"/>
              <w:ind w:firstLine="0"/>
              <w:jc w:val="center"/>
              <w:rPr>
                <w:sz w:val="18"/>
                <w:szCs w:val="18"/>
              </w:rPr>
            </w:pPr>
          </w:p>
        </w:tc>
        <w:tc>
          <w:tcPr>
            <w:tcW w:w="1070" w:type="dxa"/>
            <w:tcBorders>
              <w:top w:val="single" w:sz="4" w:space="0" w:color="auto"/>
            </w:tcBorders>
            <w:noWrap/>
            <w:vAlign w:val="center"/>
            <w:hideMark/>
          </w:tcPr>
          <w:p w14:paraId="7BF4AD8B" w14:textId="7EA097F3" w:rsidR="00B53E6C" w:rsidRPr="00B53E6C" w:rsidRDefault="00B53E6C" w:rsidP="00B53E6C">
            <w:pPr>
              <w:spacing w:line="240" w:lineRule="auto"/>
              <w:ind w:firstLine="0"/>
              <w:jc w:val="center"/>
              <w:rPr>
                <w:sz w:val="18"/>
                <w:szCs w:val="18"/>
              </w:rPr>
            </w:pPr>
            <w:r w:rsidRPr="00B53E6C">
              <w:rPr>
                <w:sz w:val="18"/>
                <w:szCs w:val="18"/>
              </w:rPr>
              <w:t>0.002***</w:t>
            </w:r>
          </w:p>
        </w:tc>
        <w:tc>
          <w:tcPr>
            <w:tcW w:w="1070" w:type="dxa"/>
            <w:tcBorders>
              <w:top w:val="single" w:sz="4" w:space="0" w:color="auto"/>
            </w:tcBorders>
            <w:vAlign w:val="center"/>
          </w:tcPr>
          <w:p w14:paraId="74B2A561" w14:textId="754C5DD8" w:rsidR="00B53E6C" w:rsidRPr="00B53E6C" w:rsidRDefault="00B53E6C" w:rsidP="00B53E6C">
            <w:pPr>
              <w:spacing w:line="240" w:lineRule="auto"/>
              <w:ind w:firstLine="0"/>
              <w:jc w:val="center"/>
              <w:rPr>
                <w:sz w:val="18"/>
                <w:szCs w:val="18"/>
              </w:rPr>
            </w:pPr>
            <w:r w:rsidRPr="00B53E6C">
              <w:rPr>
                <w:sz w:val="18"/>
                <w:szCs w:val="18"/>
              </w:rPr>
              <w:t>0.003***</w:t>
            </w:r>
          </w:p>
        </w:tc>
        <w:tc>
          <w:tcPr>
            <w:tcW w:w="1070" w:type="dxa"/>
            <w:tcBorders>
              <w:top w:val="single" w:sz="4" w:space="0" w:color="auto"/>
            </w:tcBorders>
            <w:noWrap/>
            <w:vAlign w:val="center"/>
            <w:hideMark/>
          </w:tcPr>
          <w:p w14:paraId="047F6C0F" w14:textId="103CE560" w:rsidR="00B53E6C" w:rsidRPr="00B53E6C" w:rsidRDefault="00B53E6C" w:rsidP="00B53E6C">
            <w:pPr>
              <w:spacing w:line="240" w:lineRule="auto"/>
              <w:ind w:firstLine="0"/>
              <w:jc w:val="center"/>
              <w:rPr>
                <w:sz w:val="18"/>
                <w:szCs w:val="18"/>
              </w:rPr>
            </w:pPr>
            <w:r w:rsidRPr="00B53E6C">
              <w:rPr>
                <w:sz w:val="18"/>
                <w:szCs w:val="18"/>
              </w:rPr>
              <w:t>0.003***</w:t>
            </w:r>
          </w:p>
        </w:tc>
        <w:tc>
          <w:tcPr>
            <w:tcW w:w="1070" w:type="dxa"/>
            <w:tcBorders>
              <w:top w:val="single" w:sz="4" w:space="0" w:color="auto"/>
            </w:tcBorders>
            <w:noWrap/>
            <w:vAlign w:val="center"/>
            <w:hideMark/>
          </w:tcPr>
          <w:p w14:paraId="27612BA1" w14:textId="0C211653" w:rsidR="00B53E6C" w:rsidRPr="00B53E6C" w:rsidRDefault="00B53E6C" w:rsidP="00B53E6C">
            <w:pPr>
              <w:spacing w:line="240" w:lineRule="auto"/>
              <w:ind w:firstLine="0"/>
              <w:jc w:val="center"/>
              <w:rPr>
                <w:sz w:val="18"/>
                <w:szCs w:val="18"/>
              </w:rPr>
            </w:pPr>
            <w:r w:rsidRPr="00B53E6C">
              <w:rPr>
                <w:sz w:val="18"/>
                <w:szCs w:val="18"/>
              </w:rPr>
              <w:t>0.003***</w:t>
            </w:r>
          </w:p>
        </w:tc>
        <w:tc>
          <w:tcPr>
            <w:tcW w:w="1070" w:type="dxa"/>
            <w:tcBorders>
              <w:top w:val="single" w:sz="4" w:space="0" w:color="auto"/>
            </w:tcBorders>
            <w:noWrap/>
            <w:vAlign w:val="center"/>
            <w:hideMark/>
          </w:tcPr>
          <w:p w14:paraId="55D39175" w14:textId="0AFBD750" w:rsidR="00B53E6C" w:rsidRPr="00B53E6C" w:rsidRDefault="00B53E6C" w:rsidP="00B53E6C">
            <w:pPr>
              <w:spacing w:line="240" w:lineRule="auto"/>
              <w:ind w:firstLine="0"/>
              <w:jc w:val="center"/>
              <w:rPr>
                <w:sz w:val="18"/>
                <w:szCs w:val="18"/>
              </w:rPr>
            </w:pPr>
            <w:r w:rsidRPr="00B53E6C">
              <w:rPr>
                <w:sz w:val="18"/>
                <w:szCs w:val="18"/>
              </w:rPr>
              <w:t>0.003***</w:t>
            </w:r>
          </w:p>
        </w:tc>
        <w:tc>
          <w:tcPr>
            <w:tcW w:w="1070" w:type="dxa"/>
            <w:tcBorders>
              <w:top w:val="single" w:sz="4" w:space="0" w:color="auto"/>
            </w:tcBorders>
            <w:noWrap/>
            <w:vAlign w:val="center"/>
            <w:hideMark/>
          </w:tcPr>
          <w:p w14:paraId="30802AC5" w14:textId="124BCED8" w:rsidR="00B53E6C" w:rsidRPr="00B53E6C" w:rsidRDefault="00B53E6C" w:rsidP="00B53E6C">
            <w:pPr>
              <w:spacing w:line="240" w:lineRule="auto"/>
              <w:ind w:firstLine="0"/>
              <w:jc w:val="center"/>
              <w:rPr>
                <w:sz w:val="18"/>
                <w:szCs w:val="18"/>
              </w:rPr>
            </w:pPr>
            <w:r w:rsidRPr="00B53E6C">
              <w:rPr>
                <w:sz w:val="18"/>
                <w:szCs w:val="18"/>
              </w:rPr>
              <w:t>0.003***</w:t>
            </w:r>
          </w:p>
        </w:tc>
      </w:tr>
      <w:tr w:rsidR="00B53E6C" w:rsidRPr="00101A2A" w14:paraId="5F663E0C" w14:textId="77777777" w:rsidTr="00B61D56">
        <w:trPr>
          <w:trHeight w:val="280"/>
        </w:trPr>
        <w:tc>
          <w:tcPr>
            <w:tcW w:w="2552" w:type="dxa"/>
            <w:vMerge/>
            <w:noWrap/>
            <w:vAlign w:val="center"/>
            <w:hideMark/>
          </w:tcPr>
          <w:p w14:paraId="4907F4F3" w14:textId="77777777" w:rsidR="00B53E6C" w:rsidRPr="00101A2A" w:rsidRDefault="00B53E6C" w:rsidP="00B53E6C">
            <w:pPr>
              <w:spacing w:line="240" w:lineRule="auto"/>
              <w:ind w:firstLine="0"/>
              <w:rPr>
                <w:b/>
                <w:bCs/>
                <w:sz w:val="18"/>
                <w:szCs w:val="18"/>
              </w:rPr>
            </w:pPr>
          </w:p>
        </w:tc>
        <w:tc>
          <w:tcPr>
            <w:tcW w:w="1070" w:type="dxa"/>
            <w:noWrap/>
            <w:vAlign w:val="center"/>
            <w:hideMark/>
          </w:tcPr>
          <w:p w14:paraId="514CF288" w14:textId="77777777" w:rsidR="00B53E6C" w:rsidRPr="00B53E6C" w:rsidRDefault="00B53E6C" w:rsidP="00B53E6C">
            <w:pPr>
              <w:spacing w:line="240" w:lineRule="auto"/>
              <w:ind w:firstLine="0"/>
              <w:jc w:val="center"/>
              <w:rPr>
                <w:sz w:val="18"/>
                <w:szCs w:val="18"/>
              </w:rPr>
            </w:pPr>
          </w:p>
        </w:tc>
        <w:tc>
          <w:tcPr>
            <w:tcW w:w="1070" w:type="dxa"/>
            <w:noWrap/>
            <w:vAlign w:val="center"/>
            <w:hideMark/>
          </w:tcPr>
          <w:p w14:paraId="10012699" w14:textId="33772C27" w:rsidR="00B53E6C" w:rsidRPr="00B53E6C" w:rsidRDefault="00B53E6C" w:rsidP="00B53E6C">
            <w:pPr>
              <w:spacing w:line="240" w:lineRule="auto"/>
              <w:ind w:firstLine="0"/>
              <w:jc w:val="center"/>
              <w:rPr>
                <w:sz w:val="18"/>
                <w:szCs w:val="18"/>
              </w:rPr>
            </w:pPr>
            <w:r w:rsidRPr="00B53E6C">
              <w:rPr>
                <w:sz w:val="18"/>
                <w:szCs w:val="18"/>
              </w:rPr>
              <w:t>(0.001)</w:t>
            </w:r>
          </w:p>
        </w:tc>
        <w:tc>
          <w:tcPr>
            <w:tcW w:w="1070" w:type="dxa"/>
            <w:vAlign w:val="center"/>
          </w:tcPr>
          <w:p w14:paraId="1732713C" w14:textId="6F685EDD" w:rsidR="00B53E6C" w:rsidRPr="00B53E6C" w:rsidRDefault="00B53E6C" w:rsidP="00B53E6C">
            <w:pPr>
              <w:spacing w:line="240" w:lineRule="auto"/>
              <w:ind w:firstLine="0"/>
              <w:jc w:val="center"/>
              <w:rPr>
                <w:sz w:val="18"/>
                <w:szCs w:val="18"/>
              </w:rPr>
            </w:pPr>
            <w:r w:rsidRPr="00B53E6C">
              <w:rPr>
                <w:sz w:val="18"/>
                <w:szCs w:val="18"/>
              </w:rPr>
              <w:t>(0.001)</w:t>
            </w:r>
          </w:p>
        </w:tc>
        <w:tc>
          <w:tcPr>
            <w:tcW w:w="1070" w:type="dxa"/>
            <w:noWrap/>
            <w:vAlign w:val="center"/>
            <w:hideMark/>
          </w:tcPr>
          <w:p w14:paraId="052EC060" w14:textId="78DDA17C" w:rsidR="00B53E6C" w:rsidRPr="00B53E6C" w:rsidRDefault="00B53E6C" w:rsidP="00B53E6C">
            <w:pPr>
              <w:spacing w:line="240" w:lineRule="auto"/>
              <w:ind w:firstLine="0"/>
              <w:jc w:val="center"/>
              <w:rPr>
                <w:sz w:val="18"/>
                <w:szCs w:val="18"/>
              </w:rPr>
            </w:pPr>
            <w:r w:rsidRPr="00B53E6C">
              <w:rPr>
                <w:sz w:val="18"/>
                <w:szCs w:val="18"/>
              </w:rPr>
              <w:t>(0.001)</w:t>
            </w:r>
          </w:p>
        </w:tc>
        <w:tc>
          <w:tcPr>
            <w:tcW w:w="1070" w:type="dxa"/>
            <w:noWrap/>
            <w:vAlign w:val="center"/>
            <w:hideMark/>
          </w:tcPr>
          <w:p w14:paraId="6D96D17A" w14:textId="4AB3513E" w:rsidR="00B53E6C" w:rsidRPr="00B53E6C" w:rsidRDefault="00B53E6C" w:rsidP="00B53E6C">
            <w:pPr>
              <w:spacing w:line="240" w:lineRule="auto"/>
              <w:ind w:firstLine="0"/>
              <w:jc w:val="center"/>
              <w:rPr>
                <w:sz w:val="18"/>
                <w:szCs w:val="18"/>
              </w:rPr>
            </w:pPr>
            <w:r w:rsidRPr="00B53E6C">
              <w:rPr>
                <w:sz w:val="18"/>
                <w:szCs w:val="18"/>
              </w:rPr>
              <w:t>(0.001)</w:t>
            </w:r>
          </w:p>
        </w:tc>
        <w:tc>
          <w:tcPr>
            <w:tcW w:w="1070" w:type="dxa"/>
            <w:noWrap/>
            <w:vAlign w:val="center"/>
            <w:hideMark/>
          </w:tcPr>
          <w:p w14:paraId="4DEF34C6" w14:textId="31BCA97D" w:rsidR="00B53E6C" w:rsidRPr="00B53E6C" w:rsidRDefault="00B53E6C" w:rsidP="00B53E6C">
            <w:pPr>
              <w:spacing w:line="240" w:lineRule="auto"/>
              <w:ind w:firstLine="0"/>
              <w:jc w:val="center"/>
              <w:rPr>
                <w:sz w:val="18"/>
                <w:szCs w:val="18"/>
              </w:rPr>
            </w:pPr>
            <w:r w:rsidRPr="00B53E6C">
              <w:rPr>
                <w:sz w:val="18"/>
                <w:szCs w:val="18"/>
              </w:rPr>
              <w:t>(0.001)</w:t>
            </w:r>
          </w:p>
        </w:tc>
        <w:tc>
          <w:tcPr>
            <w:tcW w:w="1070" w:type="dxa"/>
            <w:noWrap/>
            <w:vAlign w:val="center"/>
            <w:hideMark/>
          </w:tcPr>
          <w:p w14:paraId="6CC868B8" w14:textId="0F5A400B" w:rsidR="00B53E6C" w:rsidRPr="00B53E6C" w:rsidRDefault="00B53E6C" w:rsidP="00B53E6C">
            <w:pPr>
              <w:spacing w:line="240" w:lineRule="auto"/>
              <w:ind w:firstLine="0"/>
              <w:jc w:val="center"/>
              <w:rPr>
                <w:sz w:val="18"/>
                <w:szCs w:val="18"/>
              </w:rPr>
            </w:pPr>
            <w:r w:rsidRPr="00B53E6C">
              <w:rPr>
                <w:sz w:val="18"/>
                <w:szCs w:val="18"/>
              </w:rPr>
              <w:t>(0.001)</w:t>
            </w:r>
          </w:p>
        </w:tc>
      </w:tr>
      <w:tr w:rsidR="00B53E6C" w:rsidRPr="00101A2A" w14:paraId="044B65A8" w14:textId="77777777" w:rsidTr="00B61D56">
        <w:trPr>
          <w:trHeight w:val="280"/>
        </w:trPr>
        <w:tc>
          <w:tcPr>
            <w:tcW w:w="2552" w:type="dxa"/>
            <w:vMerge w:val="restart"/>
            <w:noWrap/>
            <w:vAlign w:val="center"/>
          </w:tcPr>
          <w:p w14:paraId="48650694" w14:textId="376AA0C2" w:rsidR="00B53E6C" w:rsidRPr="00101A2A" w:rsidRDefault="00B53E6C" w:rsidP="00B53E6C">
            <w:pPr>
              <w:spacing w:line="240" w:lineRule="auto"/>
              <w:ind w:firstLine="0"/>
              <w:rPr>
                <w:b/>
                <w:bCs/>
                <w:sz w:val="18"/>
                <w:szCs w:val="18"/>
              </w:rPr>
            </w:pPr>
            <w:r w:rsidRPr="00101A2A">
              <w:rPr>
                <w:b/>
                <w:bCs/>
                <w:sz w:val="18"/>
                <w:szCs w:val="18"/>
              </w:rPr>
              <w:t>Consumer attention</w:t>
            </w:r>
          </w:p>
        </w:tc>
        <w:tc>
          <w:tcPr>
            <w:tcW w:w="1070" w:type="dxa"/>
            <w:noWrap/>
            <w:vAlign w:val="center"/>
          </w:tcPr>
          <w:p w14:paraId="66BA2485" w14:textId="77777777" w:rsidR="00B53E6C" w:rsidRPr="00B53E6C" w:rsidRDefault="00B53E6C" w:rsidP="00B53E6C">
            <w:pPr>
              <w:spacing w:line="240" w:lineRule="auto"/>
              <w:ind w:firstLine="0"/>
              <w:jc w:val="center"/>
              <w:rPr>
                <w:sz w:val="18"/>
                <w:szCs w:val="18"/>
              </w:rPr>
            </w:pPr>
          </w:p>
        </w:tc>
        <w:tc>
          <w:tcPr>
            <w:tcW w:w="1070" w:type="dxa"/>
            <w:noWrap/>
            <w:vAlign w:val="center"/>
          </w:tcPr>
          <w:p w14:paraId="0E17EA78" w14:textId="4B1D9E3B" w:rsidR="00B53E6C" w:rsidRPr="00B53E6C" w:rsidRDefault="00B53E6C" w:rsidP="00B53E6C">
            <w:pPr>
              <w:spacing w:line="240" w:lineRule="auto"/>
              <w:ind w:firstLine="0"/>
              <w:jc w:val="center"/>
              <w:rPr>
                <w:sz w:val="18"/>
                <w:szCs w:val="18"/>
              </w:rPr>
            </w:pPr>
          </w:p>
        </w:tc>
        <w:tc>
          <w:tcPr>
            <w:tcW w:w="1070" w:type="dxa"/>
            <w:vAlign w:val="center"/>
          </w:tcPr>
          <w:p w14:paraId="468AC380" w14:textId="7E9C34A7" w:rsidR="00B53E6C" w:rsidRPr="00B53E6C" w:rsidRDefault="00B53E6C" w:rsidP="00B53E6C">
            <w:pPr>
              <w:spacing w:line="240" w:lineRule="auto"/>
              <w:ind w:firstLine="0"/>
              <w:jc w:val="center"/>
              <w:rPr>
                <w:sz w:val="18"/>
                <w:szCs w:val="18"/>
              </w:rPr>
            </w:pPr>
            <w:r w:rsidRPr="00B53E6C">
              <w:rPr>
                <w:sz w:val="18"/>
                <w:szCs w:val="18"/>
              </w:rPr>
              <w:t>0.001</w:t>
            </w:r>
          </w:p>
        </w:tc>
        <w:tc>
          <w:tcPr>
            <w:tcW w:w="1070" w:type="dxa"/>
            <w:noWrap/>
            <w:vAlign w:val="center"/>
          </w:tcPr>
          <w:p w14:paraId="547AF165" w14:textId="0E65F1C1" w:rsidR="00B53E6C" w:rsidRPr="00B53E6C" w:rsidRDefault="00B53E6C" w:rsidP="00B53E6C">
            <w:pPr>
              <w:spacing w:line="240" w:lineRule="auto"/>
              <w:ind w:firstLine="0"/>
              <w:jc w:val="center"/>
              <w:rPr>
                <w:sz w:val="18"/>
                <w:szCs w:val="18"/>
              </w:rPr>
            </w:pPr>
          </w:p>
        </w:tc>
        <w:tc>
          <w:tcPr>
            <w:tcW w:w="1070" w:type="dxa"/>
            <w:noWrap/>
            <w:vAlign w:val="center"/>
          </w:tcPr>
          <w:p w14:paraId="0B8B9F1D" w14:textId="77F82CE3" w:rsidR="00B53E6C" w:rsidRPr="00B53E6C" w:rsidRDefault="00B53E6C" w:rsidP="00B53E6C">
            <w:pPr>
              <w:spacing w:line="240" w:lineRule="auto"/>
              <w:ind w:firstLine="0"/>
              <w:jc w:val="center"/>
              <w:rPr>
                <w:sz w:val="18"/>
                <w:szCs w:val="18"/>
              </w:rPr>
            </w:pPr>
          </w:p>
        </w:tc>
        <w:tc>
          <w:tcPr>
            <w:tcW w:w="1070" w:type="dxa"/>
            <w:noWrap/>
            <w:vAlign w:val="center"/>
          </w:tcPr>
          <w:p w14:paraId="0663D2D6" w14:textId="23CBA01C" w:rsidR="00B53E6C" w:rsidRPr="00B53E6C" w:rsidRDefault="00B53E6C" w:rsidP="00B53E6C">
            <w:pPr>
              <w:spacing w:line="240" w:lineRule="auto"/>
              <w:ind w:firstLine="0"/>
              <w:jc w:val="center"/>
              <w:rPr>
                <w:sz w:val="18"/>
                <w:szCs w:val="18"/>
              </w:rPr>
            </w:pPr>
            <w:r w:rsidRPr="00B53E6C">
              <w:rPr>
                <w:sz w:val="18"/>
                <w:szCs w:val="18"/>
              </w:rPr>
              <w:t>-0.012***</w:t>
            </w:r>
          </w:p>
        </w:tc>
        <w:tc>
          <w:tcPr>
            <w:tcW w:w="1070" w:type="dxa"/>
            <w:noWrap/>
            <w:vAlign w:val="center"/>
          </w:tcPr>
          <w:p w14:paraId="3E9C112B" w14:textId="434197BA" w:rsidR="00B53E6C" w:rsidRPr="00B53E6C" w:rsidRDefault="00B53E6C" w:rsidP="00B53E6C">
            <w:pPr>
              <w:spacing w:line="240" w:lineRule="auto"/>
              <w:ind w:firstLine="0"/>
              <w:jc w:val="center"/>
              <w:rPr>
                <w:sz w:val="18"/>
                <w:szCs w:val="18"/>
              </w:rPr>
            </w:pPr>
            <w:r w:rsidRPr="00B53E6C">
              <w:rPr>
                <w:sz w:val="18"/>
                <w:szCs w:val="18"/>
              </w:rPr>
              <w:t>0.003***</w:t>
            </w:r>
          </w:p>
        </w:tc>
      </w:tr>
      <w:tr w:rsidR="00B53E6C" w:rsidRPr="00101A2A" w14:paraId="0895D565" w14:textId="77777777" w:rsidTr="00B61D56">
        <w:trPr>
          <w:trHeight w:val="280"/>
        </w:trPr>
        <w:tc>
          <w:tcPr>
            <w:tcW w:w="2552" w:type="dxa"/>
            <w:vMerge/>
            <w:noWrap/>
            <w:vAlign w:val="center"/>
          </w:tcPr>
          <w:p w14:paraId="5B879900" w14:textId="77777777" w:rsidR="00B53E6C" w:rsidRPr="00101A2A" w:rsidRDefault="00B53E6C" w:rsidP="00B53E6C">
            <w:pPr>
              <w:spacing w:line="240" w:lineRule="auto"/>
              <w:ind w:firstLine="0"/>
              <w:rPr>
                <w:b/>
                <w:bCs/>
                <w:sz w:val="18"/>
                <w:szCs w:val="18"/>
              </w:rPr>
            </w:pPr>
          </w:p>
        </w:tc>
        <w:tc>
          <w:tcPr>
            <w:tcW w:w="1070" w:type="dxa"/>
            <w:noWrap/>
            <w:vAlign w:val="center"/>
          </w:tcPr>
          <w:p w14:paraId="7C056CF6" w14:textId="77777777" w:rsidR="00B53E6C" w:rsidRPr="00B53E6C" w:rsidRDefault="00B53E6C" w:rsidP="00B53E6C">
            <w:pPr>
              <w:spacing w:line="240" w:lineRule="auto"/>
              <w:ind w:firstLine="0"/>
              <w:jc w:val="center"/>
              <w:rPr>
                <w:sz w:val="18"/>
                <w:szCs w:val="18"/>
              </w:rPr>
            </w:pPr>
          </w:p>
        </w:tc>
        <w:tc>
          <w:tcPr>
            <w:tcW w:w="1070" w:type="dxa"/>
            <w:noWrap/>
            <w:vAlign w:val="center"/>
          </w:tcPr>
          <w:p w14:paraId="77322302" w14:textId="77777777" w:rsidR="00B53E6C" w:rsidRPr="00B53E6C" w:rsidRDefault="00B53E6C" w:rsidP="00B53E6C">
            <w:pPr>
              <w:spacing w:line="240" w:lineRule="auto"/>
              <w:ind w:firstLine="0"/>
              <w:jc w:val="center"/>
              <w:rPr>
                <w:sz w:val="18"/>
                <w:szCs w:val="18"/>
              </w:rPr>
            </w:pPr>
          </w:p>
        </w:tc>
        <w:tc>
          <w:tcPr>
            <w:tcW w:w="1070" w:type="dxa"/>
            <w:vAlign w:val="center"/>
          </w:tcPr>
          <w:p w14:paraId="5975F77D" w14:textId="664A497B" w:rsidR="00B53E6C" w:rsidRPr="00B53E6C" w:rsidRDefault="00B53E6C" w:rsidP="00B53E6C">
            <w:pPr>
              <w:spacing w:line="240" w:lineRule="auto"/>
              <w:ind w:firstLine="0"/>
              <w:jc w:val="center"/>
              <w:rPr>
                <w:sz w:val="18"/>
                <w:szCs w:val="18"/>
              </w:rPr>
            </w:pPr>
            <w:r w:rsidRPr="00B53E6C">
              <w:rPr>
                <w:sz w:val="18"/>
                <w:szCs w:val="18"/>
              </w:rPr>
              <w:t>(0.001)</w:t>
            </w:r>
          </w:p>
        </w:tc>
        <w:tc>
          <w:tcPr>
            <w:tcW w:w="1070" w:type="dxa"/>
            <w:noWrap/>
            <w:vAlign w:val="center"/>
          </w:tcPr>
          <w:p w14:paraId="1DA468AE" w14:textId="77777777" w:rsidR="00B53E6C" w:rsidRPr="00B53E6C" w:rsidRDefault="00B53E6C" w:rsidP="00B53E6C">
            <w:pPr>
              <w:spacing w:line="240" w:lineRule="auto"/>
              <w:ind w:firstLine="0"/>
              <w:jc w:val="center"/>
              <w:rPr>
                <w:sz w:val="18"/>
                <w:szCs w:val="18"/>
              </w:rPr>
            </w:pPr>
          </w:p>
        </w:tc>
        <w:tc>
          <w:tcPr>
            <w:tcW w:w="1070" w:type="dxa"/>
            <w:noWrap/>
            <w:vAlign w:val="center"/>
          </w:tcPr>
          <w:p w14:paraId="47508EC3" w14:textId="77777777" w:rsidR="00B53E6C" w:rsidRPr="00B53E6C" w:rsidRDefault="00B53E6C" w:rsidP="00B53E6C">
            <w:pPr>
              <w:spacing w:line="240" w:lineRule="auto"/>
              <w:ind w:firstLine="0"/>
              <w:jc w:val="center"/>
              <w:rPr>
                <w:sz w:val="18"/>
                <w:szCs w:val="18"/>
              </w:rPr>
            </w:pPr>
          </w:p>
        </w:tc>
        <w:tc>
          <w:tcPr>
            <w:tcW w:w="1070" w:type="dxa"/>
            <w:noWrap/>
            <w:vAlign w:val="center"/>
          </w:tcPr>
          <w:p w14:paraId="7881A77A" w14:textId="3D1DD48C" w:rsidR="00B53E6C" w:rsidRPr="00B53E6C" w:rsidRDefault="00B53E6C" w:rsidP="00B53E6C">
            <w:pPr>
              <w:spacing w:line="240" w:lineRule="auto"/>
              <w:ind w:firstLine="0"/>
              <w:jc w:val="center"/>
              <w:rPr>
                <w:sz w:val="18"/>
                <w:szCs w:val="18"/>
              </w:rPr>
            </w:pPr>
            <w:r w:rsidRPr="00B53E6C">
              <w:rPr>
                <w:sz w:val="18"/>
                <w:szCs w:val="18"/>
              </w:rPr>
              <w:t>(0.001)</w:t>
            </w:r>
          </w:p>
        </w:tc>
        <w:tc>
          <w:tcPr>
            <w:tcW w:w="1070" w:type="dxa"/>
            <w:noWrap/>
            <w:vAlign w:val="center"/>
          </w:tcPr>
          <w:p w14:paraId="2102EEF4" w14:textId="2694A256" w:rsidR="00B53E6C" w:rsidRPr="00B53E6C" w:rsidRDefault="00B53E6C" w:rsidP="00B53E6C">
            <w:pPr>
              <w:spacing w:line="240" w:lineRule="auto"/>
              <w:ind w:firstLine="0"/>
              <w:jc w:val="center"/>
              <w:rPr>
                <w:sz w:val="18"/>
                <w:szCs w:val="18"/>
              </w:rPr>
            </w:pPr>
            <w:r w:rsidRPr="00B53E6C">
              <w:rPr>
                <w:sz w:val="18"/>
                <w:szCs w:val="18"/>
              </w:rPr>
              <w:t>(0.001)</w:t>
            </w:r>
          </w:p>
        </w:tc>
      </w:tr>
      <w:tr w:rsidR="00B53E6C" w:rsidRPr="00101A2A" w14:paraId="28922DBC" w14:textId="77777777" w:rsidTr="00B61D56">
        <w:trPr>
          <w:trHeight w:val="280"/>
        </w:trPr>
        <w:tc>
          <w:tcPr>
            <w:tcW w:w="2552" w:type="dxa"/>
            <w:vMerge w:val="restart"/>
            <w:noWrap/>
            <w:vAlign w:val="center"/>
            <w:hideMark/>
          </w:tcPr>
          <w:p w14:paraId="70673F14" w14:textId="3C6A9856" w:rsidR="00B53E6C" w:rsidRPr="00101A2A" w:rsidRDefault="00B53E6C" w:rsidP="00B53E6C">
            <w:pPr>
              <w:spacing w:line="240" w:lineRule="auto"/>
              <w:ind w:firstLine="0"/>
              <w:rPr>
                <w:b/>
                <w:bCs/>
                <w:sz w:val="18"/>
                <w:szCs w:val="18"/>
              </w:rPr>
            </w:pPr>
            <w:r w:rsidRPr="00101A2A">
              <w:rPr>
                <w:b/>
                <w:bCs/>
                <w:sz w:val="18"/>
                <w:szCs w:val="18"/>
              </w:rPr>
              <w:t>Spanners proportion * Consumer attention</w:t>
            </w:r>
          </w:p>
        </w:tc>
        <w:tc>
          <w:tcPr>
            <w:tcW w:w="1070" w:type="dxa"/>
            <w:noWrap/>
            <w:vAlign w:val="center"/>
            <w:hideMark/>
          </w:tcPr>
          <w:p w14:paraId="43EBD19C" w14:textId="77777777" w:rsidR="00B53E6C" w:rsidRPr="00B53E6C" w:rsidRDefault="00B53E6C" w:rsidP="00B53E6C">
            <w:pPr>
              <w:spacing w:line="240" w:lineRule="auto"/>
              <w:ind w:firstLine="0"/>
              <w:jc w:val="center"/>
              <w:rPr>
                <w:sz w:val="18"/>
                <w:szCs w:val="18"/>
              </w:rPr>
            </w:pPr>
          </w:p>
        </w:tc>
        <w:tc>
          <w:tcPr>
            <w:tcW w:w="1070" w:type="dxa"/>
            <w:noWrap/>
            <w:vAlign w:val="center"/>
            <w:hideMark/>
          </w:tcPr>
          <w:p w14:paraId="48D52483" w14:textId="77777777" w:rsidR="00B53E6C" w:rsidRPr="00B53E6C" w:rsidRDefault="00B53E6C" w:rsidP="00B53E6C">
            <w:pPr>
              <w:spacing w:line="240" w:lineRule="auto"/>
              <w:ind w:firstLine="0"/>
              <w:jc w:val="center"/>
              <w:rPr>
                <w:sz w:val="18"/>
                <w:szCs w:val="18"/>
              </w:rPr>
            </w:pPr>
          </w:p>
        </w:tc>
        <w:tc>
          <w:tcPr>
            <w:tcW w:w="1070" w:type="dxa"/>
            <w:vAlign w:val="center"/>
          </w:tcPr>
          <w:p w14:paraId="33E6A370" w14:textId="25722418" w:rsidR="00B53E6C" w:rsidRPr="00B53E6C" w:rsidRDefault="00B53E6C" w:rsidP="00B53E6C">
            <w:pPr>
              <w:spacing w:line="240" w:lineRule="auto"/>
              <w:ind w:firstLine="0"/>
              <w:jc w:val="center"/>
              <w:rPr>
                <w:sz w:val="18"/>
                <w:szCs w:val="18"/>
              </w:rPr>
            </w:pPr>
            <w:r w:rsidRPr="00B53E6C">
              <w:rPr>
                <w:sz w:val="18"/>
                <w:szCs w:val="18"/>
              </w:rPr>
              <w:t>-0.001*</w:t>
            </w:r>
          </w:p>
        </w:tc>
        <w:tc>
          <w:tcPr>
            <w:tcW w:w="1070" w:type="dxa"/>
            <w:noWrap/>
            <w:vAlign w:val="center"/>
            <w:hideMark/>
          </w:tcPr>
          <w:p w14:paraId="3218BE1B" w14:textId="6E03EA1A" w:rsidR="00B53E6C" w:rsidRPr="00B53E6C" w:rsidRDefault="00B53E6C" w:rsidP="00B53E6C">
            <w:pPr>
              <w:spacing w:line="240" w:lineRule="auto"/>
              <w:ind w:firstLine="0"/>
              <w:jc w:val="center"/>
              <w:rPr>
                <w:sz w:val="18"/>
                <w:szCs w:val="18"/>
              </w:rPr>
            </w:pPr>
          </w:p>
        </w:tc>
        <w:tc>
          <w:tcPr>
            <w:tcW w:w="1070" w:type="dxa"/>
            <w:noWrap/>
            <w:vAlign w:val="center"/>
            <w:hideMark/>
          </w:tcPr>
          <w:p w14:paraId="7A41D10B" w14:textId="2738D0DF" w:rsidR="00B53E6C" w:rsidRPr="00B53E6C" w:rsidRDefault="00B53E6C" w:rsidP="00B53E6C">
            <w:pPr>
              <w:spacing w:line="240" w:lineRule="auto"/>
              <w:ind w:firstLine="0"/>
              <w:jc w:val="center"/>
              <w:rPr>
                <w:sz w:val="18"/>
                <w:szCs w:val="18"/>
              </w:rPr>
            </w:pPr>
          </w:p>
        </w:tc>
        <w:tc>
          <w:tcPr>
            <w:tcW w:w="1070" w:type="dxa"/>
            <w:noWrap/>
            <w:vAlign w:val="center"/>
            <w:hideMark/>
          </w:tcPr>
          <w:p w14:paraId="49FD9EE3" w14:textId="7DF5A8BF" w:rsidR="00B53E6C" w:rsidRPr="00B53E6C" w:rsidRDefault="00B53E6C" w:rsidP="00B53E6C">
            <w:pPr>
              <w:spacing w:line="240" w:lineRule="auto"/>
              <w:ind w:firstLine="0"/>
              <w:jc w:val="center"/>
              <w:rPr>
                <w:sz w:val="18"/>
                <w:szCs w:val="18"/>
              </w:rPr>
            </w:pPr>
          </w:p>
        </w:tc>
        <w:tc>
          <w:tcPr>
            <w:tcW w:w="1070" w:type="dxa"/>
            <w:noWrap/>
            <w:vAlign w:val="center"/>
            <w:hideMark/>
          </w:tcPr>
          <w:p w14:paraId="21C5491A" w14:textId="6476F8F1" w:rsidR="00B53E6C" w:rsidRPr="00B53E6C" w:rsidRDefault="00B53E6C" w:rsidP="00B53E6C">
            <w:pPr>
              <w:spacing w:line="240" w:lineRule="auto"/>
              <w:ind w:firstLine="0"/>
              <w:jc w:val="center"/>
              <w:rPr>
                <w:sz w:val="18"/>
                <w:szCs w:val="18"/>
              </w:rPr>
            </w:pPr>
            <w:r w:rsidRPr="00B53E6C">
              <w:rPr>
                <w:sz w:val="18"/>
                <w:szCs w:val="18"/>
              </w:rPr>
              <w:t>-0.001*</w:t>
            </w:r>
          </w:p>
        </w:tc>
      </w:tr>
      <w:tr w:rsidR="00B53E6C" w:rsidRPr="00101A2A" w14:paraId="1388993A" w14:textId="77777777" w:rsidTr="00B61D56">
        <w:trPr>
          <w:trHeight w:val="280"/>
        </w:trPr>
        <w:tc>
          <w:tcPr>
            <w:tcW w:w="2552" w:type="dxa"/>
            <w:vMerge/>
            <w:noWrap/>
            <w:vAlign w:val="center"/>
            <w:hideMark/>
          </w:tcPr>
          <w:p w14:paraId="0AF13D1F" w14:textId="77777777" w:rsidR="00B53E6C" w:rsidRPr="00101A2A" w:rsidRDefault="00B53E6C" w:rsidP="00B53E6C">
            <w:pPr>
              <w:spacing w:line="240" w:lineRule="auto"/>
              <w:ind w:firstLine="0"/>
              <w:rPr>
                <w:b/>
                <w:bCs/>
                <w:sz w:val="18"/>
                <w:szCs w:val="18"/>
              </w:rPr>
            </w:pPr>
          </w:p>
        </w:tc>
        <w:tc>
          <w:tcPr>
            <w:tcW w:w="1070" w:type="dxa"/>
            <w:noWrap/>
            <w:vAlign w:val="center"/>
            <w:hideMark/>
          </w:tcPr>
          <w:p w14:paraId="63C28E19" w14:textId="77777777" w:rsidR="00B53E6C" w:rsidRPr="00B53E6C" w:rsidRDefault="00B53E6C" w:rsidP="00B53E6C">
            <w:pPr>
              <w:spacing w:line="240" w:lineRule="auto"/>
              <w:ind w:firstLine="0"/>
              <w:jc w:val="center"/>
              <w:rPr>
                <w:sz w:val="18"/>
                <w:szCs w:val="18"/>
              </w:rPr>
            </w:pPr>
          </w:p>
        </w:tc>
        <w:tc>
          <w:tcPr>
            <w:tcW w:w="1070" w:type="dxa"/>
            <w:noWrap/>
            <w:vAlign w:val="center"/>
            <w:hideMark/>
          </w:tcPr>
          <w:p w14:paraId="39D24BFE" w14:textId="77777777" w:rsidR="00B53E6C" w:rsidRPr="00B53E6C" w:rsidRDefault="00B53E6C" w:rsidP="00B53E6C">
            <w:pPr>
              <w:spacing w:line="240" w:lineRule="auto"/>
              <w:ind w:firstLine="0"/>
              <w:jc w:val="center"/>
              <w:rPr>
                <w:sz w:val="18"/>
                <w:szCs w:val="18"/>
              </w:rPr>
            </w:pPr>
          </w:p>
        </w:tc>
        <w:tc>
          <w:tcPr>
            <w:tcW w:w="1070" w:type="dxa"/>
            <w:vAlign w:val="center"/>
          </w:tcPr>
          <w:p w14:paraId="53BA333A" w14:textId="04AAA078" w:rsidR="00B53E6C" w:rsidRPr="00B53E6C" w:rsidRDefault="00B53E6C" w:rsidP="00B53E6C">
            <w:pPr>
              <w:spacing w:line="240" w:lineRule="auto"/>
              <w:ind w:firstLine="0"/>
              <w:jc w:val="center"/>
              <w:rPr>
                <w:sz w:val="18"/>
                <w:szCs w:val="18"/>
              </w:rPr>
            </w:pPr>
            <w:r w:rsidRPr="00B53E6C">
              <w:rPr>
                <w:sz w:val="18"/>
                <w:szCs w:val="18"/>
              </w:rPr>
              <w:t>(0.001)</w:t>
            </w:r>
          </w:p>
        </w:tc>
        <w:tc>
          <w:tcPr>
            <w:tcW w:w="1070" w:type="dxa"/>
            <w:noWrap/>
            <w:vAlign w:val="center"/>
            <w:hideMark/>
          </w:tcPr>
          <w:p w14:paraId="294C1DC0" w14:textId="1D2DB57F" w:rsidR="00B53E6C" w:rsidRPr="00B53E6C" w:rsidRDefault="00B53E6C" w:rsidP="00B53E6C">
            <w:pPr>
              <w:spacing w:line="240" w:lineRule="auto"/>
              <w:ind w:firstLine="0"/>
              <w:jc w:val="center"/>
              <w:rPr>
                <w:sz w:val="18"/>
                <w:szCs w:val="18"/>
              </w:rPr>
            </w:pPr>
          </w:p>
        </w:tc>
        <w:tc>
          <w:tcPr>
            <w:tcW w:w="1070" w:type="dxa"/>
            <w:noWrap/>
            <w:vAlign w:val="center"/>
            <w:hideMark/>
          </w:tcPr>
          <w:p w14:paraId="681E14E1" w14:textId="7D989B68" w:rsidR="00B53E6C" w:rsidRPr="00B53E6C" w:rsidRDefault="00B53E6C" w:rsidP="00B53E6C">
            <w:pPr>
              <w:spacing w:line="240" w:lineRule="auto"/>
              <w:ind w:firstLine="0"/>
              <w:jc w:val="center"/>
              <w:rPr>
                <w:sz w:val="18"/>
                <w:szCs w:val="18"/>
              </w:rPr>
            </w:pPr>
          </w:p>
        </w:tc>
        <w:tc>
          <w:tcPr>
            <w:tcW w:w="1070" w:type="dxa"/>
            <w:noWrap/>
            <w:vAlign w:val="center"/>
            <w:hideMark/>
          </w:tcPr>
          <w:p w14:paraId="6513FC8A" w14:textId="264EF59A" w:rsidR="00B53E6C" w:rsidRPr="00B53E6C" w:rsidRDefault="00B53E6C" w:rsidP="00B53E6C">
            <w:pPr>
              <w:spacing w:line="240" w:lineRule="auto"/>
              <w:ind w:firstLine="0"/>
              <w:jc w:val="center"/>
              <w:rPr>
                <w:sz w:val="18"/>
                <w:szCs w:val="18"/>
              </w:rPr>
            </w:pPr>
          </w:p>
        </w:tc>
        <w:tc>
          <w:tcPr>
            <w:tcW w:w="1070" w:type="dxa"/>
            <w:noWrap/>
            <w:vAlign w:val="center"/>
            <w:hideMark/>
          </w:tcPr>
          <w:p w14:paraId="4ACC1D30" w14:textId="077CFDBD" w:rsidR="00B53E6C" w:rsidRPr="00B53E6C" w:rsidRDefault="00B53E6C" w:rsidP="00B53E6C">
            <w:pPr>
              <w:spacing w:line="240" w:lineRule="auto"/>
              <w:ind w:firstLine="0"/>
              <w:jc w:val="center"/>
              <w:rPr>
                <w:sz w:val="18"/>
                <w:szCs w:val="18"/>
              </w:rPr>
            </w:pPr>
            <w:r w:rsidRPr="00B53E6C">
              <w:rPr>
                <w:sz w:val="18"/>
                <w:szCs w:val="18"/>
              </w:rPr>
              <w:t>(0.001)</w:t>
            </w:r>
          </w:p>
        </w:tc>
      </w:tr>
      <w:tr w:rsidR="00B53E6C" w:rsidRPr="00101A2A" w14:paraId="354B9DC9" w14:textId="77777777" w:rsidTr="00B61D56">
        <w:trPr>
          <w:trHeight w:val="280"/>
        </w:trPr>
        <w:tc>
          <w:tcPr>
            <w:tcW w:w="2552" w:type="dxa"/>
            <w:vMerge w:val="restart"/>
            <w:noWrap/>
            <w:vAlign w:val="center"/>
          </w:tcPr>
          <w:p w14:paraId="7A6AF0ED" w14:textId="3F0D1626" w:rsidR="00B53E6C" w:rsidRPr="00101A2A" w:rsidRDefault="00B53E6C" w:rsidP="00B53E6C">
            <w:pPr>
              <w:spacing w:line="240" w:lineRule="auto"/>
              <w:ind w:firstLine="0"/>
              <w:rPr>
                <w:b/>
                <w:bCs/>
                <w:sz w:val="18"/>
                <w:szCs w:val="18"/>
              </w:rPr>
            </w:pPr>
            <w:r>
              <w:rPr>
                <w:b/>
                <w:bCs/>
                <w:sz w:val="18"/>
                <w:szCs w:val="18"/>
              </w:rPr>
              <w:t>Regulated market</w:t>
            </w:r>
          </w:p>
        </w:tc>
        <w:tc>
          <w:tcPr>
            <w:tcW w:w="1070" w:type="dxa"/>
            <w:noWrap/>
            <w:vAlign w:val="center"/>
          </w:tcPr>
          <w:p w14:paraId="73A9B067" w14:textId="77777777" w:rsidR="00B53E6C" w:rsidRPr="00B53E6C" w:rsidRDefault="00B53E6C" w:rsidP="00B53E6C">
            <w:pPr>
              <w:spacing w:line="240" w:lineRule="auto"/>
              <w:ind w:firstLine="0"/>
              <w:jc w:val="center"/>
              <w:rPr>
                <w:sz w:val="18"/>
                <w:szCs w:val="18"/>
              </w:rPr>
            </w:pPr>
          </w:p>
        </w:tc>
        <w:tc>
          <w:tcPr>
            <w:tcW w:w="1070" w:type="dxa"/>
            <w:noWrap/>
            <w:vAlign w:val="center"/>
          </w:tcPr>
          <w:p w14:paraId="4FE14672" w14:textId="77777777" w:rsidR="00B53E6C" w:rsidRPr="00B53E6C" w:rsidRDefault="00B53E6C" w:rsidP="00B53E6C">
            <w:pPr>
              <w:spacing w:line="240" w:lineRule="auto"/>
              <w:ind w:firstLine="0"/>
              <w:jc w:val="center"/>
              <w:rPr>
                <w:sz w:val="18"/>
                <w:szCs w:val="18"/>
              </w:rPr>
            </w:pPr>
          </w:p>
        </w:tc>
        <w:tc>
          <w:tcPr>
            <w:tcW w:w="1070" w:type="dxa"/>
            <w:vAlign w:val="center"/>
          </w:tcPr>
          <w:p w14:paraId="105853F7" w14:textId="6D4E1E90" w:rsidR="00B53E6C" w:rsidRPr="00B53E6C" w:rsidRDefault="00B53E6C" w:rsidP="00B53E6C">
            <w:pPr>
              <w:spacing w:line="240" w:lineRule="auto"/>
              <w:ind w:firstLine="0"/>
              <w:jc w:val="center"/>
              <w:rPr>
                <w:sz w:val="18"/>
                <w:szCs w:val="18"/>
              </w:rPr>
            </w:pPr>
          </w:p>
        </w:tc>
        <w:tc>
          <w:tcPr>
            <w:tcW w:w="1070" w:type="dxa"/>
            <w:noWrap/>
            <w:vAlign w:val="center"/>
          </w:tcPr>
          <w:p w14:paraId="2799E853" w14:textId="77777777" w:rsidR="00B53E6C" w:rsidRPr="00B53E6C" w:rsidRDefault="00B53E6C" w:rsidP="00B53E6C">
            <w:pPr>
              <w:spacing w:line="240" w:lineRule="auto"/>
              <w:ind w:firstLine="0"/>
              <w:jc w:val="center"/>
              <w:rPr>
                <w:sz w:val="18"/>
                <w:szCs w:val="18"/>
              </w:rPr>
            </w:pPr>
          </w:p>
        </w:tc>
        <w:tc>
          <w:tcPr>
            <w:tcW w:w="1070" w:type="dxa"/>
            <w:noWrap/>
            <w:vAlign w:val="center"/>
          </w:tcPr>
          <w:p w14:paraId="56727777" w14:textId="79C90EE5" w:rsidR="00B53E6C" w:rsidRPr="00B53E6C" w:rsidRDefault="00B53E6C" w:rsidP="00B53E6C">
            <w:pPr>
              <w:spacing w:line="240" w:lineRule="auto"/>
              <w:ind w:firstLine="0"/>
              <w:jc w:val="center"/>
              <w:rPr>
                <w:sz w:val="18"/>
                <w:szCs w:val="18"/>
              </w:rPr>
            </w:pPr>
            <w:r w:rsidRPr="00B53E6C">
              <w:rPr>
                <w:sz w:val="18"/>
                <w:szCs w:val="18"/>
              </w:rPr>
              <w:t>0.003***</w:t>
            </w:r>
          </w:p>
        </w:tc>
        <w:tc>
          <w:tcPr>
            <w:tcW w:w="1070" w:type="dxa"/>
            <w:noWrap/>
            <w:vAlign w:val="center"/>
          </w:tcPr>
          <w:p w14:paraId="005DFCBB" w14:textId="7EEC5D3C" w:rsidR="00B53E6C" w:rsidRPr="00B53E6C" w:rsidRDefault="00B53E6C" w:rsidP="00B53E6C">
            <w:pPr>
              <w:spacing w:line="240" w:lineRule="auto"/>
              <w:ind w:firstLine="0"/>
              <w:jc w:val="center"/>
              <w:rPr>
                <w:sz w:val="18"/>
                <w:szCs w:val="18"/>
              </w:rPr>
            </w:pPr>
            <w:r w:rsidRPr="00B53E6C">
              <w:rPr>
                <w:sz w:val="18"/>
                <w:szCs w:val="18"/>
              </w:rPr>
              <w:t>0.003***</w:t>
            </w:r>
          </w:p>
        </w:tc>
        <w:tc>
          <w:tcPr>
            <w:tcW w:w="1070" w:type="dxa"/>
            <w:noWrap/>
            <w:vAlign w:val="center"/>
          </w:tcPr>
          <w:p w14:paraId="30B54603" w14:textId="3FD9C9BC" w:rsidR="00B53E6C" w:rsidRPr="00B53E6C" w:rsidRDefault="00B53E6C" w:rsidP="00B53E6C">
            <w:pPr>
              <w:spacing w:line="240" w:lineRule="auto"/>
              <w:ind w:firstLine="0"/>
              <w:jc w:val="center"/>
              <w:rPr>
                <w:sz w:val="18"/>
                <w:szCs w:val="18"/>
              </w:rPr>
            </w:pPr>
            <w:r w:rsidRPr="00B53E6C">
              <w:rPr>
                <w:sz w:val="18"/>
                <w:szCs w:val="18"/>
              </w:rPr>
              <w:t>0.005***</w:t>
            </w:r>
          </w:p>
        </w:tc>
      </w:tr>
      <w:tr w:rsidR="00B53E6C" w:rsidRPr="00101A2A" w14:paraId="39C31DBF" w14:textId="77777777" w:rsidTr="00B61D56">
        <w:trPr>
          <w:trHeight w:val="280"/>
        </w:trPr>
        <w:tc>
          <w:tcPr>
            <w:tcW w:w="2552" w:type="dxa"/>
            <w:vMerge/>
            <w:noWrap/>
            <w:vAlign w:val="center"/>
          </w:tcPr>
          <w:p w14:paraId="30F0EED4" w14:textId="77777777" w:rsidR="00B53E6C" w:rsidRPr="00101A2A" w:rsidRDefault="00B53E6C" w:rsidP="00B53E6C">
            <w:pPr>
              <w:spacing w:line="240" w:lineRule="auto"/>
              <w:ind w:firstLine="0"/>
              <w:rPr>
                <w:b/>
                <w:bCs/>
                <w:sz w:val="18"/>
                <w:szCs w:val="18"/>
              </w:rPr>
            </w:pPr>
          </w:p>
        </w:tc>
        <w:tc>
          <w:tcPr>
            <w:tcW w:w="1070" w:type="dxa"/>
            <w:noWrap/>
            <w:vAlign w:val="center"/>
          </w:tcPr>
          <w:p w14:paraId="26070772" w14:textId="77777777" w:rsidR="00B53E6C" w:rsidRPr="00B53E6C" w:rsidRDefault="00B53E6C" w:rsidP="00B53E6C">
            <w:pPr>
              <w:spacing w:line="240" w:lineRule="auto"/>
              <w:ind w:firstLine="0"/>
              <w:jc w:val="center"/>
              <w:rPr>
                <w:sz w:val="18"/>
                <w:szCs w:val="18"/>
              </w:rPr>
            </w:pPr>
          </w:p>
        </w:tc>
        <w:tc>
          <w:tcPr>
            <w:tcW w:w="1070" w:type="dxa"/>
            <w:noWrap/>
            <w:vAlign w:val="center"/>
          </w:tcPr>
          <w:p w14:paraId="76B55E60" w14:textId="77777777" w:rsidR="00B53E6C" w:rsidRPr="00B53E6C" w:rsidRDefault="00B53E6C" w:rsidP="00B53E6C">
            <w:pPr>
              <w:spacing w:line="240" w:lineRule="auto"/>
              <w:ind w:firstLine="0"/>
              <w:jc w:val="center"/>
              <w:rPr>
                <w:sz w:val="18"/>
                <w:szCs w:val="18"/>
              </w:rPr>
            </w:pPr>
          </w:p>
        </w:tc>
        <w:tc>
          <w:tcPr>
            <w:tcW w:w="1070" w:type="dxa"/>
            <w:vAlign w:val="center"/>
          </w:tcPr>
          <w:p w14:paraId="26F29165" w14:textId="54938B15" w:rsidR="00B53E6C" w:rsidRPr="00B53E6C" w:rsidRDefault="00B53E6C" w:rsidP="00B53E6C">
            <w:pPr>
              <w:spacing w:line="240" w:lineRule="auto"/>
              <w:ind w:firstLine="0"/>
              <w:jc w:val="center"/>
              <w:rPr>
                <w:sz w:val="18"/>
                <w:szCs w:val="18"/>
              </w:rPr>
            </w:pPr>
          </w:p>
        </w:tc>
        <w:tc>
          <w:tcPr>
            <w:tcW w:w="1070" w:type="dxa"/>
            <w:noWrap/>
            <w:vAlign w:val="center"/>
          </w:tcPr>
          <w:p w14:paraId="42C0A7BB" w14:textId="77777777" w:rsidR="00B53E6C" w:rsidRPr="00B53E6C" w:rsidRDefault="00B53E6C" w:rsidP="00B53E6C">
            <w:pPr>
              <w:spacing w:line="240" w:lineRule="auto"/>
              <w:ind w:firstLine="0"/>
              <w:jc w:val="center"/>
              <w:rPr>
                <w:sz w:val="18"/>
                <w:szCs w:val="18"/>
              </w:rPr>
            </w:pPr>
          </w:p>
        </w:tc>
        <w:tc>
          <w:tcPr>
            <w:tcW w:w="1070" w:type="dxa"/>
            <w:noWrap/>
            <w:vAlign w:val="center"/>
          </w:tcPr>
          <w:p w14:paraId="73EF9B2E" w14:textId="71527A1E"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tcPr>
          <w:p w14:paraId="4A212347" w14:textId="6C8CCA74"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tcPr>
          <w:p w14:paraId="74534676" w14:textId="550F472C" w:rsidR="00B53E6C" w:rsidRPr="00B53E6C" w:rsidRDefault="00B53E6C" w:rsidP="00B53E6C">
            <w:pPr>
              <w:spacing w:line="240" w:lineRule="auto"/>
              <w:ind w:firstLine="0"/>
              <w:jc w:val="center"/>
              <w:rPr>
                <w:sz w:val="18"/>
                <w:szCs w:val="18"/>
              </w:rPr>
            </w:pPr>
            <w:r w:rsidRPr="00B53E6C">
              <w:rPr>
                <w:sz w:val="18"/>
                <w:szCs w:val="18"/>
              </w:rPr>
              <w:t>(0.000)</w:t>
            </w:r>
          </w:p>
        </w:tc>
      </w:tr>
      <w:tr w:rsidR="00B53E6C" w:rsidRPr="00101A2A" w14:paraId="788FD947" w14:textId="77777777" w:rsidTr="00B61D56">
        <w:trPr>
          <w:trHeight w:val="280"/>
        </w:trPr>
        <w:tc>
          <w:tcPr>
            <w:tcW w:w="2552" w:type="dxa"/>
            <w:vMerge w:val="restart"/>
            <w:noWrap/>
            <w:vAlign w:val="center"/>
            <w:hideMark/>
          </w:tcPr>
          <w:p w14:paraId="0D58EC0D" w14:textId="6521FAFE" w:rsidR="00B53E6C" w:rsidRPr="00101A2A" w:rsidRDefault="00B53E6C" w:rsidP="00B53E6C">
            <w:pPr>
              <w:spacing w:line="240" w:lineRule="auto"/>
              <w:ind w:firstLine="0"/>
              <w:rPr>
                <w:b/>
                <w:bCs/>
                <w:sz w:val="18"/>
                <w:szCs w:val="18"/>
              </w:rPr>
            </w:pPr>
            <w:r w:rsidRPr="00101A2A">
              <w:rPr>
                <w:b/>
                <w:bCs/>
                <w:sz w:val="18"/>
                <w:szCs w:val="18"/>
              </w:rPr>
              <w:t>Spanners proportion *</w:t>
            </w:r>
          </w:p>
          <w:p w14:paraId="27646306" w14:textId="77777777" w:rsidR="00B53E6C" w:rsidRPr="00101A2A" w:rsidRDefault="00B53E6C" w:rsidP="00B53E6C">
            <w:pPr>
              <w:spacing w:line="240" w:lineRule="auto"/>
              <w:ind w:firstLine="0"/>
              <w:rPr>
                <w:b/>
                <w:bCs/>
                <w:sz w:val="18"/>
                <w:szCs w:val="18"/>
              </w:rPr>
            </w:pPr>
            <w:r w:rsidRPr="00101A2A">
              <w:rPr>
                <w:b/>
                <w:bCs/>
                <w:sz w:val="18"/>
                <w:szCs w:val="18"/>
              </w:rPr>
              <w:t>Regulated market</w:t>
            </w:r>
          </w:p>
        </w:tc>
        <w:tc>
          <w:tcPr>
            <w:tcW w:w="1070" w:type="dxa"/>
            <w:noWrap/>
            <w:vAlign w:val="center"/>
            <w:hideMark/>
          </w:tcPr>
          <w:p w14:paraId="5137AEC7" w14:textId="77777777" w:rsidR="00B53E6C" w:rsidRPr="00B53E6C" w:rsidRDefault="00B53E6C" w:rsidP="00B53E6C">
            <w:pPr>
              <w:spacing w:line="240" w:lineRule="auto"/>
              <w:ind w:firstLine="0"/>
              <w:jc w:val="center"/>
              <w:rPr>
                <w:sz w:val="18"/>
                <w:szCs w:val="18"/>
              </w:rPr>
            </w:pPr>
          </w:p>
        </w:tc>
        <w:tc>
          <w:tcPr>
            <w:tcW w:w="1070" w:type="dxa"/>
            <w:noWrap/>
            <w:vAlign w:val="center"/>
            <w:hideMark/>
          </w:tcPr>
          <w:p w14:paraId="6038DAB6" w14:textId="77777777" w:rsidR="00B53E6C" w:rsidRPr="00B53E6C" w:rsidRDefault="00B53E6C" w:rsidP="00B53E6C">
            <w:pPr>
              <w:spacing w:line="240" w:lineRule="auto"/>
              <w:ind w:firstLine="0"/>
              <w:jc w:val="center"/>
              <w:rPr>
                <w:sz w:val="18"/>
                <w:szCs w:val="18"/>
              </w:rPr>
            </w:pPr>
          </w:p>
        </w:tc>
        <w:tc>
          <w:tcPr>
            <w:tcW w:w="1070" w:type="dxa"/>
            <w:vAlign w:val="center"/>
          </w:tcPr>
          <w:p w14:paraId="002B70D5" w14:textId="562B78B2" w:rsidR="00B53E6C" w:rsidRPr="00B53E6C" w:rsidRDefault="00B53E6C" w:rsidP="00B53E6C">
            <w:pPr>
              <w:spacing w:line="240" w:lineRule="auto"/>
              <w:ind w:firstLine="0"/>
              <w:jc w:val="center"/>
              <w:rPr>
                <w:sz w:val="18"/>
                <w:szCs w:val="18"/>
              </w:rPr>
            </w:pPr>
          </w:p>
        </w:tc>
        <w:tc>
          <w:tcPr>
            <w:tcW w:w="1070" w:type="dxa"/>
            <w:noWrap/>
            <w:vAlign w:val="center"/>
            <w:hideMark/>
          </w:tcPr>
          <w:p w14:paraId="1D944065" w14:textId="77777777" w:rsidR="00B53E6C" w:rsidRPr="00B53E6C" w:rsidRDefault="00B53E6C" w:rsidP="00B53E6C">
            <w:pPr>
              <w:spacing w:line="240" w:lineRule="auto"/>
              <w:ind w:firstLine="0"/>
              <w:jc w:val="center"/>
              <w:rPr>
                <w:sz w:val="18"/>
                <w:szCs w:val="18"/>
              </w:rPr>
            </w:pPr>
          </w:p>
        </w:tc>
        <w:tc>
          <w:tcPr>
            <w:tcW w:w="1070" w:type="dxa"/>
            <w:noWrap/>
            <w:vAlign w:val="center"/>
            <w:hideMark/>
          </w:tcPr>
          <w:p w14:paraId="5B773231" w14:textId="5E2FB387" w:rsidR="00B53E6C" w:rsidRPr="00B53E6C" w:rsidRDefault="00B53E6C" w:rsidP="00B53E6C">
            <w:pPr>
              <w:spacing w:line="240" w:lineRule="auto"/>
              <w:ind w:firstLine="0"/>
              <w:jc w:val="center"/>
              <w:rPr>
                <w:sz w:val="18"/>
                <w:szCs w:val="18"/>
              </w:rPr>
            </w:pPr>
            <w:r w:rsidRPr="00B53E6C">
              <w:rPr>
                <w:sz w:val="18"/>
                <w:szCs w:val="18"/>
              </w:rPr>
              <w:t>-0.009***</w:t>
            </w:r>
          </w:p>
        </w:tc>
        <w:tc>
          <w:tcPr>
            <w:tcW w:w="1070" w:type="dxa"/>
            <w:noWrap/>
            <w:vAlign w:val="center"/>
            <w:hideMark/>
          </w:tcPr>
          <w:p w14:paraId="06CD5F51" w14:textId="1AB39183" w:rsidR="00B53E6C" w:rsidRPr="00B53E6C" w:rsidRDefault="00B53E6C" w:rsidP="00B53E6C">
            <w:pPr>
              <w:spacing w:line="240" w:lineRule="auto"/>
              <w:ind w:firstLine="0"/>
              <w:jc w:val="center"/>
              <w:rPr>
                <w:sz w:val="18"/>
                <w:szCs w:val="18"/>
              </w:rPr>
            </w:pPr>
            <w:r w:rsidRPr="00B53E6C">
              <w:rPr>
                <w:sz w:val="18"/>
                <w:szCs w:val="18"/>
              </w:rPr>
              <w:t>-0.009***</w:t>
            </w:r>
          </w:p>
        </w:tc>
        <w:tc>
          <w:tcPr>
            <w:tcW w:w="1070" w:type="dxa"/>
            <w:noWrap/>
            <w:vAlign w:val="center"/>
            <w:hideMark/>
          </w:tcPr>
          <w:p w14:paraId="0FCE4DEB" w14:textId="75E2110C" w:rsidR="00B53E6C" w:rsidRPr="00B53E6C" w:rsidRDefault="00B53E6C" w:rsidP="00B53E6C">
            <w:pPr>
              <w:spacing w:line="240" w:lineRule="auto"/>
              <w:ind w:firstLine="0"/>
              <w:jc w:val="center"/>
              <w:rPr>
                <w:sz w:val="18"/>
                <w:szCs w:val="18"/>
              </w:rPr>
            </w:pPr>
            <w:r w:rsidRPr="00B53E6C">
              <w:rPr>
                <w:sz w:val="18"/>
                <w:szCs w:val="18"/>
              </w:rPr>
              <w:t>-0.007***</w:t>
            </w:r>
          </w:p>
        </w:tc>
      </w:tr>
      <w:tr w:rsidR="00B53E6C" w:rsidRPr="00101A2A" w14:paraId="0B551BEF" w14:textId="77777777" w:rsidTr="00B61D56">
        <w:trPr>
          <w:trHeight w:val="280"/>
        </w:trPr>
        <w:tc>
          <w:tcPr>
            <w:tcW w:w="2552" w:type="dxa"/>
            <w:vMerge/>
            <w:noWrap/>
            <w:vAlign w:val="center"/>
            <w:hideMark/>
          </w:tcPr>
          <w:p w14:paraId="418F7FBD" w14:textId="77777777" w:rsidR="00B53E6C" w:rsidRPr="00101A2A" w:rsidRDefault="00B53E6C" w:rsidP="00B53E6C">
            <w:pPr>
              <w:spacing w:line="240" w:lineRule="auto"/>
              <w:ind w:firstLine="0"/>
              <w:rPr>
                <w:b/>
                <w:bCs/>
                <w:sz w:val="18"/>
                <w:szCs w:val="18"/>
              </w:rPr>
            </w:pPr>
          </w:p>
        </w:tc>
        <w:tc>
          <w:tcPr>
            <w:tcW w:w="1070" w:type="dxa"/>
            <w:noWrap/>
            <w:vAlign w:val="center"/>
            <w:hideMark/>
          </w:tcPr>
          <w:p w14:paraId="392454BF" w14:textId="77777777" w:rsidR="00B53E6C" w:rsidRPr="00B53E6C" w:rsidRDefault="00B53E6C" w:rsidP="00B53E6C">
            <w:pPr>
              <w:spacing w:line="240" w:lineRule="auto"/>
              <w:ind w:firstLine="0"/>
              <w:jc w:val="center"/>
              <w:rPr>
                <w:sz w:val="18"/>
                <w:szCs w:val="18"/>
              </w:rPr>
            </w:pPr>
          </w:p>
        </w:tc>
        <w:tc>
          <w:tcPr>
            <w:tcW w:w="1070" w:type="dxa"/>
            <w:noWrap/>
            <w:vAlign w:val="center"/>
            <w:hideMark/>
          </w:tcPr>
          <w:p w14:paraId="41D3EA1F" w14:textId="77777777" w:rsidR="00B53E6C" w:rsidRPr="00B53E6C" w:rsidRDefault="00B53E6C" w:rsidP="00B53E6C">
            <w:pPr>
              <w:spacing w:line="240" w:lineRule="auto"/>
              <w:ind w:firstLine="0"/>
              <w:jc w:val="center"/>
              <w:rPr>
                <w:sz w:val="18"/>
                <w:szCs w:val="18"/>
              </w:rPr>
            </w:pPr>
          </w:p>
        </w:tc>
        <w:tc>
          <w:tcPr>
            <w:tcW w:w="1070" w:type="dxa"/>
            <w:vAlign w:val="center"/>
          </w:tcPr>
          <w:p w14:paraId="79C96CB8" w14:textId="77777777" w:rsidR="00B53E6C" w:rsidRPr="00B53E6C" w:rsidRDefault="00B53E6C" w:rsidP="00B53E6C">
            <w:pPr>
              <w:spacing w:line="240" w:lineRule="auto"/>
              <w:ind w:firstLine="0"/>
              <w:jc w:val="center"/>
              <w:rPr>
                <w:sz w:val="18"/>
                <w:szCs w:val="18"/>
              </w:rPr>
            </w:pPr>
          </w:p>
        </w:tc>
        <w:tc>
          <w:tcPr>
            <w:tcW w:w="1070" w:type="dxa"/>
            <w:noWrap/>
            <w:vAlign w:val="center"/>
            <w:hideMark/>
          </w:tcPr>
          <w:p w14:paraId="3F5CB74B" w14:textId="77777777" w:rsidR="00B53E6C" w:rsidRPr="00B53E6C" w:rsidRDefault="00B53E6C" w:rsidP="00B53E6C">
            <w:pPr>
              <w:spacing w:line="240" w:lineRule="auto"/>
              <w:ind w:firstLine="0"/>
              <w:jc w:val="center"/>
              <w:rPr>
                <w:sz w:val="18"/>
                <w:szCs w:val="18"/>
              </w:rPr>
            </w:pPr>
          </w:p>
        </w:tc>
        <w:tc>
          <w:tcPr>
            <w:tcW w:w="1070" w:type="dxa"/>
            <w:noWrap/>
            <w:vAlign w:val="center"/>
            <w:hideMark/>
          </w:tcPr>
          <w:p w14:paraId="62F09A2D" w14:textId="4680735B" w:rsidR="00B53E6C" w:rsidRPr="00B53E6C" w:rsidRDefault="00B53E6C" w:rsidP="00B53E6C">
            <w:pPr>
              <w:spacing w:line="240" w:lineRule="auto"/>
              <w:ind w:firstLine="0"/>
              <w:jc w:val="center"/>
              <w:rPr>
                <w:sz w:val="18"/>
                <w:szCs w:val="18"/>
              </w:rPr>
            </w:pPr>
            <w:r w:rsidRPr="00B53E6C">
              <w:rPr>
                <w:sz w:val="18"/>
                <w:szCs w:val="18"/>
              </w:rPr>
              <w:t>(0.001)</w:t>
            </w:r>
          </w:p>
        </w:tc>
        <w:tc>
          <w:tcPr>
            <w:tcW w:w="1070" w:type="dxa"/>
            <w:noWrap/>
            <w:vAlign w:val="center"/>
            <w:hideMark/>
          </w:tcPr>
          <w:p w14:paraId="435799B2" w14:textId="5CF7F73F" w:rsidR="00B53E6C" w:rsidRPr="00B53E6C" w:rsidRDefault="00B53E6C" w:rsidP="00B53E6C">
            <w:pPr>
              <w:spacing w:line="240" w:lineRule="auto"/>
              <w:ind w:firstLine="0"/>
              <w:jc w:val="center"/>
              <w:rPr>
                <w:sz w:val="18"/>
                <w:szCs w:val="18"/>
              </w:rPr>
            </w:pPr>
            <w:r w:rsidRPr="00B53E6C">
              <w:rPr>
                <w:sz w:val="18"/>
                <w:szCs w:val="18"/>
              </w:rPr>
              <w:t>(0.001)</w:t>
            </w:r>
          </w:p>
        </w:tc>
        <w:tc>
          <w:tcPr>
            <w:tcW w:w="1070" w:type="dxa"/>
            <w:noWrap/>
            <w:vAlign w:val="center"/>
            <w:hideMark/>
          </w:tcPr>
          <w:p w14:paraId="12B02A58" w14:textId="2FD509EC" w:rsidR="00B53E6C" w:rsidRPr="00B53E6C" w:rsidRDefault="00B53E6C" w:rsidP="00B53E6C">
            <w:pPr>
              <w:spacing w:line="240" w:lineRule="auto"/>
              <w:ind w:firstLine="0"/>
              <w:jc w:val="center"/>
              <w:rPr>
                <w:sz w:val="18"/>
                <w:szCs w:val="18"/>
              </w:rPr>
            </w:pPr>
            <w:r w:rsidRPr="00B53E6C">
              <w:rPr>
                <w:sz w:val="18"/>
                <w:szCs w:val="18"/>
              </w:rPr>
              <w:t>(0.002)</w:t>
            </w:r>
          </w:p>
        </w:tc>
      </w:tr>
      <w:tr w:rsidR="00B53E6C" w:rsidRPr="00101A2A" w14:paraId="7EE2FBEC" w14:textId="77777777" w:rsidTr="00B61D56">
        <w:trPr>
          <w:trHeight w:val="280"/>
        </w:trPr>
        <w:tc>
          <w:tcPr>
            <w:tcW w:w="2552" w:type="dxa"/>
            <w:vMerge w:val="restart"/>
            <w:noWrap/>
            <w:vAlign w:val="center"/>
            <w:hideMark/>
          </w:tcPr>
          <w:p w14:paraId="24459F80" w14:textId="77777777" w:rsidR="00B53E6C" w:rsidRPr="00101A2A" w:rsidRDefault="00B53E6C" w:rsidP="00B53E6C">
            <w:pPr>
              <w:spacing w:line="240" w:lineRule="auto"/>
              <w:ind w:firstLine="0"/>
              <w:rPr>
                <w:b/>
                <w:bCs/>
                <w:sz w:val="18"/>
                <w:szCs w:val="18"/>
              </w:rPr>
            </w:pPr>
            <w:r w:rsidRPr="00101A2A">
              <w:rPr>
                <w:b/>
                <w:bCs/>
                <w:sz w:val="18"/>
                <w:szCs w:val="18"/>
              </w:rPr>
              <w:t>Log of real estate prices (t0)</w:t>
            </w:r>
          </w:p>
        </w:tc>
        <w:tc>
          <w:tcPr>
            <w:tcW w:w="1070" w:type="dxa"/>
            <w:noWrap/>
            <w:vAlign w:val="center"/>
            <w:hideMark/>
          </w:tcPr>
          <w:p w14:paraId="1E04C80B" w14:textId="307D87CB" w:rsidR="00B53E6C" w:rsidRPr="00B53E6C" w:rsidRDefault="00B53E6C" w:rsidP="00B53E6C">
            <w:pPr>
              <w:spacing w:line="240" w:lineRule="auto"/>
              <w:ind w:firstLine="0"/>
              <w:jc w:val="center"/>
              <w:rPr>
                <w:sz w:val="18"/>
                <w:szCs w:val="18"/>
              </w:rPr>
            </w:pPr>
            <w:r w:rsidRPr="00B53E6C">
              <w:rPr>
                <w:sz w:val="18"/>
                <w:szCs w:val="18"/>
              </w:rPr>
              <w:t>0.979***</w:t>
            </w:r>
          </w:p>
        </w:tc>
        <w:tc>
          <w:tcPr>
            <w:tcW w:w="1070" w:type="dxa"/>
            <w:noWrap/>
            <w:vAlign w:val="center"/>
            <w:hideMark/>
          </w:tcPr>
          <w:p w14:paraId="387B1FF8" w14:textId="59FAEE36" w:rsidR="00B53E6C" w:rsidRPr="00B53E6C" w:rsidRDefault="00B53E6C" w:rsidP="00B53E6C">
            <w:pPr>
              <w:spacing w:line="240" w:lineRule="auto"/>
              <w:ind w:firstLine="0"/>
              <w:jc w:val="center"/>
              <w:rPr>
                <w:sz w:val="18"/>
                <w:szCs w:val="18"/>
              </w:rPr>
            </w:pPr>
            <w:r w:rsidRPr="00B53E6C">
              <w:rPr>
                <w:sz w:val="18"/>
                <w:szCs w:val="18"/>
              </w:rPr>
              <w:t>0.978***</w:t>
            </w:r>
          </w:p>
        </w:tc>
        <w:tc>
          <w:tcPr>
            <w:tcW w:w="1070" w:type="dxa"/>
            <w:vAlign w:val="center"/>
          </w:tcPr>
          <w:p w14:paraId="66863BFE" w14:textId="0A73C010" w:rsidR="00B53E6C" w:rsidRPr="00B53E6C" w:rsidRDefault="00B53E6C" w:rsidP="00B53E6C">
            <w:pPr>
              <w:spacing w:line="240" w:lineRule="auto"/>
              <w:ind w:firstLine="0"/>
              <w:jc w:val="center"/>
              <w:rPr>
                <w:sz w:val="18"/>
                <w:szCs w:val="18"/>
              </w:rPr>
            </w:pPr>
            <w:r w:rsidRPr="00B53E6C">
              <w:rPr>
                <w:sz w:val="18"/>
                <w:szCs w:val="18"/>
              </w:rPr>
              <w:t>0.978***</w:t>
            </w:r>
          </w:p>
        </w:tc>
        <w:tc>
          <w:tcPr>
            <w:tcW w:w="1070" w:type="dxa"/>
            <w:noWrap/>
            <w:vAlign w:val="center"/>
            <w:hideMark/>
          </w:tcPr>
          <w:p w14:paraId="46B86361" w14:textId="17D49315" w:rsidR="00B53E6C" w:rsidRPr="00B53E6C" w:rsidRDefault="00B53E6C" w:rsidP="00B53E6C">
            <w:pPr>
              <w:spacing w:line="240" w:lineRule="auto"/>
              <w:ind w:firstLine="0"/>
              <w:jc w:val="center"/>
              <w:rPr>
                <w:sz w:val="18"/>
                <w:szCs w:val="18"/>
              </w:rPr>
            </w:pPr>
            <w:r w:rsidRPr="00B53E6C">
              <w:rPr>
                <w:sz w:val="18"/>
                <w:szCs w:val="18"/>
              </w:rPr>
              <w:t>0.972***</w:t>
            </w:r>
          </w:p>
        </w:tc>
        <w:tc>
          <w:tcPr>
            <w:tcW w:w="1070" w:type="dxa"/>
            <w:noWrap/>
            <w:vAlign w:val="center"/>
            <w:hideMark/>
          </w:tcPr>
          <w:p w14:paraId="2AC94D7E" w14:textId="1F1DAA79" w:rsidR="00B53E6C" w:rsidRPr="00B53E6C" w:rsidRDefault="00B53E6C" w:rsidP="00B53E6C">
            <w:pPr>
              <w:spacing w:line="240" w:lineRule="auto"/>
              <w:ind w:firstLine="0"/>
              <w:jc w:val="center"/>
              <w:rPr>
                <w:sz w:val="18"/>
                <w:szCs w:val="18"/>
              </w:rPr>
            </w:pPr>
            <w:r w:rsidRPr="00B53E6C">
              <w:rPr>
                <w:sz w:val="18"/>
                <w:szCs w:val="18"/>
              </w:rPr>
              <w:t>0.967***</w:t>
            </w:r>
          </w:p>
        </w:tc>
        <w:tc>
          <w:tcPr>
            <w:tcW w:w="1070" w:type="dxa"/>
            <w:noWrap/>
            <w:vAlign w:val="center"/>
            <w:hideMark/>
          </w:tcPr>
          <w:p w14:paraId="07AE98AB" w14:textId="34DDA1EF" w:rsidR="00B53E6C" w:rsidRPr="00B53E6C" w:rsidRDefault="00B53E6C" w:rsidP="00B53E6C">
            <w:pPr>
              <w:spacing w:line="240" w:lineRule="auto"/>
              <w:ind w:firstLine="0"/>
              <w:jc w:val="center"/>
              <w:rPr>
                <w:sz w:val="18"/>
                <w:szCs w:val="18"/>
              </w:rPr>
            </w:pPr>
            <w:r w:rsidRPr="00B53E6C">
              <w:rPr>
                <w:sz w:val="18"/>
                <w:szCs w:val="18"/>
              </w:rPr>
              <w:t>0.967***</w:t>
            </w:r>
          </w:p>
        </w:tc>
        <w:tc>
          <w:tcPr>
            <w:tcW w:w="1070" w:type="dxa"/>
            <w:noWrap/>
            <w:vAlign w:val="center"/>
            <w:hideMark/>
          </w:tcPr>
          <w:p w14:paraId="50238CF2" w14:textId="76BC8D3F" w:rsidR="00B53E6C" w:rsidRPr="00B53E6C" w:rsidRDefault="00B53E6C" w:rsidP="00B53E6C">
            <w:pPr>
              <w:spacing w:line="240" w:lineRule="auto"/>
              <w:ind w:firstLine="0"/>
              <w:jc w:val="center"/>
              <w:rPr>
                <w:sz w:val="18"/>
                <w:szCs w:val="18"/>
              </w:rPr>
            </w:pPr>
            <w:r w:rsidRPr="00B53E6C">
              <w:rPr>
                <w:sz w:val="18"/>
                <w:szCs w:val="18"/>
              </w:rPr>
              <w:t>0.977***</w:t>
            </w:r>
          </w:p>
        </w:tc>
      </w:tr>
      <w:tr w:rsidR="00B53E6C" w:rsidRPr="00101A2A" w14:paraId="35842EE7" w14:textId="77777777" w:rsidTr="00B61D56">
        <w:trPr>
          <w:trHeight w:val="280"/>
        </w:trPr>
        <w:tc>
          <w:tcPr>
            <w:tcW w:w="2552" w:type="dxa"/>
            <w:vMerge/>
            <w:noWrap/>
            <w:vAlign w:val="center"/>
            <w:hideMark/>
          </w:tcPr>
          <w:p w14:paraId="64E78F08" w14:textId="77777777" w:rsidR="00B53E6C" w:rsidRPr="00101A2A" w:rsidRDefault="00B53E6C" w:rsidP="00B53E6C">
            <w:pPr>
              <w:spacing w:line="240" w:lineRule="auto"/>
              <w:ind w:firstLine="0"/>
              <w:rPr>
                <w:b/>
                <w:bCs/>
                <w:sz w:val="18"/>
                <w:szCs w:val="18"/>
              </w:rPr>
            </w:pPr>
          </w:p>
        </w:tc>
        <w:tc>
          <w:tcPr>
            <w:tcW w:w="1070" w:type="dxa"/>
            <w:noWrap/>
            <w:vAlign w:val="center"/>
            <w:hideMark/>
          </w:tcPr>
          <w:p w14:paraId="22672151" w14:textId="64751051" w:rsidR="00B53E6C" w:rsidRPr="00B53E6C" w:rsidRDefault="00B53E6C" w:rsidP="00B53E6C">
            <w:pPr>
              <w:spacing w:line="240" w:lineRule="auto"/>
              <w:ind w:firstLine="0"/>
              <w:jc w:val="center"/>
              <w:rPr>
                <w:sz w:val="18"/>
                <w:szCs w:val="18"/>
              </w:rPr>
            </w:pPr>
            <w:r w:rsidRPr="00B53E6C">
              <w:rPr>
                <w:sz w:val="18"/>
                <w:szCs w:val="18"/>
              </w:rPr>
              <w:t>(0.002)</w:t>
            </w:r>
          </w:p>
        </w:tc>
        <w:tc>
          <w:tcPr>
            <w:tcW w:w="1070" w:type="dxa"/>
            <w:noWrap/>
            <w:vAlign w:val="center"/>
            <w:hideMark/>
          </w:tcPr>
          <w:p w14:paraId="6975DA1E" w14:textId="661C13BE" w:rsidR="00B53E6C" w:rsidRPr="00B53E6C" w:rsidRDefault="00B53E6C" w:rsidP="00B53E6C">
            <w:pPr>
              <w:spacing w:line="240" w:lineRule="auto"/>
              <w:ind w:firstLine="0"/>
              <w:jc w:val="center"/>
              <w:rPr>
                <w:sz w:val="18"/>
                <w:szCs w:val="18"/>
              </w:rPr>
            </w:pPr>
            <w:r w:rsidRPr="00B53E6C">
              <w:rPr>
                <w:sz w:val="18"/>
                <w:szCs w:val="18"/>
              </w:rPr>
              <w:t>(0.002)</w:t>
            </w:r>
          </w:p>
        </w:tc>
        <w:tc>
          <w:tcPr>
            <w:tcW w:w="1070" w:type="dxa"/>
            <w:vAlign w:val="center"/>
          </w:tcPr>
          <w:p w14:paraId="693DABDB" w14:textId="322EB9C3" w:rsidR="00B53E6C" w:rsidRPr="00B53E6C" w:rsidRDefault="00B53E6C" w:rsidP="00B53E6C">
            <w:pPr>
              <w:spacing w:line="240" w:lineRule="auto"/>
              <w:ind w:firstLine="0"/>
              <w:jc w:val="center"/>
              <w:rPr>
                <w:sz w:val="18"/>
                <w:szCs w:val="18"/>
              </w:rPr>
            </w:pPr>
            <w:r w:rsidRPr="00B53E6C">
              <w:rPr>
                <w:sz w:val="18"/>
                <w:szCs w:val="18"/>
              </w:rPr>
              <w:t>(0.002)</w:t>
            </w:r>
          </w:p>
        </w:tc>
        <w:tc>
          <w:tcPr>
            <w:tcW w:w="1070" w:type="dxa"/>
            <w:noWrap/>
            <w:vAlign w:val="center"/>
            <w:hideMark/>
          </w:tcPr>
          <w:p w14:paraId="7DF6CD2B" w14:textId="2500A8A4" w:rsidR="00B53E6C" w:rsidRPr="00B53E6C" w:rsidRDefault="00B53E6C" w:rsidP="00B53E6C">
            <w:pPr>
              <w:spacing w:line="240" w:lineRule="auto"/>
              <w:ind w:firstLine="0"/>
              <w:jc w:val="center"/>
              <w:rPr>
                <w:sz w:val="18"/>
                <w:szCs w:val="18"/>
              </w:rPr>
            </w:pPr>
            <w:r w:rsidRPr="00B53E6C">
              <w:rPr>
                <w:sz w:val="18"/>
                <w:szCs w:val="18"/>
              </w:rPr>
              <w:t>(0.003)</w:t>
            </w:r>
          </w:p>
        </w:tc>
        <w:tc>
          <w:tcPr>
            <w:tcW w:w="1070" w:type="dxa"/>
            <w:noWrap/>
            <w:vAlign w:val="center"/>
            <w:hideMark/>
          </w:tcPr>
          <w:p w14:paraId="0029D7F2" w14:textId="67471D5A" w:rsidR="00B53E6C" w:rsidRPr="00B53E6C" w:rsidRDefault="00B53E6C" w:rsidP="00B53E6C">
            <w:pPr>
              <w:spacing w:line="240" w:lineRule="auto"/>
              <w:ind w:firstLine="0"/>
              <w:jc w:val="center"/>
              <w:rPr>
                <w:sz w:val="18"/>
                <w:szCs w:val="18"/>
              </w:rPr>
            </w:pPr>
            <w:r w:rsidRPr="00B53E6C">
              <w:rPr>
                <w:sz w:val="18"/>
                <w:szCs w:val="18"/>
              </w:rPr>
              <w:t>(0.003)</w:t>
            </w:r>
          </w:p>
        </w:tc>
        <w:tc>
          <w:tcPr>
            <w:tcW w:w="1070" w:type="dxa"/>
            <w:noWrap/>
            <w:vAlign w:val="center"/>
            <w:hideMark/>
          </w:tcPr>
          <w:p w14:paraId="604E12FD" w14:textId="1989BBDB" w:rsidR="00B53E6C" w:rsidRPr="00B53E6C" w:rsidRDefault="00B53E6C" w:rsidP="00B53E6C">
            <w:pPr>
              <w:spacing w:line="240" w:lineRule="auto"/>
              <w:ind w:firstLine="0"/>
              <w:jc w:val="center"/>
              <w:rPr>
                <w:sz w:val="18"/>
                <w:szCs w:val="18"/>
              </w:rPr>
            </w:pPr>
            <w:r w:rsidRPr="00B53E6C">
              <w:rPr>
                <w:sz w:val="18"/>
                <w:szCs w:val="18"/>
              </w:rPr>
              <w:t>(0.003)</w:t>
            </w:r>
          </w:p>
        </w:tc>
        <w:tc>
          <w:tcPr>
            <w:tcW w:w="1070" w:type="dxa"/>
            <w:noWrap/>
            <w:vAlign w:val="center"/>
            <w:hideMark/>
          </w:tcPr>
          <w:p w14:paraId="2E3B56F8" w14:textId="7D0F945F" w:rsidR="00B53E6C" w:rsidRPr="00B53E6C" w:rsidRDefault="00B53E6C" w:rsidP="00B53E6C">
            <w:pPr>
              <w:spacing w:line="240" w:lineRule="auto"/>
              <w:ind w:firstLine="0"/>
              <w:jc w:val="center"/>
              <w:rPr>
                <w:sz w:val="18"/>
                <w:szCs w:val="18"/>
              </w:rPr>
            </w:pPr>
            <w:r w:rsidRPr="00B53E6C">
              <w:rPr>
                <w:sz w:val="18"/>
                <w:szCs w:val="18"/>
              </w:rPr>
              <w:t>(0.002)</w:t>
            </w:r>
          </w:p>
        </w:tc>
      </w:tr>
      <w:tr w:rsidR="00B53E6C" w:rsidRPr="00101A2A" w14:paraId="59B5EACD" w14:textId="77777777" w:rsidTr="00B61D56">
        <w:trPr>
          <w:trHeight w:val="280"/>
        </w:trPr>
        <w:tc>
          <w:tcPr>
            <w:tcW w:w="2552" w:type="dxa"/>
            <w:vMerge w:val="restart"/>
            <w:noWrap/>
            <w:vAlign w:val="center"/>
            <w:hideMark/>
          </w:tcPr>
          <w:p w14:paraId="2B082059" w14:textId="77777777" w:rsidR="00B53E6C" w:rsidRPr="00101A2A" w:rsidRDefault="00B53E6C" w:rsidP="00B53E6C">
            <w:pPr>
              <w:spacing w:line="240" w:lineRule="auto"/>
              <w:ind w:firstLine="0"/>
              <w:rPr>
                <w:b/>
                <w:bCs/>
                <w:sz w:val="18"/>
                <w:szCs w:val="18"/>
              </w:rPr>
            </w:pPr>
            <w:r w:rsidRPr="00101A2A">
              <w:rPr>
                <w:b/>
                <w:bCs/>
                <w:sz w:val="18"/>
                <w:szCs w:val="18"/>
              </w:rPr>
              <w:t>No. of not spanning actors</w:t>
            </w:r>
          </w:p>
        </w:tc>
        <w:tc>
          <w:tcPr>
            <w:tcW w:w="1070" w:type="dxa"/>
            <w:noWrap/>
            <w:vAlign w:val="center"/>
            <w:hideMark/>
          </w:tcPr>
          <w:p w14:paraId="71CDB44C" w14:textId="19945F56"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7B8AA9C3" w14:textId="44336D28"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vAlign w:val="center"/>
          </w:tcPr>
          <w:p w14:paraId="119F9C3F" w14:textId="14B1D19E"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3339E0D9" w14:textId="53C8D976"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4E73B501" w14:textId="746B0507"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47F3CED7" w14:textId="2998C796"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6F52E206" w14:textId="1E7D9D23" w:rsidR="00B53E6C" w:rsidRPr="00B53E6C" w:rsidRDefault="00B53E6C" w:rsidP="00B53E6C">
            <w:pPr>
              <w:spacing w:line="240" w:lineRule="auto"/>
              <w:ind w:firstLine="0"/>
              <w:jc w:val="center"/>
              <w:rPr>
                <w:sz w:val="18"/>
                <w:szCs w:val="18"/>
              </w:rPr>
            </w:pPr>
            <w:r w:rsidRPr="00B53E6C">
              <w:rPr>
                <w:sz w:val="18"/>
                <w:szCs w:val="18"/>
              </w:rPr>
              <w:t>0.000***</w:t>
            </w:r>
          </w:p>
        </w:tc>
      </w:tr>
      <w:tr w:rsidR="00B53E6C" w:rsidRPr="00101A2A" w14:paraId="6D067146" w14:textId="77777777" w:rsidTr="00B61D56">
        <w:trPr>
          <w:trHeight w:val="280"/>
        </w:trPr>
        <w:tc>
          <w:tcPr>
            <w:tcW w:w="2552" w:type="dxa"/>
            <w:vMerge/>
            <w:noWrap/>
            <w:vAlign w:val="center"/>
            <w:hideMark/>
          </w:tcPr>
          <w:p w14:paraId="32FDA698" w14:textId="77777777" w:rsidR="00B53E6C" w:rsidRPr="00101A2A" w:rsidRDefault="00B53E6C" w:rsidP="00B53E6C">
            <w:pPr>
              <w:spacing w:line="240" w:lineRule="auto"/>
              <w:ind w:firstLine="0"/>
              <w:rPr>
                <w:b/>
                <w:bCs/>
                <w:sz w:val="18"/>
                <w:szCs w:val="18"/>
              </w:rPr>
            </w:pPr>
          </w:p>
        </w:tc>
        <w:tc>
          <w:tcPr>
            <w:tcW w:w="1070" w:type="dxa"/>
            <w:noWrap/>
            <w:vAlign w:val="center"/>
            <w:hideMark/>
          </w:tcPr>
          <w:p w14:paraId="47ECF32E" w14:textId="6C252BED"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6839FD02" w14:textId="1BC2CF3A"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vAlign w:val="center"/>
          </w:tcPr>
          <w:p w14:paraId="13AC12A4" w14:textId="32B6D74B"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4B53DA0B" w14:textId="3D0E6CF8"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6AE0C83D" w14:textId="0F5E8DB8"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4C6EA9BF" w14:textId="07BEA415"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4C72D948" w14:textId="7A38B190" w:rsidR="00B53E6C" w:rsidRPr="00B53E6C" w:rsidRDefault="00B53E6C" w:rsidP="00B53E6C">
            <w:pPr>
              <w:spacing w:line="240" w:lineRule="auto"/>
              <w:ind w:firstLine="0"/>
              <w:jc w:val="center"/>
              <w:rPr>
                <w:sz w:val="18"/>
                <w:szCs w:val="18"/>
              </w:rPr>
            </w:pPr>
            <w:r w:rsidRPr="00B53E6C">
              <w:rPr>
                <w:sz w:val="18"/>
                <w:szCs w:val="18"/>
              </w:rPr>
              <w:t>(0.000)</w:t>
            </w:r>
          </w:p>
        </w:tc>
      </w:tr>
      <w:tr w:rsidR="00B53E6C" w:rsidRPr="00101A2A" w14:paraId="473AA309" w14:textId="77777777" w:rsidTr="00B61D56">
        <w:trPr>
          <w:trHeight w:val="280"/>
        </w:trPr>
        <w:tc>
          <w:tcPr>
            <w:tcW w:w="2552" w:type="dxa"/>
            <w:vMerge w:val="restart"/>
            <w:noWrap/>
            <w:vAlign w:val="center"/>
            <w:hideMark/>
          </w:tcPr>
          <w:p w14:paraId="2B348DA1" w14:textId="77777777" w:rsidR="00B53E6C" w:rsidRPr="00101A2A" w:rsidRDefault="00B53E6C" w:rsidP="00B53E6C">
            <w:pPr>
              <w:spacing w:line="240" w:lineRule="auto"/>
              <w:ind w:firstLine="0"/>
              <w:rPr>
                <w:b/>
                <w:bCs/>
                <w:sz w:val="18"/>
                <w:szCs w:val="18"/>
              </w:rPr>
            </w:pPr>
            <w:r w:rsidRPr="00101A2A">
              <w:rPr>
                <w:b/>
                <w:bCs/>
                <w:sz w:val="18"/>
                <w:szCs w:val="18"/>
              </w:rPr>
              <w:t>Change in no. of new building permits</w:t>
            </w:r>
          </w:p>
        </w:tc>
        <w:tc>
          <w:tcPr>
            <w:tcW w:w="1070" w:type="dxa"/>
            <w:noWrap/>
            <w:vAlign w:val="center"/>
            <w:hideMark/>
          </w:tcPr>
          <w:p w14:paraId="1A2A356E" w14:textId="784E5CE8"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60506B91" w14:textId="02270349"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vAlign w:val="center"/>
          </w:tcPr>
          <w:p w14:paraId="083B72C5" w14:textId="308B9209"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6BAEA1EA" w14:textId="1F849FDB"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2586909C" w14:textId="0A571F37"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36667B3A" w14:textId="1EE6FCE3"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14922FA6" w14:textId="393CCBEA" w:rsidR="00B53E6C" w:rsidRPr="00B53E6C" w:rsidRDefault="00B53E6C" w:rsidP="00B53E6C">
            <w:pPr>
              <w:spacing w:line="240" w:lineRule="auto"/>
              <w:ind w:firstLine="0"/>
              <w:jc w:val="center"/>
              <w:rPr>
                <w:sz w:val="18"/>
                <w:szCs w:val="18"/>
              </w:rPr>
            </w:pPr>
            <w:r w:rsidRPr="00B53E6C">
              <w:rPr>
                <w:sz w:val="18"/>
                <w:szCs w:val="18"/>
              </w:rPr>
              <w:t>-0.000</w:t>
            </w:r>
          </w:p>
        </w:tc>
      </w:tr>
      <w:tr w:rsidR="00B53E6C" w:rsidRPr="00101A2A" w14:paraId="10729491" w14:textId="77777777" w:rsidTr="00B61D56">
        <w:trPr>
          <w:trHeight w:val="280"/>
        </w:trPr>
        <w:tc>
          <w:tcPr>
            <w:tcW w:w="2552" w:type="dxa"/>
            <w:vMerge/>
            <w:noWrap/>
            <w:vAlign w:val="center"/>
            <w:hideMark/>
          </w:tcPr>
          <w:p w14:paraId="2F8D5ECC" w14:textId="77777777" w:rsidR="00B53E6C" w:rsidRPr="00101A2A" w:rsidRDefault="00B53E6C" w:rsidP="00B53E6C">
            <w:pPr>
              <w:spacing w:line="240" w:lineRule="auto"/>
              <w:ind w:firstLine="0"/>
              <w:rPr>
                <w:b/>
                <w:bCs/>
                <w:sz w:val="18"/>
                <w:szCs w:val="18"/>
              </w:rPr>
            </w:pPr>
          </w:p>
        </w:tc>
        <w:tc>
          <w:tcPr>
            <w:tcW w:w="1070" w:type="dxa"/>
            <w:noWrap/>
            <w:vAlign w:val="center"/>
            <w:hideMark/>
          </w:tcPr>
          <w:p w14:paraId="5D7A795F" w14:textId="5E480E62"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3E8F135E" w14:textId="393A573C"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vAlign w:val="center"/>
          </w:tcPr>
          <w:p w14:paraId="11E6DF88" w14:textId="1A3B6690"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611A2AD6" w14:textId="1A6A7470"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43EA4A0E" w14:textId="364D7E39"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0E27CDA9" w14:textId="79F915DB"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28098651" w14:textId="181EC019" w:rsidR="00B53E6C" w:rsidRPr="00B53E6C" w:rsidRDefault="00B53E6C" w:rsidP="00B53E6C">
            <w:pPr>
              <w:spacing w:line="240" w:lineRule="auto"/>
              <w:ind w:firstLine="0"/>
              <w:jc w:val="center"/>
              <w:rPr>
                <w:sz w:val="18"/>
                <w:szCs w:val="18"/>
              </w:rPr>
            </w:pPr>
            <w:r w:rsidRPr="00B53E6C">
              <w:rPr>
                <w:sz w:val="18"/>
                <w:szCs w:val="18"/>
              </w:rPr>
              <w:t>(0.000)</w:t>
            </w:r>
          </w:p>
        </w:tc>
      </w:tr>
      <w:tr w:rsidR="00B53E6C" w:rsidRPr="00101A2A" w14:paraId="15F793BD" w14:textId="77777777" w:rsidTr="00B61D56">
        <w:trPr>
          <w:trHeight w:val="280"/>
        </w:trPr>
        <w:tc>
          <w:tcPr>
            <w:tcW w:w="2552" w:type="dxa"/>
            <w:vMerge w:val="restart"/>
            <w:noWrap/>
            <w:vAlign w:val="center"/>
            <w:hideMark/>
          </w:tcPr>
          <w:p w14:paraId="16BA2890" w14:textId="77777777" w:rsidR="00B53E6C" w:rsidRPr="00101A2A" w:rsidRDefault="00B53E6C" w:rsidP="00B53E6C">
            <w:pPr>
              <w:spacing w:line="240" w:lineRule="auto"/>
              <w:ind w:firstLine="0"/>
              <w:rPr>
                <w:b/>
                <w:bCs/>
                <w:sz w:val="18"/>
                <w:szCs w:val="18"/>
              </w:rPr>
            </w:pPr>
            <w:r w:rsidRPr="00101A2A">
              <w:rPr>
                <w:b/>
                <w:bCs/>
                <w:sz w:val="18"/>
                <w:szCs w:val="18"/>
              </w:rPr>
              <w:t>Change in no. of houses sold</w:t>
            </w:r>
          </w:p>
        </w:tc>
        <w:tc>
          <w:tcPr>
            <w:tcW w:w="1070" w:type="dxa"/>
            <w:noWrap/>
            <w:vAlign w:val="center"/>
            <w:hideMark/>
          </w:tcPr>
          <w:p w14:paraId="7EB2E464" w14:textId="46033D14"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2FF0C67E" w14:textId="272433EF"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vAlign w:val="center"/>
          </w:tcPr>
          <w:p w14:paraId="42FB947C" w14:textId="34F57185"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487C222D" w14:textId="6AD13C95"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5D37FCFA" w14:textId="4DC5139D"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47F0DA7C" w14:textId="18CCF508"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7DFAB4D0" w14:textId="18A2B807" w:rsidR="00B53E6C" w:rsidRPr="00B53E6C" w:rsidRDefault="00B53E6C" w:rsidP="00B53E6C">
            <w:pPr>
              <w:spacing w:line="240" w:lineRule="auto"/>
              <w:ind w:firstLine="0"/>
              <w:jc w:val="center"/>
              <w:rPr>
                <w:sz w:val="18"/>
                <w:szCs w:val="18"/>
              </w:rPr>
            </w:pPr>
            <w:r w:rsidRPr="00B53E6C">
              <w:rPr>
                <w:sz w:val="18"/>
                <w:szCs w:val="18"/>
              </w:rPr>
              <w:t>0.000</w:t>
            </w:r>
          </w:p>
        </w:tc>
      </w:tr>
      <w:tr w:rsidR="00B53E6C" w:rsidRPr="00101A2A" w14:paraId="52D6105B" w14:textId="77777777" w:rsidTr="00B61D56">
        <w:trPr>
          <w:trHeight w:val="280"/>
        </w:trPr>
        <w:tc>
          <w:tcPr>
            <w:tcW w:w="2552" w:type="dxa"/>
            <w:vMerge/>
            <w:noWrap/>
            <w:vAlign w:val="center"/>
            <w:hideMark/>
          </w:tcPr>
          <w:p w14:paraId="55EB7D05" w14:textId="77777777" w:rsidR="00B53E6C" w:rsidRPr="00101A2A" w:rsidRDefault="00B53E6C" w:rsidP="00B53E6C">
            <w:pPr>
              <w:spacing w:line="240" w:lineRule="auto"/>
              <w:ind w:firstLine="0"/>
              <w:rPr>
                <w:b/>
                <w:bCs/>
                <w:sz w:val="18"/>
                <w:szCs w:val="18"/>
              </w:rPr>
            </w:pPr>
          </w:p>
        </w:tc>
        <w:tc>
          <w:tcPr>
            <w:tcW w:w="1070" w:type="dxa"/>
            <w:noWrap/>
            <w:vAlign w:val="center"/>
            <w:hideMark/>
          </w:tcPr>
          <w:p w14:paraId="46280DF8" w14:textId="3E8AE26F"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09ACC52E" w14:textId="147BB8F0"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vAlign w:val="center"/>
          </w:tcPr>
          <w:p w14:paraId="44152045" w14:textId="68874B60"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7983D77F" w14:textId="6DE62F97"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51EF1A92" w14:textId="0B7FBEC5"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5CDB418F" w14:textId="571CB2C7"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hideMark/>
          </w:tcPr>
          <w:p w14:paraId="626EE1B7" w14:textId="348D2B2F" w:rsidR="00B53E6C" w:rsidRPr="00B53E6C" w:rsidRDefault="00B53E6C" w:rsidP="00B53E6C">
            <w:pPr>
              <w:spacing w:line="240" w:lineRule="auto"/>
              <w:ind w:firstLine="0"/>
              <w:jc w:val="center"/>
              <w:rPr>
                <w:sz w:val="18"/>
                <w:szCs w:val="18"/>
              </w:rPr>
            </w:pPr>
            <w:r w:rsidRPr="00B53E6C">
              <w:rPr>
                <w:sz w:val="18"/>
                <w:szCs w:val="18"/>
              </w:rPr>
              <w:t>(0.000)</w:t>
            </w:r>
          </w:p>
        </w:tc>
      </w:tr>
      <w:tr w:rsidR="00B53E6C" w:rsidRPr="00101A2A" w14:paraId="11662CEA" w14:textId="77777777" w:rsidTr="00B61D56">
        <w:trPr>
          <w:trHeight w:val="280"/>
        </w:trPr>
        <w:tc>
          <w:tcPr>
            <w:tcW w:w="2552" w:type="dxa"/>
            <w:vMerge w:val="restart"/>
            <w:noWrap/>
            <w:vAlign w:val="center"/>
          </w:tcPr>
          <w:p w14:paraId="00F7E85E" w14:textId="3349E6A5" w:rsidR="00B53E6C" w:rsidRPr="00101A2A" w:rsidRDefault="00B53E6C" w:rsidP="00B53E6C">
            <w:pPr>
              <w:spacing w:line="240" w:lineRule="auto"/>
              <w:ind w:firstLine="0"/>
              <w:rPr>
                <w:b/>
                <w:bCs/>
                <w:sz w:val="18"/>
                <w:szCs w:val="18"/>
              </w:rPr>
            </w:pPr>
            <w:r w:rsidRPr="00101A2A">
              <w:rPr>
                <w:b/>
                <w:bCs/>
                <w:sz w:val="18"/>
                <w:szCs w:val="18"/>
              </w:rPr>
              <w:t>No. of reviews</w:t>
            </w:r>
          </w:p>
        </w:tc>
        <w:tc>
          <w:tcPr>
            <w:tcW w:w="1070" w:type="dxa"/>
            <w:noWrap/>
            <w:vAlign w:val="center"/>
          </w:tcPr>
          <w:p w14:paraId="419A1BBD" w14:textId="76086E7B"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tcPr>
          <w:p w14:paraId="50270757" w14:textId="1754EF21"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vAlign w:val="center"/>
          </w:tcPr>
          <w:p w14:paraId="04516635" w14:textId="679B0E38"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tcPr>
          <w:p w14:paraId="41CAAB50" w14:textId="5DD3F814"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tcPr>
          <w:p w14:paraId="171AEE69" w14:textId="001A961C"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tcPr>
          <w:p w14:paraId="7F38FD85" w14:textId="0EEAEB41"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tcPr>
          <w:p w14:paraId="4862CD2E" w14:textId="40F40750" w:rsidR="00B53E6C" w:rsidRPr="00B53E6C" w:rsidRDefault="00B53E6C" w:rsidP="00B53E6C">
            <w:pPr>
              <w:spacing w:line="240" w:lineRule="auto"/>
              <w:ind w:firstLine="0"/>
              <w:jc w:val="center"/>
              <w:rPr>
                <w:sz w:val="18"/>
                <w:szCs w:val="18"/>
              </w:rPr>
            </w:pPr>
            <w:r w:rsidRPr="00B53E6C">
              <w:rPr>
                <w:sz w:val="18"/>
                <w:szCs w:val="18"/>
              </w:rPr>
              <w:t>0.000</w:t>
            </w:r>
          </w:p>
        </w:tc>
      </w:tr>
      <w:tr w:rsidR="00B53E6C" w:rsidRPr="00101A2A" w14:paraId="53B5E989" w14:textId="77777777" w:rsidTr="00B61D56">
        <w:trPr>
          <w:trHeight w:val="280"/>
        </w:trPr>
        <w:tc>
          <w:tcPr>
            <w:tcW w:w="2552" w:type="dxa"/>
            <w:vMerge/>
            <w:noWrap/>
            <w:vAlign w:val="center"/>
          </w:tcPr>
          <w:p w14:paraId="1C0C3589" w14:textId="77777777" w:rsidR="00B53E6C" w:rsidRPr="00101A2A" w:rsidRDefault="00B53E6C" w:rsidP="00B53E6C">
            <w:pPr>
              <w:spacing w:line="240" w:lineRule="auto"/>
              <w:ind w:firstLine="0"/>
              <w:rPr>
                <w:b/>
                <w:bCs/>
                <w:sz w:val="18"/>
                <w:szCs w:val="18"/>
              </w:rPr>
            </w:pPr>
          </w:p>
        </w:tc>
        <w:tc>
          <w:tcPr>
            <w:tcW w:w="1070" w:type="dxa"/>
            <w:noWrap/>
            <w:vAlign w:val="center"/>
          </w:tcPr>
          <w:p w14:paraId="1B6E8F94" w14:textId="0281A654"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tcPr>
          <w:p w14:paraId="7B86ED30" w14:textId="3FAE24A2"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vAlign w:val="center"/>
          </w:tcPr>
          <w:p w14:paraId="02465522" w14:textId="68F401FA"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tcPr>
          <w:p w14:paraId="5F3CB538" w14:textId="41E683D0"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tcPr>
          <w:p w14:paraId="37010435" w14:textId="2D9A20EF"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tcPr>
          <w:p w14:paraId="3D0B2E16" w14:textId="2C1234AC" w:rsidR="00B53E6C" w:rsidRPr="00B53E6C" w:rsidRDefault="00B53E6C" w:rsidP="00B53E6C">
            <w:pPr>
              <w:spacing w:line="240" w:lineRule="auto"/>
              <w:ind w:firstLine="0"/>
              <w:jc w:val="center"/>
              <w:rPr>
                <w:sz w:val="18"/>
                <w:szCs w:val="18"/>
              </w:rPr>
            </w:pPr>
            <w:r w:rsidRPr="00B53E6C">
              <w:rPr>
                <w:sz w:val="18"/>
                <w:szCs w:val="18"/>
              </w:rPr>
              <w:t>(0.000)</w:t>
            </w:r>
          </w:p>
        </w:tc>
        <w:tc>
          <w:tcPr>
            <w:tcW w:w="1070" w:type="dxa"/>
            <w:noWrap/>
            <w:vAlign w:val="center"/>
          </w:tcPr>
          <w:p w14:paraId="70F3CABF" w14:textId="0A95F592" w:rsidR="00B53E6C" w:rsidRPr="00B53E6C" w:rsidRDefault="00B53E6C" w:rsidP="00B53E6C">
            <w:pPr>
              <w:spacing w:line="240" w:lineRule="auto"/>
              <w:ind w:firstLine="0"/>
              <w:jc w:val="center"/>
              <w:rPr>
                <w:sz w:val="18"/>
                <w:szCs w:val="18"/>
              </w:rPr>
            </w:pPr>
            <w:r w:rsidRPr="00B53E6C">
              <w:rPr>
                <w:sz w:val="18"/>
                <w:szCs w:val="18"/>
              </w:rPr>
              <w:t>(0.000)</w:t>
            </w:r>
          </w:p>
        </w:tc>
      </w:tr>
      <w:tr w:rsidR="00B53E6C" w:rsidRPr="00101A2A" w14:paraId="5AE4E11C" w14:textId="77777777" w:rsidTr="00B61D56">
        <w:trPr>
          <w:trHeight w:val="280"/>
        </w:trPr>
        <w:tc>
          <w:tcPr>
            <w:tcW w:w="2552" w:type="dxa"/>
            <w:vMerge w:val="restart"/>
            <w:noWrap/>
            <w:vAlign w:val="center"/>
            <w:hideMark/>
          </w:tcPr>
          <w:p w14:paraId="793E5BF4" w14:textId="77777777" w:rsidR="00B53E6C" w:rsidRPr="00101A2A" w:rsidRDefault="00B53E6C" w:rsidP="00B53E6C">
            <w:pPr>
              <w:spacing w:line="240" w:lineRule="auto"/>
              <w:ind w:firstLine="0"/>
              <w:rPr>
                <w:b/>
                <w:bCs/>
                <w:sz w:val="18"/>
                <w:szCs w:val="18"/>
              </w:rPr>
            </w:pPr>
            <w:r w:rsidRPr="00101A2A">
              <w:rPr>
                <w:b/>
                <w:bCs/>
                <w:sz w:val="18"/>
                <w:szCs w:val="18"/>
              </w:rPr>
              <w:t>Population (ln)</w:t>
            </w:r>
          </w:p>
        </w:tc>
        <w:tc>
          <w:tcPr>
            <w:tcW w:w="1070" w:type="dxa"/>
            <w:noWrap/>
            <w:vAlign w:val="center"/>
            <w:hideMark/>
          </w:tcPr>
          <w:p w14:paraId="685AAB3B" w14:textId="67F949A0" w:rsidR="00B53E6C" w:rsidRPr="00B53E6C" w:rsidRDefault="00B53E6C" w:rsidP="00B53E6C">
            <w:pPr>
              <w:spacing w:line="240" w:lineRule="auto"/>
              <w:ind w:firstLine="0"/>
              <w:jc w:val="center"/>
              <w:rPr>
                <w:sz w:val="18"/>
                <w:szCs w:val="18"/>
              </w:rPr>
            </w:pPr>
            <w:r w:rsidRPr="00B53E6C">
              <w:rPr>
                <w:sz w:val="18"/>
                <w:szCs w:val="18"/>
              </w:rPr>
              <w:t>0.062***</w:t>
            </w:r>
          </w:p>
        </w:tc>
        <w:tc>
          <w:tcPr>
            <w:tcW w:w="1070" w:type="dxa"/>
            <w:noWrap/>
            <w:vAlign w:val="center"/>
            <w:hideMark/>
          </w:tcPr>
          <w:p w14:paraId="7967DF8E" w14:textId="1618EFA9" w:rsidR="00B53E6C" w:rsidRPr="00B53E6C" w:rsidRDefault="00B53E6C" w:rsidP="00B53E6C">
            <w:pPr>
              <w:spacing w:line="240" w:lineRule="auto"/>
              <w:ind w:firstLine="0"/>
              <w:jc w:val="center"/>
              <w:rPr>
                <w:sz w:val="18"/>
                <w:szCs w:val="18"/>
              </w:rPr>
            </w:pPr>
            <w:r w:rsidRPr="00B53E6C">
              <w:rPr>
                <w:sz w:val="18"/>
                <w:szCs w:val="18"/>
              </w:rPr>
              <w:t>0.058***</w:t>
            </w:r>
          </w:p>
        </w:tc>
        <w:tc>
          <w:tcPr>
            <w:tcW w:w="1070" w:type="dxa"/>
            <w:vAlign w:val="center"/>
          </w:tcPr>
          <w:p w14:paraId="20F844B9" w14:textId="3186FF10" w:rsidR="00B53E6C" w:rsidRPr="00B53E6C" w:rsidRDefault="00B53E6C" w:rsidP="00B53E6C">
            <w:pPr>
              <w:spacing w:line="240" w:lineRule="auto"/>
              <w:ind w:firstLine="0"/>
              <w:jc w:val="center"/>
              <w:rPr>
                <w:sz w:val="18"/>
                <w:szCs w:val="18"/>
              </w:rPr>
            </w:pPr>
            <w:r w:rsidRPr="00B53E6C">
              <w:rPr>
                <w:sz w:val="18"/>
                <w:szCs w:val="18"/>
              </w:rPr>
              <w:t>0.059***</w:t>
            </w:r>
          </w:p>
        </w:tc>
        <w:tc>
          <w:tcPr>
            <w:tcW w:w="1070" w:type="dxa"/>
            <w:noWrap/>
            <w:vAlign w:val="center"/>
            <w:hideMark/>
          </w:tcPr>
          <w:p w14:paraId="6F7123AD" w14:textId="7E87D227" w:rsidR="00B53E6C" w:rsidRPr="00B53E6C" w:rsidRDefault="00B53E6C" w:rsidP="00B53E6C">
            <w:pPr>
              <w:spacing w:line="240" w:lineRule="auto"/>
              <w:ind w:firstLine="0"/>
              <w:jc w:val="center"/>
              <w:rPr>
                <w:sz w:val="18"/>
                <w:szCs w:val="18"/>
              </w:rPr>
            </w:pPr>
            <w:r w:rsidRPr="00B53E6C">
              <w:rPr>
                <w:sz w:val="18"/>
                <w:szCs w:val="18"/>
              </w:rPr>
              <w:t>-0.082***</w:t>
            </w:r>
          </w:p>
        </w:tc>
        <w:tc>
          <w:tcPr>
            <w:tcW w:w="1070" w:type="dxa"/>
            <w:noWrap/>
            <w:vAlign w:val="center"/>
            <w:hideMark/>
          </w:tcPr>
          <w:p w14:paraId="6272A612" w14:textId="06530F0F" w:rsidR="00B53E6C" w:rsidRPr="00B53E6C" w:rsidRDefault="00B53E6C" w:rsidP="00B53E6C">
            <w:pPr>
              <w:spacing w:line="240" w:lineRule="auto"/>
              <w:ind w:firstLine="0"/>
              <w:jc w:val="center"/>
              <w:rPr>
                <w:sz w:val="18"/>
                <w:szCs w:val="18"/>
              </w:rPr>
            </w:pPr>
            <w:r w:rsidRPr="00B53E6C">
              <w:rPr>
                <w:sz w:val="18"/>
                <w:szCs w:val="18"/>
              </w:rPr>
              <w:t>-0.102***</w:t>
            </w:r>
          </w:p>
        </w:tc>
        <w:tc>
          <w:tcPr>
            <w:tcW w:w="1070" w:type="dxa"/>
            <w:noWrap/>
            <w:vAlign w:val="center"/>
            <w:hideMark/>
          </w:tcPr>
          <w:p w14:paraId="6359F50D" w14:textId="241B8C85" w:rsidR="00B53E6C" w:rsidRPr="00B53E6C" w:rsidRDefault="00B53E6C" w:rsidP="00B53E6C">
            <w:pPr>
              <w:spacing w:line="240" w:lineRule="auto"/>
              <w:ind w:firstLine="0"/>
              <w:jc w:val="center"/>
              <w:rPr>
                <w:sz w:val="18"/>
                <w:szCs w:val="18"/>
              </w:rPr>
            </w:pPr>
            <w:r w:rsidRPr="00B53E6C">
              <w:rPr>
                <w:sz w:val="18"/>
                <w:szCs w:val="18"/>
              </w:rPr>
              <w:t>-0.104***</w:t>
            </w:r>
          </w:p>
        </w:tc>
        <w:tc>
          <w:tcPr>
            <w:tcW w:w="1070" w:type="dxa"/>
            <w:noWrap/>
            <w:vAlign w:val="center"/>
            <w:hideMark/>
          </w:tcPr>
          <w:p w14:paraId="0D1ADEE0" w14:textId="72F3FA63" w:rsidR="00B53E6C" w:rsidRPr="00B53E6C" w:rsidRDefault="00B53E6C" w:rsidP="00B53E6C">
            <w:pPr>
              <w:spacing w:line="240" w:lineRule="auto"/>
              <w:ind w:firstLine="0"/>
              <w:jc w:val="center"/>
              <w:rPr>
                <w:sz w:val="18"/>
                <w:szCs w:val="18"/>
              </w:rPr>
            </w:pPr>
            <w:r w:rsidRPr="00B53E6C">
              <w:rPr>
                <w:sz w:val="18"/>
                <w:szCs w:val="18"/>
              </w:rPr>
              <w:t>0.007</w:t>
            </w:r>
          </w:p>
        </w:tc>
      </w:tr>
      <w:tr w:rsidR="00B53E6C" w:rsidRPr="00101A2A" w14:paraId="0A969B52" w14:textId="77777777" w:rsidTr="00B61D56">
        <w:trPr>
          <w:trHeight w:val="280"/>
        </w:trPr>
        <w:tc>
          <w:tcPr>
            <w:tcW w:w="2552" w:type="dxa"/>
            <w:vMerge/>
            <w:noWrap/>
            <w:vAlign w:val="center"/>
            <w:hideMark/>
          </w:tcPr>
          <w:p w14:paraId="199CCFAF" w14:textId="77777777" w:rsidR="00B53E6C" w:rsidRPr="00101A2A" w:rsidRDefault="00B53E6C" w:rsidP="00B53E6C">
            <w:pPr>
              <w:spacing w:line="240" w:lineRule="auto"/>
              <w:ind w:firstLine="0"/>
              <w:rPr>
                <w:b/>
                <w:bCs/>
                <w:sz w:val="18"/>
                <w:szCs w:val="18"/>
              </w:rPr>
            </w:pPr>
          </w:p>
        </w:tc>
        <w:tc>
          <w:tcPr>
            <w:tcW w:w="1070" w:type="dxa"/>
            <w:noWrap/>
            <w:vAlign w:val="center"/>
            <w:hideMark/>
          </w:tcPr>
          <w:p w14:paraId="2FD81E41" w14:textId="7D126B6B" w:rsidR="00B53E6C" w:rsidRPr="00B53E6C" w:rsidRDefault="00B53E6C" w:rsidP="00B53E6C">
            <w:pPr>
              <w:spacing w:line="240" w:lineRule="auto"/>
              <w:ind w:firstLine="0"/>
              <w:jc w:val="center"/>
              <w:rPr>
                <w:sz w:val="18"/>
                <w:szCs w:val="18"/>
              </w:rPr>
            </w:pPr>
            <w:r w:rsidRPr="00B53E6C">
              <w:rPr>
                <w:sz w:val="18"/>
                <w:szCs w:val="18"/>
              </w:rPr>
              <w:t>(0.007)</w:t>
            </w:r>
          </w:p>
        </w:tc>
        <w:tc>
          <w:tcPr>
            <w:tcW w:w="1070" w:type="dxa"/>
            <w:noWrap/>
            <w:vAlign w:val="center"/>
            <w:hideMark/>
          </w:tcPr>
          <w:p w14:paraId="110D6780" w14:textId="65F3CC3C" w:rsidR="00B53E6C" w:rsidRPr="00B53E6C" w:rsidRDefault="00B53E6C" w:rsidP="00B53E6C">
            <w:pPr>
              <w:spacing w:line="240" w:lineRule="auto"/>
              <w:ind w:firstLine="0"/>
              <w:jc w:val="center"/>
              <w:rPr>
                <w:sz w:val="18"/>
                <w:szCs w:val="18"/>
              </w:rPr>
            </w:pPr>
            <w:r w:rsidRPr="00B53E6C">
              <w:rPr>
                <w:sz w:val="18"/>
                <w:szCs w:val="18"/>
              </w:rPr>
              <w:t>(0.007)</w:t>
            </w:r>
          </w:p>
        </w:tc>
        <w:tc>
          <w:tcPr>
            <w:tcW w:w="1070" w:type="dxa"/>
            <w:vAlign w:val="center"/>
          </w:tcPr>
          <w:p w14:paraId="4A4862B4" w14:textId="722FF5E7" w:rsidR="00B53E6C" w:rsidRPr="00B53E6C" w:rsidRDefault="00B53E6C" w:rsidP="00B53E6C">
            <w:pPr>
              <w:spacing w:line="240" w:lineRule="auto"/>
              <w:ind w:firstLine="0"/>
              <w:jc w:val="center"/>
              <w:rPr>
                <w:sz w:val="18"/>
                <w:szCs w:val="18"/>
              </w:rPr>
            </w:pPr>
            <w:r w:rsidRPr="00B53E6C">
              <w:rPr>
                <w:sz w:val="18"/>
                <w:szCs w:val="18"/>
              </w:rPr>
              <w:t>(0.007)</w:t>
            </w:r>
          </w:p>
        </w:tc>
        <w:tc>
          <w:tcPr>
            <w:tcW w:w="1070" w:type="dxa"/>
            <w:noWrap/>
            <w:vAlign w:val="center"/>
            <w:hideMark/>
          </w:tcPr>
          <w:p w14:paraId="55FF7EFD" w14:textId="68209102" w:rsidR="00B53E6C" w:rsidRPr="00B53E6C" w:rsidRDefault="00B53E6C" w:rsidP="00B53E6C">
            <w:pPr>
              <w:spacing w:line="240" w:lineRule="auto"/>
              <w:ind w:firstLine="0"/>
              <w:jc w:val="center"/>
              <w:rPr>
                <w:sz w:val="18"/>
                <w:szCs w:val="18"/>
              </w:rPr>
            </w:pPr>
            <w:r w:rsidRPr="00B53E6C">
              <w:rPr>
                <w:sz w:val="18"/>
                <w:szCs w:val="18"/>
              </w:rPr>
              <w:t>(0.014)</w:t>
            </w:r>
          </w:p>
        </w:tc>
        <w:tc>
          <w:tcPr>
            <w:tcW w:w="1070" w:type="dxa"/>
            <w:noWrap/>
            <w:vAlign w:val="center"/>
            <w:hideMark/>
          </w:tcPr>
          <w:p w14:paraId="45B78375" w14:textId="617C2D32" w:rsidR="00B53E6C" w:rsidRPr="00B53E6C" w:rsidRDefault="00B53E6C" w:rsidP="00B53E6C">
            <w:pPr>
              <w:spacing w:line="240" w:lineRule="auto"/>
              <w:ind w:firstLine="0"/>
              <w:jc w:val="center"/>
              <w:rPr>
                <w:sz w:val="18"/>
                <w:szCs w:val="18"/>
              </w:rPr>
            </w:pPr>
            <w:r w:rsidRPr="00B53E6C">
              <w:rPr>
                <w:sz w:val="18"/>
                <w:szCs w:val="18"/>
              </w:rPr>
              <w:t>(0.014)</w:t>
            </w:r>
          </w:p>
        </w:tc>
        <w:tc>
          <w:tcPr>
            <w:tcW w:w="1070" w:type="dxa"/>
            <w:noWrap/>
            <w:vAlign w:val="center"/>
            <w:hideMark/>
          </w:tcPr>
          <w:p w14:paraId="2C3AE749" w14:textId="42F11140" w:rsidR="00B53E6C" w:rsidRPr="00B53E6C" w:rsidRDefault="00B53E6C" w:rsidP="00B53E6C">
            <w:pPr>
              <w:spacing w:line="240" w:lineRule="auto"/>
              <w:ind w:firstLine="0"/>
              <w:jc w:val="center"/>
              <w:rPr>
                <w:sz w:val="18"/>
                <w:szCs w:val="18"/>
              </w:rPr>
            </w:pPr>
            <w:r w:rsidRPr="00B53E6C">
              <w:rPr>
                <w:sz w:val="18"/>
                <w:szCs w:val="18"/>
              </w:rPr>
              <w:t>(0.014)</w:t>
            </w:r>
          </w:p>
        </w:tc>
        <w:tc>
          <w:tcPr>
            <w:tcW w:w="1070" w:type="dxa"/>
            <w:noWrap/>
            <w:vAlign w:val="center"/>
            <w:hideMark/>
          </w:tcPr>
          <w:p w14:paraId="6AC7B5CE" w14:textId="7C414783" w:rsidR="00B53E6C" w:rsidRPr="00B53E6C" w:rsidRDefault="00B53E6C" w:rsidP="00B53E6C">
            <w:pPr>
              <w:spacing w:line="240" w:lineRule="auto"/>
              <w:ind w:firstLine="0"/>
              <w:jc w:val="center"/>
              <w:rPr>
                <w:sz w:val="18"/>
                <w:szCs w:val="18"/>
              </w:rPr>
            </w:pPr>
            <w:r w:rsidRPr="00B53E6C">
              <w:rPr>
                <w:sz w:val="18"/>
                <w:szCs w:val="18"/>
              </w:rPr>
              <w:t>(0.008)</w:t>
            </w:r>
          </w:p>
        </w:tc>
      </w:tr>
      <w:tr w:rsidR="00B53E6C" w:rsidRPr="00101A2A" w14:paraId="1787179C" w14:textId="77777777" w:rsidTr="00B61D56">
        <w:trPr>
          <w:trHeight w:val="280"/>
        </w:trPr>
        <w:tc>
          <w:tcPr>
            <w:tcW w:w="2552" w:type="dxa"/>
            <w:vMerge w:val="restart"/>
            <w:noWrap/>
            <w:vAlign w:val="center"/>
            <w:hideMark/>
          </w:tcPr>
          <w:p w14:paraId="4ED15974" w14:textId="77777777" w:rsidR="00B53E6C" w:rsidRPr="00101A2A" w:rsidRDefault="00B53E6C" w:rsidP="00B53E6C">
            <w:pPr>
              <w:spacing w:line="240" w:lineRule="auto"/>
              <w:ind w:firstLine="0"/>
              <w:rPr>
                <w:b/>
                <w:bCs/>
                <w:sz w:val="18"/>
                <w:szCs w:val="18"/>
              </w:rPr>
            </w:pPr>
            <w:r w:rsidRPr="00101A2A">
              <w:rPr>
                <w:b/>
                <w:bCs/>
                <w:sz w:val="18"/>
                <w:szCs w:val="18"/>
              </w:rPr>
              <w:t>Income (ln)</w:t>
            </w:r>
          </w:p>
        </w:tc>
        <w:tc>
          <w:tcPr>
            <w:tcW w:w="1070" w:type="dxa"/>
            <w:noWrap/>
            <w:vAlign w:val="center"/>
            <w:hideMark/>
          </w:tcPr>
          <w:p w14:paraId="5061879D" w14:textId="049ADBE6" w:rsidR="00B53E6C" w:rsidRPr="00B53E6C" w:rsidRDefault="00B53E6C" w:rsidP="00B53E6C">
            <w:pPr>
              <w:spacing w:line="240" w:lineRule="auto"/>
              <w:ind w:firstLine="0"/>
              <w:jc w:val="center"/>
              <w:rPr>
                <w:sz w:val="18"/>
                <w:szCs w:val="18"/>
              </w:rPr>
            </w:pPr>
            <w:r w:rsidRPr="00B53E6C">
              <w:rPr>
                <w:sz w:val="18"/>
                <w:szCs w:val="18"/>
              </w:rPr>
              <w:t>-0.045***</w:t>
            </w:r>
          </w:p>
        </w:tc>
        <w:tc>
          <w:tcPr>
            <w:tcW w:w="1070" w:type="dxa"/>
            <w:noWrap/>
            <w:vAlign w:val="center"/>
            <w:hideMark/>
          </w:tcPr>
          <w:p w14:paraId="489C6F05" w14:textId="5061E764" w:rsidR="00B53E6C" w:rsidRPr="00B53E6C" w:rsidRDefault="00B53E6C" w:rsidP="00B53E6C">
            <w:pPr>
              <w:spacing w:line="240" w:lineRule="auto"/>
              <w:ind w:firstLine="0"/>
              <w:jc w:val="center"/>
              <w:rPr>
                <w:sz w:val="18"/>
                <w:szCs w:val="18"/>
              </w:rPr>
            </w:pPr>
            <w:r w:rsidRPr="00B53E6C">
              <w:rPr>
                <w:sz w:val="18"/>
                <w:szCs w:val="18"/>
              </w:rPr>
              <w:t>-0.044***</w:t>
            </w:r>
          </w:p>
        </w:tc>
        <w:tc>
          <w:tcPr>
            <w:tcW w:w="1070" w:type="dxa"/>
            <w:vAlign w:val="center"/>
          </w:tcPr>
          <w:p w14:paraId="345BFC9E" w14:textId="53186365" w:rsidR="00B53E6C" w:rsidRPr="00B53E6C" w:rsidRDefault="00B53E6C" w:rsidP="00B53E6C">
            <w:pPr>
              <w:spacing w:line="240" w:lineRule="auto"/>
              <w:ind w:firstLine="0"/>
              <w:jc w:val="center"/>
              <w:rPr>
                <w:sz w:val="18"/>
                <w:szCs w:val="18"/>
              </w:rPr>
            </w:pPr>
            <w:r w:rsidRPr="00B53E6C">
              <w:rPr>
                <w:sz w:val="18"/>
                <w:szCs w:val="18"/>
              </w:rPr>
              <w:t>-0.044***</w:t>
            </w:r>
          </w:p>
        </w:tc>
        <w:tc>
          <w:tcPr>
            <w:tcW w:w="1070" w:type="dxa"/>
            <w:noWrap/>
            <w:vAlign w:val="center"/>
            <w:hideMark/>
          </w:tcPr>
          <w:p w14:paraId="47F6FF28" w14:textId="3B321493" w:rsidR="00B53E6C" w:rsidRPr="00B53E6C" w:rsidRDefault="00B53E6C" w:rsidP="00B53E6C">
            <w:pPr>
              <w:spacing w:line="240" w:lineRule="auto"/>
              <w:ind w:firstLine="0"/>
              <w:jc w:val="center"/>
              <w:rPr>
                <w:sz w:val="18"/>
                <w:szCs w:val="18"/>
              </w:rPr>
            </w:pPr>
            <w:r w:rsidRPr="00B53E6C">
              <w:rPr>
                <w:sz w:val="18"/>
                <w:szCs w:val="18"/>
              </w:rPr>
              <w:t>0.025**</w:t>
            </w:r>
          </w:p>
        </w:tc>
        <w:tc>
          <w:tcPr>
            <w:tcW w:w="1070" w:type="dxa"/>
            <w:noWrap/>
            <w:vAlign w:val="center"/>
            <w:hideMark/>
          </w:tcPr>
          <w:p w14:paraId="69A77F7D" w14:textId="024C1810" w:rsidR="00B53E6C" w:rsidRPr="00B53E6C" w:rsidRDefault="00B53E6C" w:rsidP="00B53E6C">
            <w:pPr>
              <w:spacing w:line="240" w:lineRule="auto"/>
              <w:ind w:firstLine="0"/>
              <w:jc w:val="center"/>
              <w:rPr>
                <w:sz w:val="18"/>
                <w:szCs w:val="18"/>
              </w:rPr>
            </w:pPr>
            <w:r w:rsidRPr="00B53E6C">
              <w:rPr>
                <w:sz w:val="18"/>
                <w:szCs w:val="18"/>
              </w:rPr>
              <w:t>0.035***</w:t>
            </w:r>
          </w:p>
        </w:tc>
        <w:tc>
          <w:tcPr>
            <w:tcW w:w="1070" w:type="dxa"/>
            <w:noWrap/>
            <w:vAlign w:val="center"/>
            <w:hideMark/>
          </w:tcPr>
          <w:p w14:paraId="59D2D612" w14:textId="10D214C9" w:rsidR="00B53E6C" w:rsidRPr="00B53E6C" w:rsidRDefault="00B53E6C" w:rsidP="00B53E6C">
            <w:pPr>
              <w:spacing w:line="240" w:lineRule="auto"/>
              <w:ind w:firstLine="0"/>
              <w:jc w:val="center"/>
              <w:rPr>
                <w:sz w:val="18"/>
                <w:szCs w:val="18"/>
              </w:rPr>
            </w:pPr>
            <w:r w:rsidRPr="00B53E6C">
              <w:rPr>
                <w:sz w:val="18"/>
                <w:szCs w:val="18"/>
              </w:rPr>
              <w:t>0.035***</w:t>
            </w:r>
          </w:p>
        </w:tc>
        <w:tc>
          <w:tcPr>
            <w:tcW w:w="1070" w:type="dxa"/>
            <w:noWrap/>
            <w:vAlign w:val="center"/>
            <w:hideMark/>
          </w:tcPr>
          <w:p w14:paraId="086B4D74" w14:textId="0E3C7B90" w:rsidR="00B53E6C" w:rsidRPr="00B53E6C" w:rsidRDefault="00B53E6C" w:rsidP="00B53E6C">
            <w:pPr>
              <w:spacing w:line="240" w:lineRule="auto"/>
              <w:ind w:firstLine="0"/>
              <w:jc w:val="center"/>
              <w:rPr>
                <w:sz w:val="18"/>
                <w:szCs w:val="18"/>
              </w:rPr>
            </w:pPr>
            <w:r w:rsidRPr="00B53E6C">
              <w:rPr>
                <w:sz w:val="18"/>
                <w:szCs w:val="18"/>
              </w:rPr>
              <w:t>-0.020***</w:t>
            </w:r>
          </w:p>
        </w:tc>
      </w:tr>
      <w:tr w:rsidR="00B53E6C" w:rsidRPr="00101A2A" w14:paraId="701020DF" w14:textId="77777777" w:rsidTr="00B61D56">
        <w:trPr>
          <w:trHeight w:val="280"/>
        </w:trPr>
        <w:tc>
          <w:tcPr>
            <w:tcW w:w="2552" w:type="dxa"/>
            <w:vMerge/>
            <w:noWrap/>
            <w:vAlign w:val="center"/>
            <w:hideMark/>
          </w:tcPr>
          <w:p w14:paraId="34A1858D" w14:textId="77777777" w:rsidR="00B53E6C" w:rsidRPr="00101A2A" w:rsidRDefault="00B53E6C" w:rsidP="00B53E6C">
            <w:pPr>
              <w:spacing w:line="240" w:lineRule="auto"/>
              <w:ind w:firstLine="0"/>
              <w:rPr>
                <w:b/>
                <w:bCs/>
                <w:sz w:val="18"/>
                <w:szCs w:val="18"/>
              </w:rPr>
            </w:pPr>
          </w:p>
        </w:tc>
        <w:tc>
          <w:tcPr>
            <w:tcW w:w="1070" w:type="dxa"/>
            <w:noWrap/>
            <w:vAlign w:val="center"/>
            <w:hideMark/>
          </w:tcPr>
          <w:p w14:paraId="338D4FCF" w14:textId="270CCE34" w:rsidR="00B53E6C" w:rsidRPr="00B53E6C" w:rsidRDefault="00B53E6C" w:rsidP="00B53E6C">
            <w:pPr>
              <w:spacing w:line="240" w:lineRule="auto"/>
              <w:ind w:firstLine="0"/>
              <w:jc w:val="center"/>
              <w:rPr>
                <w:sz w:val="18"/>
                <w:szCs w:val="18"/>
              </w:rPr>
            </w:pPr>
            <w:r w:rsidRPr="00B53E6C">
              <w:rPr>
                <w:sz w:val="18"/>
                <w:szCs w:val="18"/>
              </w:rPr>
              <w:t>(0.007)</w:t>
            </w:r>
          </w:p>
        </w:tc>
        <w:tc>
          <w:tcPr>
            <w:tcW w:w="1070" w:type="dxa"/>
            <w:noWrap/>
            <w:vAlign w:val="center"/>
            <w:hideMark/>
          </w:tcPr>
          <w:p w14:paraId="4F3B8D04" w14:textId="4D16784B" w:rsidR="00B53E6C" w:rsidRPr="00B53E6C" w:rsidRDefault="00B53E6C" w:rsidP="00B53E6C">
            <w:pPr>
              <w:spacing w:line="240" w:lineRule="auto"/>
              <w:ind w:firstLine="0"/>
              <w:jc w:val="center"/>
              <w:rPr>
                <w:sz w:val="18"/>
                <w:szCs w:val="18"/>
              </w:rPr>
            </w:pPr>
            <w:r w:rsidRPr="00B53E6C">
              <w:rPr>
                <w:sz w:val="18"/>
                <w:szCs w:val="18"/>
              </w:rPr>
              <w:t>(0.007)</w:t>
            </w:r>
          </w:p>
        </w:tc>
        <w:tc>
          <w:tcPr>
            <w:tcW w:w="1070" w:type="dxa"/>
            <w:vAlign w:val="center"/>
          </w:tcPr>
          <w:p w14:paraId="3A9DC3F8" w14:textId="2A20A00E" w:rsidR="00B53E6C" w:rsidRPr="00B53E6C" w:rsidRDefault="00B53E6C" w:rsidP="00B53E6C">
            <w:pPr>
              <w:spacing w:line="240" w:lineRule="auto"/>
              <w:ind w:firstLine="0"/>
              <w:jc w:val="center"/>
              <w:rPr>
                <w:sz w:val="18"/>
                <w:szCs w:val="18"/>
              </w:rPr>
            </w:pPr>
            <w:r w:rsidRPr="00B53E6C">
              <w:rPr>
                <w:sz w:val="18"/>
                <w:szCs w:val="18"/>
              </w:rPr>
              <w:t>(0.007)</w:t>
            </w:r>
          </w:p>
        </w:tc>
        <w:tc>
          <w:tcPr>
            <w:tcW w:w="1070" w:type="dxa"/>
            <w:noWrap/>
            <w:vAlign w:val="center"/>
            <w:hideMark/>
          </w:tcPr>
          <w:p w14:paraId="5173E20D" w14:textId="2FFA6EC6" w:rsidR="00B53E6C" w:rsidRPr="00B53E6C" w:rsidRDefault="00B53E6C" w:rsidP="00B53E6C">
            <w:pPr>
              <w:spacing w:line="240" w:lineRule="auto"/>
              <w:ind w:firstLine="0"/>
              <w:jc w:val="center"/>
              <w:rPr>
                <w:sz w:val="18"/>
                <w:szCs w:val="18"/>
              </w:rPr>
            </w:pPr>
            <w:r w:rsidRPr="00B53E6C">
              <w:rPr>
                <w:sz w:val="18"/>
                <w:szCs w:val="18"/>
              </w:rPr>
              <w:t>(0.010)</w:t>
            </w:r>
          </w:p>
        </w:tc>
        <w:tc>
          <w:tcPr>
            <w:tcW w:w="1070" w:type="dxa"/>
            <w:noWrap/>
            <w:vAlign w:val="center"/>
            <w:hideMark/>
          </w:tcPr>
          <w:p w14:paraId="65B3E835" w14:textId="67066AB5" w:rsidR="00B53E6C" w:rsidRPr="00B53E6C" w:rsidRDefault="00B53E6C" w:rsidP="00B53E6C">
            <w:pPr>
              <w:spacing w:line="240" w:lineRule="auto"/>
              <w:ind w:firstLine="0"/>
              <w:jc w:val="center"/>
              <w:rPr>
                <w:sz w:val="18"/>
                <w:szCs w:val="18"/>
              </w:rPr>
            </w:pPr>
            <w:r w:rsidRPr="00B53E6C">
              <w:rPr>
                <w:sz w:val="18"/>
                <w:szCs w:val="18"/>
              </w:rPr>
              <w:t>(0.010)</w:t>
            </w:r>
          </w:p>
        </w:tc>
        <w:tc>
          <w:tcPr>
            <w:tcW w:w="1070" w:type="dxa"/>
            <w:noWrap/>
            <w:vAlign w:val="center"/>
            <w:hideMark/>
          </w:tcPr>
          <w:p w14:paraId="41E03124" w14:textId="1F883545" w:rsidR="00B53E6C" w:rsidRPr="00B53E6C" w:rsidRDefault="00B53E6C" w:rsidP="00B53E6C">
            <w:pPr>
              <w:spacing w:line="240" w:lineRule="auto"/>
              <w:ind w:firstLine="0"/>
              <w:jc w:val="center"/>
              <w:rPr>
                <w:sz w:val="18"/>
                <w:szCs w:val="18"/>
              </w:rPr>
            </w:pPr>
            <w:r w:rsidRPr="00B53E6C">
              <w:rPr>
                <w:sz w:val="18"/>
                <w:szCs w:val="18"/>
              </w:rPr>
              <w:t>(0.010)</w:t>
            </w:r>
          </w:p>
        </w:tc>
        <w:tc>
          <w:tcPr>
            <w:tcW w:w="1070" w:type="dxa"/>
            <w:noWrap/>
            <w:vAlign w:val="center"/>
            <w:hideMark/>
          </w:tcPr>
          <w:p w14:paraId="50C9FD88" w14:textId="3D0B82C5" w:rsidR="00B53E6C" w:rsidRPr="00B53E6C" w:rsidRDefault="00B53E6C" w:rsidP="00B53E6C">
            <w:pPr>
              <w:spacing w:line="240" w:lineRule="auto"/>
              <w:ind w:firstLine="0"/>
              <w:jc w:val="center"/>
              <w:rPr>
                <w:sz w:val="18"/>
                <w:szCs w:val="18"/>
              </w:rPr>
            </w:pPr>
            <w:r w:rsidRPr="00B53E6C">
              <w:rPr>
                <w:sz w:val="18"/>
                <w:szCs w:val="18"/>
              </w:rPr>
              <w:t>(0.007)</w:t>
            </w:r>
          </w:p>
        </w:tc>
      </w:tr>
      <w:tr w:rsidR="00B53E6C" w:rsidRPr="00101A2A" w14:paraId="447FCB5F" w14:textId="77777777" w:rsidTr="00B61D56">
        <w:trPr>
          <w:trHeight w:val="280"/>
        </w:trPr>
        <w:tc>
          <w:tcPr>
            <w:tcW w:w="2552" w:type="dxa"/>
            <w:vMerge w:val="restart"/>
            <w:noWrap/>
            <w:vAlign w:val="center"/>
            <w:hideMark/>
          </w:tcPr>
          <w:p w14:paraId="35C9FC61" w14:textId="2386E4EF" w:rsidR="00B53E6C" w:rsidRPr="00101A2A" w:rsidRDefault="00B53E6C" w:rsidP="00B53E6C">
            <w:pPr>
              <w:spacing w:line="240" w:lineRule="auto"/>
              <w:ind w:firstLine="0"/>
              <w:rPr>
                <w:b/>
                <w:bCs/>
                <w:sz w:val="18"/>
                <w:szCs w:val="18"/>
              </w:rPr>
            </w:pPr>
            <w:r>
              <w:rPr>
                <w:b/>
                <w:bCs/>
                <w:sz w:val="18"/>
                <w:szCs w:val="18"/>
              </w:rPr>
              <w:t>Constant</w:t>
            </w:r>
          </w:p>
        </w:tc>
        <w:tc>
          <w:tcPr>
            <w:tcW w:w="1070" w:type="dxa"/>
            <w:noWrap/>
            <w:vAlign w:val="center"/>
            <w:hideMark/>
          </w:tcPr>
          <w:p w14:paraId="20E3E856" w14:textId="2B3FA341" w:rsidR="00B53E6C" w:rsidRPr="00B53E6C" w:rsidRDefault="00B53E6C" w:rsidP="00B53E6C">
            <w:pPr>
              <w:spacing w:line="240" w:lineRule="auto"/>
              <w:ind w:firstLine="0"/>
              <w:jc w:val="center"/>
              <w:rPr>
                <w:sz w:val="18"/>
                <w:szCs w:val="18"/>
              </w:rPr>
            </w:pPr>
            <w:r w:rsidRPr="00B53E6C">
              <w:rPr>
                <w:sz w:val="18"/>
                <w:szCs w:val="18"/>
              </w:rPr>
              <w:t>-0.287**</w:t>
            </w:r>
          </w:p>
        </w:tc>
        <w:tc>
          <w:tcPr>
            <w:tcW w:w="1070" w:type="dxa"/>
            <w:noWrap/>
            <w:vAlign w:val="center"/>
            <w:hideMark/>
          </w:tcPr>
          <w:p w14:paraId="6254EF93" w14:textId="55877DCD" w:rsidR="00B53E6C" w:rsidRPr="00B53E6C" w:rsidRDefault="00B53E6C" w:rsidP="00B53E6C">
            <w:pPr>
              <w:spacing w:line="240" w:lineRule="auto"/>
              <w:ind w:firstLine="0"/>
              <w:jc w:val="center"/>
              <w:rPr>
                <w:sz w:val="18"/>
                <w:szCs w:val="18"/>
              </w:rPr>
            </w:pPr>
            <w:r w:rsidRPr="00B53E6C">
              <w:rPr>
                <w:sz w:val="18"/>
                <w:szCs w:val="18"/>
              </w:rPr>
              <w:t>-0.248**</w:t>
            </w:r>
          </w:p>
        </w:tc>
        <w:tc>
          <w:tcPr>
            <w:tcW w:w="1070" w:type="dxa"/>
            <w:vAlign w:val="center"/>
          </w:tcPr>
          <w:p w14:paraId="6F77CD6A" w14:textId="643FF25A" w:rsidR="00B53E6C" w:rsidRPr="00B53E6C" w:rsidRDefault="00B53E6C" w:rsidP="00B53E6C">
            <w:pPr>
              <w:spacing w:line="240" w:lineRule="auto"/>
              <w:ind w:firstLine="0"/>
              <w:jc w:val="center"/>
              <w:rPr>
                <w:sz w:val="18"/>
                <w:szCs w:val="18"/>
              </w:rPr>
            </w:pPr>
            <w:r w:rsidRPr="00B53E6C">
              <w:rPr>
                <w:sz w:val="18"/>
                <w:szCs w:val="18"/>
              </w:rPr>
              <w:t>-0.253**</w:t>
            </w:r>
          </w:p>
        </w:tc>
        <w:tc>
          <w:tcPr>
            <w:tcW w:w="1070" w:type="dxa"/>
            <w:noWrap/>
            <w:vAlign w:val="center"/>
            <w:hideMark/>
          </w:tcPr>
          <w:p w14:paraId="621054BD" w14:textId="59693601" w:rsidR="00B53E6C" w:rsidRPr="00B53E6C" w:rsidRDefault="00B53E6C" w:rsidP="00B53E6C">
            <w:pPr>
              <w:spacing w:line="240" w:lineRule="auto"/>
              <w:ind w:firstLine="0"/>
              <w:jc w:val="center"/>
              <w:rPr>
                <w:sz w:val="18"/>
                <w:szCs w:val="18"/>
              </w:rPr>
            </w:pPr>
            <w:r w:rsidRPr="00B53E6C">
              <w:rPr>
                <w:sz w:val="18"/>
                <w:szCs w:val="18"/>
              </w:rPr>
              <w:t>0.987***</w:t>
            </w:r>
          </w:p>
        </w:tc>
        <w:tc>
          <w:tcPr>
            <w:tcW w:w="1070" w:type="dxa"/>
            <w:noWrap/>
            <w:vAlign w:val="center"/>
            <w:hideMark/>
          </w:tcPr>
          <w:p w14:paraId="278FD2F8" w14:textId="0A775DD6" w:rsidR="00B53E6C" w:rsidRPr="00B53E6C" w:rsidRDefault="00B53E6C" w:rsidP="00B53E6C">
            <w:pPr>
              <w:spacing w:line="240" w:lineRule="auto"/>
              <w:ind w:firstLine="0"/>
              <w:jc w:val="center"/>
              <w:rPr>
                <w:sz w:val="18"/>
                <w:szCs w:val="18"/>
              </w:rPr>
            </w:pPr>
            <w:r w:rsidRPr="00B53E6C">
              <w:rPr>
                <w:sz w:val="18"/>
                <w:szCs w:val="18"/>
              </w:rPr>
              <w:t>1.189***</w:t>
            </w:r>
          </w:p>
        </w:tc>
        <w:tc>
          <w:tcPr>
            <w:tcW w:w="1070" w:type="dxa"/>
            <w:noWrap/>
            <w:vAlign w:val="center"/>
            <w:hideMark/>
          </w:tcPr>
          <w:p w14:paraId="539D34AE" w14:textId="5CBAEC33" w:rsidR="00B53E6C" w:rsidRPr="00B53E6C" w:rsidRDefault="00B53E6C" w:rsidP="00B53E6C">
            <w:pPr>
              <w:spacing w:line="240" w:lineRule="auto"/>
              <w:ind w:firstLine="0"/>
              <w:jc w:val="center"/>
              <w:rPr>
                <w:sz w:val="18"/>
                <w:szCs w:val="18"/>
              </w:rPr>
            </w:pPr>
            <w:r w:rsidRPr="00B53E6C">
              <w:rPr>
                <w:sz w:val="18"/>
                <w:szCs w:val="18"/>
              </w:rPr>
              <w:t>1.205***</w:t>
            </w:r>
          </w:p>
        </w:tc>
        <w:tc>
          <w:tcPr>
            <w:tcW w:w="1070" w:type="dxa"/>
            <w:noWrap/>
            <w:vAlign w:val="center"/>
            <w:hideMark/>
          </w:tcPr>
          <w:p w14:paraId="50FAE714" w14:textId="627BD493" w:rsidR="00B53E6C" w:rsidRPr="00B53E6C" w:rsidRDefault="00B53E6C" w:rsidP="00B53E6C">
            <w:pPr>
              <w:spacing w:line="240" w:lineRule="auto"/>
              <w:ind w:firstLine="0"/>
              <w:jc w:val="center"/>
              <w:rPr>
                <w:sz w:val="18"/>
                <w:szCs w:val="18"/>
              </w:rPr>
            </w:pPr>
            <w:r w:rsidRPr="00B53E6C">
              <w:rPr>
                <w:sz w:val="18"/>
                <w:szCs w:val="18"/>
              </w:rPr>
              <w:t>0.237*</w:t>
            </w:r>
          </w:p>
        </w:tc>
      </w:tr>
      <w:tr w:rsidR="00B53E6C" w:rsidRPr="00101A2A" w14:paraId="0DCC1849" w14:textId="77777777" w:rsidTr="00B61D56">
        <w:trPr>
          <w:trHeight w:val="280"/>
        </w:trPr>
        <w:tc>
          <w:tcPr>
            <w:tcW w:w="2552" w:type="dxa"/>
            <w:vMerge/>
            <w:noWrap/>
            <w:vAlign w:val="center"/>
            <w:hideMark/>
          </w:tcPr>
          <w:p w14:paraId="75A9E4EF" w14:textId="77777777" w:rsidR="00B53E6C" w:rsidRPr="00101A2A" w:rsidRDefault="00B53E6C" w:rsidP="00B53E6C">
            <w:pPr>
              <w:spacing w:line="240" w:lineRule="auto"/>
              <w:ind w:firstLine="0"/>
              <w:rPr>
                <w:b/>
                <w:bCs/>
                <w:sz w:val="18"/>
                <w:szCs w:val="18"/>
              </w:rPr>
            </w:pPr>
          </w:p>
        </w:tc>
        <w:tc>
          <w:tcPr>
            <w:tcW w:w="1070" w:type="dxa"/>
            <w:noWrap/>
            <w:vAlign w:val="center"/>
            <w:hideMark/>
          </w:tcPr>
          <w:p w14:paraId="11C09478" w14:textId="0F3009D6" w:rsidR="00B53E6C" w:rsidRPr="00B53E6C" w:rsidRDefault="00B53E6C" w:rsidP="00B53E6C">
            <w:pPr>
              <w:spacing w:line="240" w:lineRule="auto"/>
              <w:ind w:firstLine="0"/>
              <w:jc w:val="center"/>
              <w:rPr>
                <w:sz w:val="18"/>
                <w:szCs w:val="18"/>
              </w:rPr>
            </w:pPr>
            <w:r w:rsidRPr="00B53E6C">
              <w:rPr>
                <w:sz w:val="18"/>
                <w:szCs w:val="18"/>
              </w:rPr>
              <w:t>(0.115)</w:t>
            </w:r>
          </w:p>
        </w:tc>
        <w:tc>
          <w:tcPr>
            <w:tcW w:w="1070" w:type="dxa"/>
            <w:noWrap/>
            <w:vAlign w:val="center"/>
            <w:hideMark/>
          </w:tcPr>
          <w:p w14:paraId="240C8BF3" w14:textId="3B124B15" w:rsidR="00B53E6C" w:rsidRPr="00B53E6C" w:rsidRDefault="00B53E6C" w:rsidP="00B53E6C">
            <w:pPr>
              <w:spacing w:line="240" w:lineRule="auto"/>
              <w:ind w:firstLine="0"/>
              <w:jc w:val="center"/>
              <w:rPr>
                <w:sz w:val="18"/>
                <w:szCs w:val="18"/>
              </w:rPr>
            </w:pPr>
            <w:r w:rsidRPr="00B53E6C">
              <w:rPr>
                <w:sz w:val="18"/>
                <w:szCs w:val="18"/>
              </w:rPr>
              <w:t>(0.115)</w:t>
            </w:r>
          </w:p>
        </w:tc>
        <w:tc>
          <w:tcPr>
            <w:tcW w:w="1070" w:type="dxa"/>
            <w:vAlign w:val="center"/>
          </w:tcPr>
          <w:p w14:paraId="1061A047" w14:textId="28EE82F9" w:rsidR="00B53E6C" w:rsidRPr="00B53E6C" w:rsidRDefault="00B53E6C" w:rsidP="00B53E6C">
            <w:pPr>
              <w:spacing w:line="240" w:lineRule="auto"/>
              <w:ind w:firstLine="0"/>
              <w:jc w:val="center"/>
              <w:rPr>
                <w:sz w:val="18"/>
                <w:szCs w:val="18"/>
              </w:rPr>
            </w:pPr>
            <w:r w:rsidRPr="00B53E6C">
              <w:rPr>
                <w:sz w:val="18"/>
                <w:szCs w:val="18"/>
              </w:rPr>
              <w:t>(0.115)</w:t>
            </w:r>
          </w:p>
        </w:tc>
        <w:tc>
          <w:tcPr>
            <w:tcW w:w="1070" w:type="dxa"/>
            <w:noWrap/>
            <w:vAlign w:val="center"/>
            <w:hideMark/>
          </w:tcPr>
          <w:p w14:paraId="0C4E83B6" w14:textId="22A6AD7F" w:rsidR="00B53E6C" w:rsidRPr="00B53E6C" w:rsidRDefault="00B53E6C" w:rsidP="00B53E6C">
            <w:pPr>
              <w:spacing w:line="240" w:lineRule="auto"/>
              <w:ind w:firstLine="0"/>
              <w:jc w:val="center"/>
              <w:rPr>
                <w:sz w:val="18"/>
                <w:szCs w:val="18"/>
              </w:rPr>
            </w:pPr>
            <w:r w:rsidRPr="00B53E6C">
              <w:rPr>
                <w:sz w:val="18"/>
                <w:szCs w:val="18"/>
              </w:rPr>
              <w:t>(0.154)</w:t>
            </w:r>
          </w:p>
        </w:tc>
        <w:tc>
          <w:tcPr>
            <w:tcW w:w="1070" w:type="dxa"/>
            <w:noWrap/>
            <w:vAlign w:val="center"/>
            <w:hideMark/>
          </w:tcPr>
          <w:p w14:paraId="3B1F8E45" w14:textId="0165D850" w:rsidR="00B53E6C" w:rsidRPr="00B53E6C" w:rsidRDefault="00B53E6C" w:rsidP="00B53E6C">
            <w:pPr>
              <w:spacing w:line="240" w:lineRule="auto"/>
              <w:ind w:firstLine="0"/>
              <w:jc w:val="center"/>
              <w:rPr>
                <w:sz w:val="18"/>
                <w:szCs w:val="18"/>
              </w:rPr>
            </w:pPr>
            <w:r w:rsidRPr="00B53E6C">
              <w:rPr>
                <w:sz w:val="18"/>
                <w:szCs w:val="18"/>
              </w:rPr>
              <w:t>(0.164)</w:t>
            </w:r>
          </w:p>
        </w:tc>
        <w:tc>
          <w:tcPr>
            <w:tcW w:w="1070" w:type="dxa"/>
            <w:noWrap/>
            <w:vAlign w:val="center"/>
            <w:hideMark/>
          </w:tcPr>
          <w:p w14:paraId="44A1CCE6" w14:textId="10967191" w:rsidR="00B53E6C" w:rsidRPr="00B53E6C" w:rsidRDefault="00B53E6C" w:rsidP="00B53E6C">
            <w:pPr>
              <w:spacing w:line="240" w:lineRule="auto"/>
              <w:ind w:firstLine="0"/>
              <w:jc w:val="center"/>
              <w:rPr>
                <w:sz w:val="18"/>
                <w:szCs w:val="18"/>
              </w:rPr>
            </w:pPr>
            <w:r w:rsidRPr="00B53E6C">
              <w:rPr>
                <w:sz w:val="18"/>
                <w:szCs w:val="18"/>
              </w:rPr>
              <w:t>(0.164)</w:t>
            </w:r>
          </w:p>
        </w:tc>
        <w:tc>
          <w:tcPr>
            <w:tcW w:w="1070" w:type="dxa"/>
            <w:noWrap/>
            <w:vAlign w:val="center"/>
            <w:hideMark/>
          </w:tcPr>
          <w:p w14:paraId="0E3E799C" w14:textId="785D8562" w:rsidR="00B53E6C" w:rsidRPr="00B53E6C" w:rsidRDefault="00B53E6C" w:rsidP="00B53E6C">
            <w:pPr>
              <w:spacing w:line="240" w:lineRule="auto"/>
              <w:ind w:firstLine="0"/>
              <w:jc w:val="center"/>
              <w:rPr>
                <w:sz w:val="18"/>
                <w:szCs w:val="18"/>
              </w:rPr>
            </w:pPr>
            <w:r w:rsidRPr="00B53E6C">
              <w:rPr>
                <w:sz w:val="18"/>
                <w:szCs w:val="18"/>
              </w:rPr>
              <w:t>(0.127)</w:t>
            </w:r>
          </w:p>
        </w:tc>
      </w:tr>
      <w:tr w:rsidR="00B53E6C" w:rsidRPr="00101A2A" w14:paraId="342185E3" w14:textId="77777777" w:rsidTr="00B61D56">
        <w:trPr>
          <w:trHeight w:val="280"/>
        </w:trPr>
        <w:tc>
          <w:tcPr>
            <w:tcW w:w="2552" w:type="dxa"/>
            <w:noWrap/>
            <w:vAlign w:val="center"/>
          </w:tcPr>
          <w:p w14:paraId="1203F567" w14:textId="1379DB8C" w:rsidR="00B53E6C" w:rsidRPr="00101A2A" w:rsidRDefault="00502BAC" w:rsidP="00B53E6C">
            <w:pPr>
              <w:spacing w:line="240" w:lineRule="auto"/>
              <w:ind w:firstLine="0"/>
              <w:rPr>
                <w:b/>
                <w:bCs/>
                <w:sz w:val="18"/>
                <w:szCs w:val="18"/>
              </w:rPr>
            </w:pPr>
            <w:r>
              <w:rPr>
                <w:b/>
                <w:bCs/>
                <w:sz w:val="18"/>
                <w:szCs w:val="18"/>
              </w:rPr>
              <w:t xml:space="preserve">Month &amp; </w:t>
            </w:r>
            <w:r w:rsidR="00B53E6C" w:rsidRPr="00101A2A">
              <w:rPr>
                <w:b/>
                <w:bCs/>
                <w:sz w:val="18"/>
                <w:szCs w:val="18"/>
              </w:rPr>
              <w:t>Zip code FE</w:t>
            </w:r>
          </w:p>
        </w:tc>
        <w:tc>
          <w:tcPr>
            <w:tcW w:w="1070" w:type="dxa"/>
            <w:noWrap/>
            <w:vAlign w:val="center"/>
          </w:tcPr>
          <w:p w14:paraId="3CEA2CF6" w14:textId="546E97A3" w:rsidR="00B53E6C" w:rsidRPr="00B53E6C" w:rsidRDefault="00B53E6C" w:rsidP="00B53E6C">
            <w:pPr>
              <w:spacing w:line="240" w:lineRule="auto"/>
              <w:ind w:firstLine="0"/>
              <w:jc w:val="center"/>
              <w:rPr>
                <w:sz w:val="18"/>
                <w:szCs w:val="18"/>
              </w:rPr>
            </w:pPr>
            <w:r w:rsidRPr="00B53E6C">
              <w:rPr>
                <w:sz w:val="18"/>
                <w:szCs w:val="18"/>
              </w:rPr>
              <w:t>Yes</w:t>
            </w:r>
          </w:p>
        </w:tc>
        <w:tc>
          <w:tcPr>
            <w:tcW w:w="1070" w:type="dxa"/>
            <w:noWrap/>
            <w:vAlign w:val="center"/>
          </w:tcPr>
          <w:p w14:paraId="7ECBAA36" w14:textId="1CF6FC48" w:rsidR="00B53E6C" w:rsidRPr="00B53E6C" w:rsidRDefault="00B53E6C" w:rsidP="00B53E6C">
            <w:pPr>
              <w:spacing w:line="240" w:lineRule="auto"/>
              <w:ind w:firstLine="0"/>
              <w:jc w:val="center"/>
              <w:rPr>
                <w:sz w:val="18"/>
                <w:szCs w:val="18"/>
              </w:rPr>
            </w:pPr>
            <w:r w:rsidRPr="00B53E6C">
              <w:rPr>
                <w:sz w:val="18"/>
                <w:szCs w:val="18"/>
              </w:rPr>
              <w:t>Yes</w:t>
            </w:r>
          </w:p>
        </w:tc>
        <w:tc>
          <w:tcPr>
            <w:tcW w:w="1070" w:type="dxa"/>
            <w:vAlign w:val="center"/>
          </w:tcPr>
          <w:p w14:paraId="664DD971" w14:textId="0B4CE558" w:rsidR="00B53E6C" w:rsidRPr="00B53E6C" w:rsidRDefault="00B53E6C" w:rsidP="00B53E6C">
            <w:pPr>
              <w:spacing w:line="240" w:lineRule="auto"/>
              <w:ind w:firstLine="0"/>
              <w:jc w:val="center"/>
              <w:rPr>
                <w:sz w:val="18"/>
                <w:szCs w:val="18"/>
              </w:rPr>
            </w:pPr>
            <w:r w:rsidRPr="00B53E6C">
              <w:rPr>
                <w:sz w:val="18"/>
                <w:szCs w:val="18"/>
              </w:rPr>
              <w:t>Yes</w:t>
            </w:r>
          </w:p>
        </w:tc>
        <w:tc>
          <w:tcPr>
            <w:tcW w:w="1070" w:type="dxa"/>
            <w:noWrap/>
            <w:vAlign w:val="center"/>
          </w:tcPr>
          <w:p w14:paraId="539BBF9B" w14:textId="4A1591AE" w:rsidR="00B53E6C" w:rsidRPr="00B53E6C" w:rsidRDefault="00B53E6C" w:rsidP="00B53E6C">
            <w:pPr>
              <w:spacing w:line="240" w:lineRule="auto"/>
              <w:ind w:firstLine="0"/>
              <w:jc w:val="center"/>
              <w:rPr>
                <w:sz w:val="18"/>
                <w:szCs w:val="18"/>
              </w:rPr>
            </w:pPr>
            <w:r w:rsidRPr="00B53E6C">
              <w:rPr>
                <w:sz w:val="18"/>
                <w:szCs w:val="18"/>
              </w:rPr>
              <w:t>Yes</w:t>
            </w:r>
          </w:p>
        </w:tc>
        <w:tc>
          <w:tcPr>
            <w:tcW w:w="1070" w:type="dxa"/>
            <w:noWrap/>
            <w:vAlign w:val="center"/>
          </w:tcPr>
          <w:p w14:paraId="19128B4E" w14:textId="080BB77D" w:rsidR="00B53E6C" w:rsidRPr="00B53E6C" w:rsidRDefault="00B53E6C" w:rsidP="00B53E6C">
            <w:pPr>
              <w:spacing w:line="240" w:lineRule="auto"/>
              <w:ind w:firstLine="0"/>
              <w:jc w:val="center"/>
              <w:rPr>
                <w:sz w:val="18"/>
                <w:szCs w:val="18"/>
              </w:rPr>
            </w:pPr>
            <w:r w:rsidRPr="00B53E6C">
              <w:rPr>
                <w:sz w:val="18"/>
                <w:szCs w:val="18"/>
              </w:rPr>
              <w:t>Yes</w:t>
            </w:r>
          </w:p>
        </w:tc>
        <w:tc>
          <w:tcPr>
            <w:tcW w:w="1070" w:type="dxa"/>
            <w:noWrap/>
            <w:vAlign w:val="center"/>
          </w:tcPr>
          <w:p w14:paraId="7776FBAF" w14:textId="220A4651" w:rsidR="00B53E6C" w:rsidRPr="00B53E6C" w:rsidRDefault="00B53E6C" w:rsidP="00B53E6C">
            <w:pPr>
              <w:spacing w:line="240" w:lineRule="auto"/>
              <w:ind w:firstLine="0"/>
              <w:jc w:val="center"/>
              <w:rPr>
                <w:sz w:val="18"/>
                <w:szCs w:val="18"/>
              </w:rPr>
            </w:pPr>
            <w:r w:rsidRPr="00B53E6C">
              <w:rPr>
                <w:sz w:val="18"/>
                <w:szCs w:val="18"/>
              </w:rPr>
              <w:t>Yes</w:t>
            </w:r>
          </w:p>
        </w:tc>
        <w:tc>
          <w:tcPr>
            <w:tcW w:w="1070" w:type="dxa"/>
            <w:noWrap/>
            <w:vAlign w:val="center"/>
          </w:tcPr>
          <w:p w14:paraId="2AA26C4D" w14:textId="30B495AE" w:rsidR="00B53E6C" w:rsidRPr="00B53E6C" w:rsidRDefault="00B53E6C" w:rsidP="00B53E6C">
            <w:pPr>
              <w:spacing w:line="240" w:lineRule="auto"/>
              <w:ind w:firstLine="0"/>
              <w:jc w:val="center"/>
              <w:rPr>
                <w:sz w:val="18"/>
                <w:szCs w:val="18"/>
              </w:rPr>
            </w:pPr>
            <w:r w:rsidRPr="00B53E6C">
              <w:rPr>
                <w:sz w:val="18"/>
                <w:szCs w:val="18"/>
              </w:rPr>
              <w:t>Yes</w:t>
            </w:r>
          </w:p>
        </w:tc>
      </w:tr>
      <w:tr w:rsidR="00B53E6C" w:rsidRPr="00101A2A" w14:paraId="64061101" w14:textId="77777777" w:rsidTr="00B61D56">
        <w:trPr>
          <w:trHeight w:val="280"/>
        </w:trPr>
        <w:tc>
          <w:tcPr>
            <w:tcW w:w="2552" w:type="dxa"/>
            <w:tcBorders>
              <w:top w:val="single" w:sz="4" w:space="0" w:color="auto"/>
            </w:tcBorders>
            <w:noWrap/>
            <w:vAlign w:val="center"/>
            <w:hideMark/>
          </w:tcPr>
          <w:p w14:paraId="34C88A09" w14:textId="77777777" w:rsidR="00B53E6C" w:rsidRPr="00101A2A" w:rsidRDefault="00B53E6C" w:rsidP="00B53E6C">
            <w:pPr>
              <w:spacing w:line="240" w:lineRule="auto"/>
              <w:ind w:firstLine="0"/>
              <w:rPr>
                <w:b/>
                <w:bCs/>
                <w:sz w:val="18"/>
                <w:szCs w:val="18"/>
              </w:rPr>
            </w:pPr>
            <w:r w:rsidRPr="00101A2A">
              <w:rPr>
                <w:b/>
                <w:bCs/>
                <w:sz w:val="18"/>
                <w:szCs w:val="18"/>
              </w:rPr>
              <w:t>Observations</w:t>
            </w:r>
          </w:p>
        </w:tc>
        <w:tc>
          <w:tcPr>
            <w:tcW w:w="1070" w:type="dxa"/>
            <w:tcBorders>
              <w:top w:val="single" w:sz="4" w:space="0" w:color="auto"/>
            </w:tcBorders>
            <w:noWrap/>
            <w:vAlign w:val="center"/>
            <w:hideMark/>
          </w:tcPr>
          <w:p w14:paraId="0C644C0C" w14:textId="795623F6" w:rsidR="00B53E6C" w:rsidRPr="00B53E6C" w:rsidRDefault="00B53E6C" w:rsidP="00B53E6C">
            <w:pPr>
              <w:spacing w:line="240" w:lineRule="auto"/>
              <w:ind w:firstLine="0"/>
              <w:jc w:val="center"/>
              <w:rPr>
                <w:sz w:val="18"/>
                <w:szCs w:val="18"/>
              </w:rPr>
            </w:pPr>
            <w:r w:rsidRPr="00B53E6C">
              <w:rPr>
                <w:sz w:val="18"/>
                <w:szCs w:val="18"/>
              </w:rPr>
              <w:t>13,215</w:t>
            </w:r>
          </w:p>
        </w:tc>
        <w:tc>
          <w:tcPr>
            <w:tcW w:w="1070" w:type="dxa"/>
            <w:tcBorders>
              <w:top w:val="single" w:sz="4" w:space="0" w:color="auto"/>
            </w:tcBorders>
            <w:noWrap/>
            <w:vAlign w:val="center"/>
            <w:hideMark/>
          </w:tcPr>
          <w:p w14:paraId="7EC6147D" w14:textId="5C2A7AEC" w:rsidR="00B53E6C" w:rsidRPr="00B53E6C" w:rsidRDefault="00B53E6C" w:rsidP="00B53E6C">
            <w:pPr>
              <w:spacing w:line="240" w:lineRule="auto"/>
              <w:ind w:firstLine="0"/>
              <w:jc w:val="center"/>
              <w:rPr>
                <w:sz w:val="18"/>
                <w:szCs w:val="18"/>
              </w:rPr>
            </w:pPr>
            <w:r w:rsidRPr="00B53E6C">
              <w:rPr>
                <w:sz w:val="18"/>
                <w:szCs w:val="18"/>
              </w:rPr>
              <w:t>13,215</w:t>
            </w:r>
          </w:p>
        </w:tc>
        <w:tc>
          <w:tcPr>
            <w:tcW w:w="1070" w:type="dxa"/>
            <w:tcBorders>
              <w:top w:val="single" w:sz="4" w:space="0" w:color="auto"/>
            </w:tcBorders>
            <w:vAlign w:val="center"/>
          </w:tcPr>
          <w:p w14:paraId="100CFF17" w14:textId="66BD75B9" w:rsidR="00B53E6C" w:rsidRPr="00B53E6C" w:rsidRDefault="00B53E6C" w:rsidP="00B53E6C">
            <w:pPr>
              <w:spacing w:line="240" w:lineRule="auto"/>
              <w:ind w:firstLine="0"/>
              <w:jc w:val="center"/>
              <w:rPr>
                <w:sz w:val="18"/>
                <w:szCs w:val="18"/>
              </w:rPr>
            </w:pPr>
            <w:r w:rsidRPr="00B53E6C">
              <w:rPr>
                <w:sz w:val="18"/>
                <w:szCs w:val="18"/>
              </w:rPr>
              <w:t>13,215</w:t>
            </w:r>
          </w:p>
        </w:tc>
        <w:tc>
          <w:tcPr>
            <w:tcW w:w="1070" w:type="dxa"/>
            <w:tcBorders>
              <w:top w:val="single" w:sz="4" w:space="0" w:color="auto"/>
            </w:tcBorders>
            <w:noWrap/>
            <w:vAlign w:val="center"/>
            <w:hideMark/>
          </w:tcPr>
          <w:p w14:paraId="5DA2DC9C" w14:textId="567782BC" w:rsidR="00B53E6C" w:rsidRPr="00B53E6C" w:rsidRDefault="00B53E6C" w:rsidP="00B53E6C">
            <w:pPr>
              <w:spacing w:line="240" w:lineRule="auto"/>
              <w:ind w:firstLine="0"/>
              <w:jc w:val="center"/>
              <w:rPr>
                <w:sz w:val="18"/>
                <w:szCs w:val="18"/>
              </w:rPr>
            </w:pPr>
            <w:r w:rsidRPr="00B53E6C">
              <w:rPr>
                <w:sz w:val="18"/>
                <w:szCs w:val="18"/>
              </w:rPr>
              <w:t>4,143</w:t>
            </w:r>
          </w:p>
        </w:tc>
        <w:tc>
          <w:tcPr>
            <w:tcW w:w="1070" w:type="dxa"/>
            <w:tcBorders>
              <w:top w:val="single" w:sz="4" w:space="0" w:color="auto"/>
            </w:tcBorders>
            <w:noWrap/>
            <w:vAlign w:val="center"/>
            <w:hideMark/>
          </w:tcPr>
          <w:p w14:paraId="4BF642E9" w14:textId="2CA0D0E8" w:rsidR="00B53E6C" w:rsidRPr="00B53E6C" w:rsidRDefault="00B53E6C" w:rsidP="00B53E6C">
            <w:pPr>
              <w:spacing w:line="240" w:lineRule="auto"/>
              <w:ind w:firstLine="0"/>
              <w:jc w:val="center"/>
              <w:rPr>
                <w:sz w:val="18"/>
                <w:szCs w:val="18"/>
              </w:rPr>
            </w:pPr>
            <w:r w:rsidRPr="00B53E6C">
              <w:rPr>
                <w:sz w:val="18"/>
                <w:szCs w:val="18"/>
              </w:rPr>
              <w:t>4,143</w:t>
            </w:r>
          </w:p>
        </w:tc>
        <w:tc>
          <w:tcPr>
            <w:tcW w:w="1070" w:type="dxa"/>
            <w:tcBorders>
              <w:top w:val="single" w:sz="4" w:space="0" w:color="auto"/>
            </w:tcBorders>
            <w:noWrap/>
            <w:vAlign w:val="center"/>
            <w:hideMark/>
          </w:tcPr>
          <w:p w14:paraId="4171B03F" w14:textId="7D4C9378" w:rsidR="00B53E6C" w:rsidRPr="00B53E6C" w:rsidRDefault="00B53E6C" w:rsidP="00B53E6C">
            <w:pPr>
              <w:spacing w:line="240" w:lineRule="auto"/>
              <w:ind w:firstLine="0"/>
              <w:jc w:val="center"/>
              <w:rPr>
                <w:sz w:val="18"/>
                <w:szCs w:val="18"/>
              </w:rPr>
            </w:pPr>
            <w:r w:rsidRPr="00B53E6C">
              <w:rPr>
                <w:sz w:val="18"/>
                <w:szCs w:val="18"/>
              </w:rPr>
              <w:t>4,143</w:t>
            </w:r>
          </w:p>
        </w:tc>
        <w:tc>
          <w:tcPr>
            <w:tcW w:w="1070" w:type="dxa"/>
            <w:tcBorders>
              <w:top w:val="single" w:sz="4" w:space="0" w:color="auto"/>
            </w:tcBorders>
            <w:noWrap/>
            <w:vAlign w:val="center"/>
            <w:hideMark/>
          </w:tcPr>
          <w:p w14:paraId="4183454A" w14:textId="2554FDDC" w:rsidR="00B53E6C" w:rsidRPr="00B53E6C" w:rsidRDefault="00B53E6C" w:rsidP="00B53E6C">
            <w:pPr>
              <w:spacing w:line="240" w:lineRule="auto"/>
              <w:ind w:firstLine="0"/>
              <w:jc w:val="center"/>
              <w:rPr>
                <w:sz w:val="18"/>
                <w:szCs w:val="18"/>
              </w:rPr>
            </w:pPr>
            <w:r w:rsidRPr="00B53E6C">
              <w:rPr>
                <w:sz w:val="18"/>
                <w:szCs w:val="18"/>
              </w:rPr>
              <w:t>13,215</w:t>
            </w:r>
          </w:p>
        </w:tc>
      </w:tr>
      <w:tr w:rsidR="00B53E6C" w:rsidRPr="00101A2A" w14:paraId="37ECF4FE" w14:textId="77777777" w:rsidTr="00B61D56">
        <w:trPr>
          <w:trHeight w:val="280"/>
        </w:trPr>
        <w:tc>
          <w:tcPr>
            <w:tcW w:w="2552" w:type="dxa"/>
            <w:noWrap/>
            <w:vAlign w:val="center"/>
            <w:hideMark/>
          </w:tcPr>
          <w:p w14:paraId="57C74D7F" w14:textId="3C23D8FC" w:rsidR="00B53E6C" w:rsidRPr="00BC5CF3" w:rsidRDefault="00BC5CF3" w:rsidP="00B53E6C">
            <w:pPr>
              <w:spacing w:line="240" w:lineRule="auto"/>
              <w:ind w:firstLine="0"/>
              <w:rPr>
                <w:b/>
                <w:bCs/>
                <w:sz w:val="18"/>
                <w:szCs w:val="18"/>
              </w:rPr>
            </w:pPr>
            <w:r>
              <w:rPr>
                <w:b/>
                <w:bCs/>
                <w:sz w:val="18"/>
                <w:szCs w:val="18"/>
              </w:rPr>
              <w:t>Wald Chi</w:t>
            </w:r>
            <w:r w:rsidRPr="00BC5CF3">
              <w:rPr>
                <w:b/>
                <w:bCs/>
                <w:sz w:val="18"/>
                <w:szCs w:val="18"/>
                <w:vertAlign w:val="superscript"/>
              </w:rPr>
              <w:t>2</w:t>
            </w:r>
            <w:r>
              <w:rPr>
                <w:b/>
                <w:bCs/>
                <w:sz w:val="18"/>
                <w:szCs w:val="18"/>
              </w:rPr>
              <w:t xml:space="preserve"> (,000)</w:t>
            </w:r>
          </w:p>
        </w:tc>
        <w:tc>
          <w:tcPr>
            <w:tcW w:w="1070" w:type="dxa"/>
            <w:noWrap/>
            <w:vAlign w:val="center"/>
          </w:tcPr>
          <w:p w14:paraId="13F4DDD3" w14:textId="7A4227D6" w:rsidR="00B53E6C" w:rsidRPr="00B53E6C" w:rsidRDefault="00BC5CF3" w:rsidP="00B53E6C">
            <w:pPr>
              <w:spacing w:line="240" w:lineRule="auto"/>
              <w:ind w:firstLine="0"/>
              <w:jc w:val="center"/>
              <w:rPr>
                <w:sz w:val="18"/>
                <w:szCs w:val="18"/>
              </w:rPr>
            </w:pPr>
            <w:r>
              <w:rPr>
                <w:sz w:val="18"/>
                <w:szCs w:val="18"/>
              </w:rPr>
              <w:t>8,110***</w:t>
            </w:r>
          </w:p>
        </w:tc>
        <w:tc>
          <w:tcPr>
            <w:tcW w:w="1070" w:type="dxa"/>
            <w:noWrap/>
            <w:vAlign w:val="center"/>
          </w:tcPr>
          <w:p w14:paraId="33EEB594" w14:textId="62D0C5C6" w:rsidR="00B53E6C" w:rsidRPr="00B53E6C" w:rsidRDefault="00BC5CF3" w:rsidP="00B53E6C">
            <w:pPr>
              <w:spacing w:line="240" w:lineRule="auto"/>
              <w:ind w:firstLine="0"/>
              <w:jc w:val="center"/>
              <w:rPr>
                <w:sz w:val="18"/>
                <w:szCs w:val="18"/>
              </w:rPr>
            </w:pPr>
            <w:r>
              <w:rPr>
                <w:sz w:val="18"/>
                <w:szCs w:val="18"/>
              </w:rPr>
              <w:t>8,120***</w:t>
            </w:r>
          </w:p>
        </w:tc>
        <w:tc>
          <w:tcPr>
            <w:tcW w:w="1070" w:type="dxa"/>
            <w:vAlign w:val="center"/>
          </w:tcPr>
          <w:p w14:paraId="67B8C502" w14:textId="696CC625" w:rsidR="00B53E6C" w:rsidRPr="00B53E6C" w:rsidRDefault="00BC5CF3" w:rsidP="00B53E6C">
            <w:pPr>
              <w:spacing w:line="240" w:lineRule="auto"/>
              <w:ind w:firstLine="0"/>
              <w:jc w:val="center"/>
              <w:rPr>
                <w:sz w:val="18"/>
                <w:szCs w:val="18"/>
              </w:rPr>
            </w:pPr>
            <w:r>
              <w:rPr>
                <w:sz w:val="18"/>
                <w:szCs w:val="18"/>
              </w:rPr>
              <w:t>8,120***</w:t>
            </w:r>
          </w:p>
        </w:tc>
        <w:tc>
          <w:tcPr>
            <w:tcW w:w="1070" w:type="dxa"/>
            <w:noWrap/>
            <w:vAlign w:val="center"/>
          </w:tcPr>
          <w:p w14:paraId="366ABA30" w14:textId="01374300" w:rsidR="00B53E6C" w:rsidRPr="00B53E6C" w:rsidRDefault="00BC5CF3" w:rsidP="00B53E6C">
            <w:pPr>
              <w:spacing w:line="240" w:lineRule="auto"/>
              <w:ind w:firstLine="0"/>
              <w:jc w:val="center"/>
              <w:rPr>
                <w:sz w:val="18"/>
                <w:szCs w:val="18"/>
              </w:rPr>
            </w:pPr>
            <w:r>
              <w:rPr>
                <w:sz w:val="18"/>
                <w:szCs w:val="18"/>
              </w:rPr>
              <w:t>3,390***</w:t>
            </w:r>
          </w:p>
        </w:tc>
        <w:tc>
          <w:tcPr>
            <w:tcW w:w="1070" w:type="dxa"/>
            <w:noWrap/>
            <w:vAlign w:val="center"/>
          </w:tcPr>
          <w:p w14:paraId="3775A2D2" w14:textId="28BB09F7" w:rsidR="00B53E6C" w:rsidRPr="00B53E6C" w:rsidRDefault="00BC5CF3" w:rsidP="00B53E6C">
            <w:pPr>
              <w:spacing w:line="240" w:lineRule="auto"/>
              <w:ind w:firstLine="0"/>
              <w:jc w:val="center"/>
              <w:rPr>
                <w:sz w:val="18"/>
                <w:szCs w:val="18"/>
              </w:rPr>
            </w:pPr>
            <w:r>
              <w:rPr>
                <w:sz w:val="18"/>
                <w:szCs w:val="18"/>
              </w:rPr>
              <w:t>3,400***</w:t>
            </w:r>
          </w:p>
        </w:tc>
        <w:tc>
          <w:tcPr>
            <w:tcW w:w="1070" w:type="dxa"/>
            <w:noWrap/>
            <w:vAlign w:val="center"/>
          </w:tcPr>
          <w:p w14:paraId="36F434E5" w14:textId="1D74CCC5" w:rsidR="00B53E6C" w:rsidRPr="00B53E6C" w:rsidRDefault="00BC5CF3" w:rsidP="00B53E6C">
            <w:pPr>
              <w:spacing w:line="240" w:lineRule="auto"/>
              <w:ind w:firstLine="0"/>
              <w:jc w:val="center"/>
              <w:rPr>
                <w:sz w:val="18"/>
                <w:szCs w:val="18"/>
              </w:rPr>
            </w:pPr>
            <w:r>
              <w:rPr>
                <w:sz w:val="18"/>
                <w:szCs w:val="18"/>
              </w:rPr>
              <w:t>3,400***</w:t>
            </w:r>
          </w:p>
        </w:tc>
        <w:tc>
          <w:tcPr>
            <w:tcW w:w="1070" w:type="dxa"/>
            <w:noWrap/>
            <w:vAlign w:val="center"/>
          </w:tcPr>
          <w:p w14:paraId="519E1087" w14:textId="53B0837E" w:rsidR="00B53E6C" w:rsidRPr="00B53E6C" w:rsidRDefault="00BC5CF3" w:rsidP="00B53E6C">
            <w:pPr>
              <w:spacing w:line="240" w:lineRule="auto"/>
              <w:ind w:firstLine="0"/>
              <w:jc w:val="center"/>
              <w:rPr>
                <w:sz w:val="18"/>
                <w:szCs w:val="18"/>
              </w:rPr>
            </w:pPr>
            <w:r>
              <w:rPr>
                <w:sz w:val="18"/>
                <w:szCs w:val="18"/>
              </w:rPr>
              <w:t>8,110***</w:t>
            </w:r>
          </w:p>
        </w:tc>
      </w:tr>
      <w:tr w:rsidR="00B53E6C" w:rsidRPr="00101A2A" w14:paraId="5BE54425" w14:textId="77777777" w:rsidTr="00B61D56">
        <w:trPr>
          <w:trHeight w:val="280"/>
        </w:trPr>
        <w:tc>
          <w:tcPr>
            <w:tcW w:w="2552" w:type="dxa"/>
            <w:tcBorders>
              <w:bottom w:val="single" w:sz="4" w:space="0" w:color="auto"/>
            </w:tcBorders>
            <w:noWrap/>
            <w:vAlign w:val="center"/>
            <w:hideMark/>
          </w:tcPr>
          <w:p w14:paraId="187F87F9" w14:textId="0365B5FD" w:rsidR="00B53E6C" w:rsidRPr="00101A2A" w:rsidRDefault="00B53E6C" w:rsidP="00B53E6C">
            <w:pPr>
              <w:spacing w:line="240" w:lineRule="auto"/>
              <w:ind w:firstLine="0"/>
              <w:rPr>
                <w:b/>
                <w:bCs/>
                <w:sz w:val="18"/>
                <w:szCs w:val="18"/>
              </w:rPr>
            </w:pPr>
            <w:r w:rsidRPr="00101A2A">
              <w:rPr>
                <w:b/>
                <w:bCs/>
                <w:sz w:val="18"/>
                <w:szCs w:val="18"/>
              </w:rPr>
              <w:t>Number of zip codes</w:t>
            </w:r>
          </w:p>
        </w:tc>
        <w:tc>
          <w:tcPr>
            <w:tcW w:w="1070" w:type="dxa"/>
            <w:tcBorders>
              <w:bottom w:val="single" w:sz="4" w:space="0" w:color="auto"/>
            </w:tcBorders>
            <w:noWrap/>
            <w:vAlign w:val="center"/>
            <w:hideMark/>
          </w:tcPr>
          <w:p w14:paraId="6F900ACF" w14:textId="2CC7DACD" w:rsidR="00B53E6C" w:rsidRPr="00B53E6C" w:rsidRDefault="00B53E6C" w:rsidP="00B53E6C">
            <w:pPr>
              <w:spacing w:line="240" w:lineRule="auto"/>
              <w:ind w:firstLine="0"/>
              <w:jc w:val="center"/>
              <w:rPr>
                <w:sz w:val="18"/>
                <w:szCs w:val="18"/>
              </w:rPr>
            </w:pPr>
            <w:r w:rsidRPr="00B53E6C">
              <w:rPr>
                <w:sz w:val="18"/>
                <w:szCs w:val="18"/>
              </w:rPr>
              <w:t>259</w:t>
            </w:r>
          </w:p>
        </w:tc>
        <w:tc>
          <w:tcPr>
            <w:tcW w:w="1070" w:type="dxa"/>
            <w:tcBorders>
              <w:bottom w:val="single" w:sz="4" w:space="0" w:color="auto"/>
            </w:tcBorders>
            <w:noWrap/>
            <w:vAlign w:val="center"/>
            <w:hideMark/>
          </w:tcPr>
          <w:p w14:paraId="03FB9F9D" w14:textId="4B97ACB1" w:rsidR="00B53E6C" w:rsidRPr="00B53E6C" w:rsidRDefault="00B53E6C" w:rsidP="00B53E6C">
            <w:pPr>
              <w:spacing w:line="240" w:lineRule="auto"/>
              <w:ind w:firstLine="0"/>
              <w:jc w:val="center"/>
              <w:rPr>
                <w:sz w:val="18"/>
                <w:szCs w:val="18"/>
              </w:rPr>
            </w:pPr>
            <w:r w:rsidRPr="00B53E6C">
              <w:rPr>
                <w:sz w:val="18"/>
                <w:szCs w:val="18"/>
              </w:rPr>
              <w:t>259</w:t>
            </w:r>
          </w:p>
        </w:tc>
        <w:tc>
          <w:tcPr>
            <w:tcW w:w="1070" w:type="dxa"/>
            <w:tcBorders>
              <w:bottom w:val="single" w:sz="4" w:space="0" w:color="auto"/>
            </w:tcBorders>
            <w:vAlign w:val="center"/>
          </w:tcPr>
          <w:p w14:paraId="6726F99D" w14:textId="7A30718C" w:rsidR="00B53E6C" w:rsidRPr="00B53E6C" w:rsidRDefault="00B53E6C" w:rsidP="00B53E6C">
            <w:pPr>
              <w:spacing w:line="240" w:lineRule="auto"/>
              <w:ind w:firstLine="0"/>
              <w:jc w:val="center"/>
              <w:rPr>
                <w:sz w:val="18"/>
                <w:szCs w:val="18"/>
              </w:rPr>
            </w:pPr>
            <w:r w:rsidRPr="00B53E6C">
              <w:rPr>
                <w:sz w:val="18"/>
                <w:szCs w:val="18"/>
              </w:rPr>
              <w:t>259</w:t>
            </w:r>
          </w:p>
        </w:tc>
        <w:tc>
          <w:tcPr>
            <w:tcW w:w="1070" w:type="dxa"/>
            <w:tcBorders>
              <w:bottom w:val="single" w:sz="4" w:space="0" w:color="auto"/>
            </w:tcBorders>
            <w:noWrap/>
            <w:vAlign w:val="center"/>
            <w:hideMark/>
          </w:tcPr>
          <w:p w14:paraId="5D42E2FC" w14:textId="02675346" w:rsidR="00B53E6C" w:rsidRPr="00B53E6C" w:rsidRDefault="00B53E6C" w:rsidP="00B53E6C">
            <w:pPr>
              <w:spacing w:line="240" w:lineRule="auto"/>
              <w:ind w:firstLine="0"/>
              <w:jc w:val="center"/>
              <w:rPr>
                <w:sz w:val="18"/>
                <w:szCs w:val="18"/>
              </w:rPr>
            </w:pPr>
            <w:r w:rsidRPr="00B53E6C">
              <w:rPr>
                <w:sz w:val="18"/>
                <w:szCs w:val="18"/>
              </w:rPr>
              <w:t>73</w:t>
            </w:r>
          </w:p>
        </w:tc>
        <w:tc>
          <w:tcPr>
            <w:tcW w:w="1070" w:type="dxa"/>
            <w:tcBorders>
              <w:bottom w:val="single" w:sz="4" w:space="0" w:color="auto"/>
            </w:tcBorders>
            <w:noWrap/>
            <w:vAlign w:val="center"/>
            <w:hideMark/>
          </w:tcPr>
          <w:p w14:paraId="6A0ACD6A" w14:textId="7E92F4E3" w:rsidR="00B53E6C" w:rsidRPr="00B53E6C" w:rsidRDefault="00B53E6C" w:rsidP="00B53E6C">
            <w:pPr>
              <w:spacing w:line="240" w:lineRule="auto"/>
              <w:ind w:firstLine="0"/>
              <w:jc w:val="center"/>
              <w:rPr>
                <w:sz w:val="18"/>
                <w:szCs w:val="18"/>
              </w:rPr>
            </w:pPr>
            <w:r w:rsidRPr="00B53E6C">
              <w:rPr>
                <w:sz w:val="18"/>
                <w:szCs w:val="18"/>
              </w:rPr>
              <w:t>73</w:t>
            </w:r>
          </w:p>
        </w:tc>
        <w:tc>
          <w:tcPr>
            <w:tcW w:w="1070" w:type="dxa"/>
            <w:tcBorders>
              <w:bottom w:val="single" w:sz="4" w:space="0" w:color="auto"/>
            </w:tcBorders>
            <w:noWrap/>
            <w:vAlign w:val="center"/>
            <w:hideMark/>
          </w:tcPr>
          <w:p w14:paraId="3B773C9E" w14:textId="62F0A780" w:rsidR="00B53E6C" w:rsidRPr="00B53E6C" w:rsidRDefault="00B53E6C" w:rsidP="00B53E6C">
            <w:pPr>
              <w:spacing w:line="240" w:lineRule="auto"/>
              <w:ind w:firstLine="0"/>
              <w:jc w:val="center"/>
              <w:rPr>
                <w:sz w:val="18"/>
                <w:szCs w:val="18"/>
              </w:rPr>
            </w:pPr>
            <w:r w:rsidRPr="00B53E6C">
              <w:rPr>
                <w:sz w:val="18"/>
                <w:szCs w:val="18"/>
              </w:rPr>
              <w:t>73</w:t>
            </w:r>
          </w:p>
        </w:tc>
        <w:tc>
          <w:tcPr>
            <w:tcW w:w="1070" w:type="dxa"/>
            <w:tcBorders>
              <w:bottom w:val="single" w:sz="4" w:space="0" w:color="auto"/>
            </w:tcBorders>
            <w:noWrap/>
            <w:vAlign w:val="center"/>
            <w:hideMark/>
          </w:tcPr>
          <w:p w14:paraId="685D3C75" w14:textId="2F6F05A0" w:rsidR="00B53E6C" w:rsidRPr="00B53E6C" w:rsidRDefault="00B53E6C" w:rsidP="00B53E6C">
            <w:pPr>
              <w:spacing w:line="240" w:lineRule="auto"/>
              <w:ind w:firstLine="0"/>
              <w:jc w:val="center"/>
              <w:rPr>
                <w:sz w:val="18"/>
                <w:szCs w:val="18"/>
              </w:rPr>
            </w:pPr>
            <w:r w:rsidRPr="00B53E6C">
              <w:rPr>
                <w:sz w:val="18"/>
                <w:szCs w:val="18"/>
              </w:rPr>
              <w:t>259</w:t>
            </w:r>
          </w:p>
        </w:tc>
      </w:tr>
      <w:tr w:rsidR="00446691" w:rsidRPr="00101A2A" w14:paraId="7202E0A0" w14:textId="77777777" w:rsidTr="00B61D56">
        <w:trPr>
          <w:trHeight w:val="280"/>
        </w:trPr>
        <w:tc>
          <w:tcPr>
            <w:tcW w:w="10069" w:type="dxa"/>
            <w:gridSpan w:val="8"/>
            <w:tcBorders>
              <w:top w:val="single" w:sz="4" w:space="0" w:color="auto"/>
            </w:tcBorders>
            <w:noWrap/>
            <w:vAlign w:val="center"/>
          </w:tcPr>
          <w:p w14:paraId="298BC49F" w14:textId="072B7518" w:rsidR="00446691" w:rsidRPr="00101A2A" w:rsidRDefault="00446691" w:rsidP="00A52F78">
            <w:pPr>
              <w:spacing w:line="240" w:lineRule="auto"/>
              <w:ind w:firstLine="0"/>
              <w:rPr>
                <w:sz w:val="18"/>
                <w:szCs w:val="18"/>
              </w:rPr>
            </w:pPr>
            <w:r w:rsidRPr="00101A2A">
              <w:rPr>
                <w:sz w:val="18"/>
                <w:szCs w:val="18"/>
              </w:rPr>
              <w:t>Standard errors in parentheses.</w:t>
            </w:r>
            <w:r w:rsidR="00845DF5" w:rsidRPr="00101A2A">
              <w:rPr>
                <w:sz w:val="18"/>
                <w:szCs w:val="18"/>
              </w:rPr>
              <w:t xml:space="preserve"> </w:t>
            </w:r>
            <w:r w:rsidR="00A72391" w:rsidRPr="00101A2A">
              <w:rPr>
                <w:sz w:val="18"/>
                <w:szCs w:val="18"/>
              </w:rPr>
              <w:t>*** p&lt;0.01, ** p&lt;0.05, * p&lt;0.1</w:t>
            </w:r>
          </w:p>
        </w:tc>
      </w:tr>
    </w:tbl>
    <w:p w14:paraId="47C02C89" w14:textId="77777777" w:rsidR="00DC25B9" w:rsidRPr="00101A2A" w:rsidRDefault="00DC25B9" w:rsidP="00DC25B9"/>
    <w:p w14:paraId="770E6410" w14:textId="77777777" w:rsidR="00DC25B9" w:rsidRPr="00101A2A" w:rsidRDefault="00DC25B9" w:rsidP="00DC25B9"/>
    <w:p w14:paraId="25407D81" w14:textId="4315009B" w:rsidR="00A03651" w:rsidRPr="00101A2A" w:rsidRDefault="00A03651" w:rsidP="00DB69EF">
      <w:pPr>
        <w:ind w:firstLine="0"/>
      </w:pPr>
      <w:r w:rsidRPr="00101A2A">
        <w:br w:type="page"/>
      </w:r>
    </w:p>
    <w:p w14:paraId="7E276381" w14:textId="180E583F" w:rsidR="00502BAC" w:rsidRDefault="00A03651" w:rsidP="009B4A6E">
      <w:pPr>
        <w:spacing w:line="240" w:lineRule="auto"/>
        <w:ind w:firstLine="0"/>
        <w:rPr>
          <w:b/>
          <w:bCs/>
        </w:rPr>
      </w:pPr>
      <w:r w:rsidRPr="00101A2A">
        <w:rPr>
          <w:b/>
          <w:bCs/>
        </w:rPr>
        <w:lastRenderedPageBreak/>
        <w:t xml:space="preserve">Table </w:t>
      </w:r>
      <w:r w:rsidR="00E34F52">
        <w:rPr>
          <w:b/>
          <w:bCs/>
        </w:rPr>
        <w:t>5</w:t>
      </w:r>
      <w:r w:rsidRPr="00101A2A">
        <w:rPr>
          <w:b/>
          <w:bCs/>
        </w:rPr>
        <w:t xml:space="preserve">: </w:t>
      </w:r>
      <w:r w:rsidR="00502BAC">
        <w:rPr>
          <w:b/>
          <w:bCs/>
        </w:rPr>
        <w:t>Robustness c</w:t>
      </w:r>
      <w:r w:rsidRPr="00101A2A">
        <w:rPr>
          <w:b/>
          <w:bCs/>
        </w:rPr>
        <w:t>heck</w:t>
      </w:r>
      <w:r w:rsidR="005373B3">
        <w:rPr>
          <w:b/>
          <w:bCs/>
        </w:rPr>
        <w:t>s</w:t>
      </w:r>
      <w:r w:rsidR="00502BAC">
        <w:rPr>
          <w:b/>
          <w:bCs/>
        </w:rPr>
        <w:t xml:space="preserve"> with alternative measures of </w:t>
      </w:r>
      <w:r w:rsidR="004C0751">
        <w:rPr>
          <w:b/>
          <w:bCs/>
        </w:rPr>
        <w:t>spanner host</w:t>
      </w:r>
      <w:r w:rsidRPr="00101A2A">
        <w:rPr>
          <w:b/>
          <w:bCs/>
        </w:rPr>
        <w:t>.</w:t>
      </w:r>
    </w:p>
    <w:p w14:paraId="3CFA82E0" w14:textId="41B90A0B" w:rsidR="009B154F" w:rsidRPr="00101A2A" w:rsidRDefault="00502BAC" w:rsidP="009B4A6E">
      <w:pPr>
        <w:spacing w:line="240" w:lineRule="auto"/>
        <w:ind w:firstLine="0"/>
      </w:pPr>
      <w:r>
        <w:t xml:space="preserve">We check for the results’ robustness to alternative measure of spanner. Specifically, we check the effect of spanner proportion (Models 1 and 2), of its interaction with </w:t>
      </w:r>
      <w:r w:rsidR="00A623C1">
        <w:t>Consumer</w:t>
      </w:r>
      <w:r>
        <w:t xml:space="preserve"> attention (Models 3 and 4), and with Regulated market (Models 5 and 6) on the price of resources </w:t>
      </w:r>
      <w:r w:rsidRPr="00951719">
        <w:t xml:space="preserve">if </w:t>
      </w:r>
      <w:r>
        <w:t>the spanner</w:t>
      </w:r>
      <w:r w:rsidRPr="00951719">
        <w:t xml:space="preserve"> manages 3 or more listings (i.e., 80</w:t>
      </w:r>
      <w:r w:rsidRPr="00951719">
        <w:rPr>
          <w:vertAlign w:val="superscript"/>
        </w:rPr>
        <w:t>th</w:t>
      </w:r>
      <w:r w:rsidRPr="00951719">
        <w:t xml:space="preserve"> percentile, Model</w:t>
      </w:r>
      <w:r>
        <w:t>s 1, 3, and 5</w:t>
      </w:r>
      <w:r w:rsidRPr="00951719">
        <w:t>), and 8 or more listings (i.e., 93</w:t>
      </w:r>
      <w:r w:rsidRPr="00951719">
        <w:rPr>
          <w:vertAlign w:val="superscript"/>
        </w:rPr>
        <w:t>rd</w:t>
      </w:r>
      <w:r w:rsidRPr="00951719">
        <w:t xml:space="preserve"> percentile, Model</w:t>
      </w:r>
      <w:r>
        <w:t>s</w:t>
      </w:r>
      <w:r w:rsidRPr="00951719">
        <w:t xml:space="preserve"> </w:t>
      </w:r>
      <w:r>
        <w:t>2, 4, and 6</w:t>
      </w:r>
      <w:r w:rsidRPr="00951719">
        <w:t>)</w:t>
      </w:r>
      <w:r>
        <w:t>.</w:t>
      </w:r>
      <w:r w:rsidR="00CE1688">
        <w:t xml:space="preserve"> </w:t>
      </w:r>
      <w:r w:rsidR="00CE1688" w:rsidRPr="00101A2A">
        <w:t xml:space="preserve">All models use the </w:t>
      </w:r>
      <w:r w:rsidR="00CE1688">
        <w:t>Arellano-Bond estimator (1991).</w:t>
      </w:r>
      <w:r>
        <w:t xml:space="preserve"> </w:t>
      </w:r>
      <w:r w:rsidRPr="00951719">
        <w:t xml:space="preserve">These results show that the more extreme the spanning behavior of the </w:t>
      </w:r>
      <w:r>
        <w:t>host</w:t>
      </w:r>
      <w:r w:rsidRPr="00951719">
        <w:t xml:space="preserve"> (i.e., the more listings managed by a spanner), the stronger and more significant</w:t>
      </w:r>
      <w:r>
        <w:t xml:space="preserve"> are each of the three effects investigated. </w:t>
      </w:r>
      <w:r w:rsidR="00A03651" w:rsidRPr="00101A2A">
        <w:t xml:space="preserve"> </w:t>
      </w:r>
    </w:p>
    <w:p w14:paraId="0709C7F4" w14:textId="77777777" w:rsidR="00A03651" w:rsidRPr="00101A2A" w:rsidRDefault="00A03651" w:rsidP="00DB69EF">
      <w:pPr>
        <w:pStyle w:val="Tables"/>
        <w:rPr>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2"/>
        <w:gridCol w:w="1070"/>
        <w:gridCol w:w="1070"/>
        <w:gridCol w:w="1070"/>
        <w:gridCol w:w="1070"/>
        <w:gridCol w:w="1070"/>
        <w:gridCol w:w="1070"/>
      </w:tblGrid>
      <w:tr w:rsidR="00B07636" w:rsidRPr="00101A2A" w14:paraId="538DA78A" w14:textId="77777777" w:rsidTr="00B61D56">
        <w:trPr>
          <w:trHeight w:val="280"/>
        </w:trPr>
        <w:tc>
          <w:tcPr>
            <w:tcW w:w="2552" w:type="dxa"/>
            <w:tcBorders>
              <w:top w:val="single" w:sz="4" w:space="0" w:color="auto"/>
              <w:bottom w:val="single" w:sz="4" w:space="0" w:color="auto"/>
            </w:tcBorders>
            <w:noWrap/>
            <w:vAlign w:val="center"/>
          </w:tcPr>
          <w:p w14:paraId="2E2081AF" w14:textId="77777777" w:rsidR="00B07636" w:rsidRPr="00101A2A" w:rsidRDefault="00B07636" w:rsidP="00451AC5">
            <w:pPr>
              <w:spacing w:line="240" w:lineRule="auto"/>
              <w:ind w:firstLine="0"/>
              <w:jc w:val="center"/>
              <w:rPr>
                <w:sz w:val="18"/>
                <w:szCs w:val="18"/>
              </w:rPr>
            </w:pPr>
          </w:p>
        </w:tc>
        <w:tc>
          <w:tcPr>
            <w:tcW w:w="2140" w:type="dxa"/>
            <w:gridSpan w:val="2"/>
            <w:tcBorders>
              <w:top w:val="single" w:sz="4" w:space="0" w:color="auto"/>
              <w:bottom w:val="single" w:sz="4" w:space="0" w:color="auto"/>
            </w:tcBorders>
            <w:noWrap/>
            <w:vAlign w:val="center"/>
          </w:tcPr>
          <w:p w14:paraId="3B3EE00B" w14:textId="7ED1F0C2" w:rsidR="00B07636" w:rsidRPr="00101A2A" w:rsidRDefault="00B07636" w:rsidP="00451AC5">
            <w:pPr>
              <w:spacing w:line="240" w:lineRule="auto"/>
              <w:ind w:firstLine="0"/>
              <w:jc w:val="center"/>
              <w:rPr>
                <w:b/>
                <w:bCs/>
                <w:sz w:val="18"/>
                <w:szCs w:val="18"/>
              </w:rPr>
            </w:pPr>
            <w:r>
              <w:rPr>
                <w:b/>
                <w:bCs/>
                <w:sz w:val="18"/>
                <w:szCs w:val="18"/>
              </w:rPr>
              <w:t>10-city</w:t>
            </w:r>
          </w:p>
        </w:tc>
        <w:tc>
          <w:tcPr>
            <w:tcW w:w="2140" w:type="dxa"/>
            <w:gridSpan w:val="2"/>
            <w:tcBorders>
              <w:top w:val="single" w:sz="4" w:space="0" w:color="auto"/>
              <w:bottom w:val="single" w:sz="4" w:space="0" w:color="auto"/>
            </w:tcBorders>
            <w:vAlign w:val="center"/>
          </w:tcPr>
          <w:p w14:paraId="2373C429" w14:textId="4BF9426D" w:rsidR="00B07636" w:rsidRPr="00101A2A" w:rsidRDefault="00B07636" w:rsidP="00451AC5">
            <w:pPr>
              <w:spacing w:line="240" w:lineRule="auto"/>
              <w:ind w:firstLine="0"/>
              <w:jc w:val="center"/>
              <w:rPr>
                <w:b/>
                <w:bCs/>
                <w:sz w:val="18"/>
                <w:szCs w:val="18"/>
              </w:rPr>
            </w:pPr>
            <w:r>
              <w:rPr>
                <w:b/>
                <w:bCs/>
                <w:sz w:val="18"/>
                <w:szCs w:val="18"/>
              </w:rPr>
              <w:t>3-city</w:t>
            </w:r>
          </w:p>
        </w:tc>
        <w:tc>
          <w:tcPr>
            <w:tcW w:w="2140" w:type="dxa"/>
            <w:gridSpan w:val="2"/>
            <w:tcBorders>
              <w:top w:val="single" w:sz="4" w:space="0" w:color="auto"/>
              <w:bottom w:val="single" w:sz="4" w:space="0" w:color="auto"/>
            </w:tcBorders>
            <w:noWrap/>
            <w:vAlign w:val="center"/>
          </w:tcPr>
          <w:p w14:paraId="4A9BBC25" w14:textId="0CDDD508" w:rsidR="00B07636" w:rsidRPr="00101A2A" w:rsidRDefault="00B07636" w:rsidP="00451AC5">
            <w:pPr>
              <w:spacing w:line="240" w:lineRule="auto"/>
              <w:ind w:firstLine="0"/>
              <w:jc w:val="center"/>
              <w:rPr>
                <w:b/>
                <w:bCs/>
                <w:sz w:val="18"/>
                <w:szCs w:val="18"/>
              </w:rPr>
            </w:pPr>
            <w:r>
              <w:rPr>
                <w:b/>
                <w:bCs/>
                <w:sz w:val="18"/>
                <w:szCs w:val="18"/>
              </w:rPr>
              <w:t>10-city</w:t>
            </w:r>
          </w:p>
        </w:tc>
      </w:tr>
      <w:tr w:rsidR="00664971" w:rsidRPr="00101A2A" w14:paraId="2B13C9F2" w14:textId="77777777" w:rsidTr="00B61D56">
        <w:trPr>
          <w:trHeight w:val="280"/>
        </w:trPr>
        <w:tc>
          <w:tcPr>
            <w:tcW w:w="2552" w:type="dxa"/>
            <w:tcBorders>
              <w:bottom w:val="single" w:sz="4" w:space="0" w:color="auto"/>
            </w:tcBorders>
            <w:noWrap/>
            <w:vAlign w:val="center"/>
            <w:hideMark/>
          </w:tcPr>
          <w:p w14:paraId="057164B6" w14:textId="77777777" w:rsidR="00664971" w:rsidRPr="00101A2A" w:rsidRDefault="00664971" w:rsidP="00451AC5">
            <w:pPr>
              <w:spacing w:line="240" w:lineRule="auto"/>
              <w:ind w:firstLine="0"/>
              <w:jc w:val="center"/>
              <w:rPr>
                <w:sz w:val="18"/>
                <w:szCs w:val="18"/>
              </w:rPr>
            </w:pPr>
          </w:p>
        </w:tc>
        <w:tc>
          <w:tcPr>
            <w:tcW w:w="1070" w:type="dxa"/>
            <w:tcBorders>
              <w:bottom w:val="single" w:sz="4" w:space="0" w:color="auto"/>
            </w:tcBorders>
            <w:noWrap/>
            <w:vAlign w:val="center"/>
            <w:hideMark/>
          </w:tcPr>
          <w:p w14:paraId="6A31505D" w14:textId="77777777" w:rsidR="00664971" w:rsidRPr="00101A2A" w:rsidRDefault="00664971" w:rsidP="00451AC5">
            <w:pPr>
              <w:spacing w:line="240" w:lineRule="auto"/>
              <w:ind w:firstLine="0"/>
              <w:jc w:val="center"/>
              <w:rPr>
                <w:b/>
                <w:bCs/>
                <w:sz w:val="18"/>
                <w:szCs w:val="18"/>
              </w:rPr>
            </w:pPr>
            <w:r w:rsidRPr="00101A2A">
              <w:rPr>
                <w:b/>
                <w:bCs/>
                <w:sz w:val="18"/>
                <w:szCs w:val="18"/>
              </w:rPr>
              <w:t>Model 1</w:t>
            </w:r>
          </w:p>
        </w:tc>
        <w:tc>
          <w:tcPr>
            <w:tcW w:w="1070" w:type="dxa"/>
            <w:tcBorders>
              <w:bottom w:val="single" w:sz="4" w:space="0" w:color="auto"/>
            </w:tcBorders>
            <w:noWrap/>
            <w:vAlign w:val="center"/>
            <w:hideMark/>
          </w:tcPr>
          <w:p w14:paraId="00E4ED1C" w14:textId="77777777" w:rsidR="00664971" w:rsidRPr="00101A2A" w:rsidRDefault="00664971" w:rsidP="00451AC5">
            <w:pPr>
              <w:spacing w:line="240" w:lineRule="auto"/>
              <w:ind w:firstLine="0"/>
              <w:jc w:val="center"/>
              <w:rPr>
                <w:b/>
                <w:bCs/>
                <w:sz w:val="18"/>
                <w:szCs w:val="18"/>
              </w:rPr>
            </w:pPr>
            <w:r w:rsidRPr="00101A2A">
              <w:rPr>
                <w:b/>
                <w:bCs/>
                <w:sz w:val="18"/>
                <w:szCs w:val="18"/>
              </w:rPr>
              <w:t>Model 2</w:t>
            </w:r>
          </w:p>
        </w:tc>
        <w:tc>
          <w:tcPr>
            <w:tcW w:w="1070" w:type="dxa"/>
            <w:tcBorders>
              <w:bottom w:val="single" w:sz="4" w:space="0" w:color="auto"/>
            </w:tcBorders>
            <w:vAlign w:val="center"/>
          </w:tcPr>
          <w:p w14:paraId="6968FF2B" w14:textId="77777777" w:rsidR="00664971" w:rsidRPr="00101A2A" w:rsidRDefault="00664971" w:rsidP="00451AC5">
            <w:pPr>
              <w:spacing w:line="240" w:lineRule="auto"/>
              <w:ind w:firstLine="0"/>
              <w:jc w:val="center"/>
              <w:rPr>
                <w:b/>
                <w:bCs/>
                <w:sz w:val="18"/>
                <w:szCs w:val="18"/>
              </w:rPr>
            </w:pPr>
            <w:r w:rsidRPr="00101A2A">
              <w:rPr>
                <w:b/>
                <w:bCs/>
                <w:sz w:val="18"/>
                <w:szCs w:val="18"/>
              </w:rPr>
              <w:t>Model 3</w:t>
            </w:r>
          </w:p>
        </w:tc>
        <w:tc>
          <w:tcPr>
            <w:tcW w:w="1070" w:type="dxa"/>
            <w:tcBorders>
              <w:bottom w:val="single" w:sz="4" w:space="0" w:color="auto"/>
            </w:tcBorders>
            <w:noWrap/>
            <w:vAlign w:val="center"/>
            <w:hideMark/>
          </w:tcPr>
          <w:p w14:paraId="7C121712" w14:textId="77777777" w:rsidR="00664971" w:rsidRPr="00101A2A" w:rsidRDefault="00664971" w:rsidP="00451AC5">
            <w:pPr>
              <w:spacing w:line="240" w:lineRule="auto"/>
              <w:ind w:firstLine="0"/>
              <w:jc w:val="center"/>
              <w:rPr>
                <w:b/>
                <w:bCs/>
                <w:sz w:val="18"/>
                <w:szCs w:val="18"/>
              </w:rPr>
            </w:pPr>
            <w:r w:rsidRPr="00101A2A">
              <w:rPr>
                <w:b/>
                <w:bCs/>
                <w:sz w:val="18"/>
                <w:szCs w:val="18"/>
              </w:rPr>
              <w:t>Model 4</w:t>
            </w:r>
          </w:p>
        </w:tc>
        <w:tc>
          <w:tcPr>
            <w:tcW w:w="1070" w:type="dxa"/>
            <w:tcBorders>
              <w:bottom w:val="single" w:sz="4" w:space="0" w:color="auto"/>
            </w:tcBorders>
            <w:noWrap/>
            <w:vAlign w:val="center"/>
            <w:hideMark/>
          </w:tcPr>
          <w:p w14:paraId="5D0BFBE8" w14:textId="77777777" w:rsidR="00664971" w:rsidRPr="00101A2A" w:rsidRDefault="00664971" w:rsidP="00451AC5">
            <w:pPr>
              <w:spacing w:line="240" w:lineRule="auto"/>
              <w:ind w:firstLine="0"/>
              <w:jc w:val="center"/>
              <w:rPr>
                <w:b/>
                <w:bCs/>
                <w:sz w:val="18"/>
                <w:szCs w:val="18"/>
              </w:rPr>
            </w:pPr>
            <w:r w:rsidRPr="00101A2A">
              <w:rPr>
                <w:b/>
                <w:bCs/>
                <w:sz w:val="18"/>
                <w:szCs w:val="18"/>
              </w:rPr>
              <w:t>Model 5</w:t>
            </w:r>
          </w:p>
        </w:tc>
        <w:tc>
          <w:tcPr>
            <w:tcW w:w="1070" w:type="dxa"/>
            <w:tcBorders>
              <w:bottom w:val="single" w:sz="4" w:space="0" w:color="auto"/>
            </w:tcBorders>
            <w:noWrap/>
            <w:vAlign w:val="center"/>
            <w:hideMark/>
          </w:tcPr>
          <w:p w14:paraId="2FCBE28D" w14:textId="77777777" w:rsidR="00664971" w:rsidRPr="00101A2A" w:rsidRDefault="00664971" w:rsidP="00451AC5">
            <w:pPr>
              <w:spacing w:line="240" w:lineRule="auto"/>
              <w:ind w:firstLine="0"/>
              <w:jc w:val="center"/>
              <w:rPr>
                <w:b/>
                <w:bCs/>
                <w:sz w:val="18"/>
                <w:szCs w:val="18"/>
              </w:rPr>
            </w:pPr>
            <w:r w:rsidRPr="00101A2A">
              <w:rPr>
                <w:b/>
                <w:bCs/>
                <w:sz w:val="18"/>
                <w:szCs w:val="18"/>
              </w:rPr>
              <w:t>Model 6</w:t>
            </w:r>
          </w:p>
        </w:tc>
      </w:tr>
      <w:tr w:rsidR="00664971" w:rsidRPr="00101A2A" w14:paraId="0B0E05F1" w14:textId="77777777" w:rsidTr="00B61D56">
        <w:trPr>
          <w:trHeight w:val="280"/>
        </w:trPr>
        <w:tc>
          <w:tcPr>
            <w:tcW w:w="2552" w:type="dxa"/>
            <w:vMerge w:val="restart"/>
            <w:tcBorders>
              <w:top w:val="single" w:sz="4" w:space="0" w:color="auto"/>
            </w:tcBorders>
            <w:noWrap/>
            <w:vAlign w:val="center"/>
            <w:hideMark/>
          </w:tcPr>
          <w:p w14:paraId="31370F33" w14:textId="77777777" w:rsidR="00664971" w:rsidRPr="00101A2A" w:rsidRDefault="00664971" w:rsidP="00664971">
            <w:pPr>
              <w:spacing w:line="240" w:lineRule="auto"/>
              <w:ind w:firstLine="0"/>
              <w:rPr>
                <w:b/>
                <w:bCs/>
                <w:sz w:val="18"/>
                <w:szCs w:val="18"/>
              </w:rPr>
            </w:pPr>
            <w:r w:rsidRPr="00101A2A">
              <w:rPr>
                <w:b/>
                <w:bCs/>
                <w:sz w:val="18"/>
                <w:szCs w:val="18"/>
              </w:rPr>
              <w:t>Spanner proportion</w:t>
            </w:r>
          </w:p>
        </w:tc>
        <w:tc>
          <w:tcPr>
            <w:tcW w:w="1070" w:type="dxa"/>
            <w:tcBorders>
              <w:top w:val="single" w:sz="4" w:space="0" w:color="auto"/>
            </w:tcBorders>
            <w:noWrap/>
            <w:vAlign w:val="center"/>
            <w:hideMark/>
          </w:tcPr>
          <w:p w14:paraId="284ED98A" w14:textId="40E92262"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tcBorders>
              <w:top w:val="single" w:sz="4" w:space="0" w:color="auto"/>
            </w:tcBorders>
            <w:noWrap/>
            <w:vAlign w:val="center"/>
            <w:hideMark/>
          </w:tcPr>
          <w:p w14:paraId="73FC5DF1" w14:textId="7FAB1FEC" w:rsidR="00664971" w:rsidRPr="00664971" w:rsidRDefault="00664971" w:rsidP="00664971">
            <w:pPr>
              <w:spacing w:line="240" w:lineRule="auto"/>
              <w:ind w:firstLine="0"/>
              <w:jc w:val="center"/>
              <w:rPr>
                <w:sz w:val="18"/>
                <w:szCs w:val="18"/>
              </w:rPr>
            </w:pPr>
            <w:r w:rsidRPr="00664971">
              <w:rPr>
                <w:sz w:val="18"/>
                <w:szCs w:val="18"/>
              </w:rPr>
              <w:t>0.004***</w:t>
            </w:r>
          </w:p>
        </w:tc>
        <w:tc>
          <w:tcPr>
            <w:tcW w:w="1070" w:type="dxa"/>
            <w:tcBorders>
              <w:top w:val="single" w:sz="4" w:space="0" w:color="auto"/>
            </w:tcBorders>
            <w:vAlign w:val="center"/>
          </w:tcPr>
          <w:p w14:paraId="33ACEC73" w14:textId="5F169A31" w:rsidR="00664971" w:rsidRPr="00664971" w:rsidRDefault="00664971" w:rsidP="00664971">
            <w:pPr>
              <w:spacing w:line="240" w:lineRule="auto"/>
              <w:ind w:firstLine="0"/>
              <w:jc w:val="center"/>
              <w:rPr>
                <w:sz w:val="18"/>
                <w:szCs w:val="18"/>
              </w:rPr>
            </w:pPr>
            <w:r w:rsidRPr="00664971">
              <w:rPr>
                <w:sz w:val="18"/>
                <w:szCs w:val="18"/>
              </w:rPr>
              <w:t>0.001**</w:t>
            </w:r>
          </w:p>
        </w:tc>
        <w:tc>
          <w:tcPr>
            <w:tcW w:w="1070" w:type="dxa"/>
            <w:tcBorders>
              <w:top w:val="single" w:sz="4" w:space="0" w:color="auto"/>
            </w:tcBorders>
            <w:noWrap/>
            <w:vAlign w:val="center"/>
            <w:hideMark/>
          </w:tcPr>
          <w:p w14:paraId="0BF7C209" w14:textId="2EC2014C" w:rsidR="00664971" w:rsidRPr="00664971" w:rsidRDefault="00664971" w:rsidP="00664971">
            <w:pPr>
              <w:spacing w:line="240" w:lineRule="auto"/>
              <w:ind w:firstLine="0"/>
              <w:jc w:val="center"/>
              <w:rPr>
                <w:sz w:val="18"/>
                <w:szCs w:val="18"/>
              </w:rPr>
            </w:pPr>
            <w:r w:rsidRPr="00664971">
              <w:rPr>
                <w:sz w:val="18"/>
                <w:szCs w:val="18"/>
              </w:rPr>
              <w:t>0.003***</w:t>
            </w:r>
          </w:p>
        </w:tc>
        <w:tc>
          <w:tcPr>
            <w:tcW w:w="1070" w:type="dxa"/>
            <w:tcBorders>
              <w:top w:val="single" w:sz="4" w:space="0" w:color="auto"/>
            </w:tcBorders>
            <w:noWrap/>
            <w:vAlign w:val="center"/>
            <w:hideMark/>
          </w:tcPr>
          <w:p w14:paraId="3ADB86F8" w14:textId="374FE166" w:rsidR="00664971" w:rsidRPr="00664971" w:rsidRDefault="00664971" w:rsidP="00664971">
            <w:pPr>
              <w:spacing w:line="240" w:lineRule="auto"/>
              <w:ind w:firstLine="0"/>
              <w:jc w:val="center"/>
              <w:rPr>
                <w:sz w:val="18"/>
                <w:szCs w:val="18"/>
              </w:rPr>
            </w:pPr>
            <w:r w:rsidRPr="00664971">
              <w:rPr>
                <w:sz w:val="18"/>
                <w:szCs w:val="18"/>
              </w:rPr>
              <w:t>0.001**</w:t>
            </w:r>
          </w:p>
        </w:tc>
        <w:tc>
          <w:tcPr>
            <w:tcW w:w="1070" w:type="dxa"/>
            <w:tcBorders>
              <w:top w:val="single" w:sz="4" w:space="0" w:color="auto"/>
            </w:tcBorders>
            <w:noWrap/>
            <w:vAlign w:val="center"/>
            <w:hideMark/>
          </w:tcPr>
          <w:p w14:paraId="12D5BEAC" w14:textId="64F520A2" w:rsidR="00664971" w:rsidRPr="00664971" w:rsidRDefault="00664971" w:rsidP="00664971">
            <w:pPr>
              <w:spacing w:line="240" w:lineRule="auto"/>
              <w:ind w:firstLine="0"/>
              <w:jc w:val="center"/>
              <w:rPr>
                <w:sz w:val="18"/>
                <w:szCs w:val="18"/>
              </w:rPr>
            </w:pPr>
            <w:r w:rsidRPr="00664971">
              <w:rPr>
                <w:sz w:val="18"/>
                <w:szCs w:val="18"/>
              </w:rPr>
              <w:t>0.002***</w:t>
            </w:r>
          </w:p>
        </w:tc>
      </w:tr>
      <w:tr w:rsidR="00664971" w:rsidRPr="00101A2A" w14:paraId="5D64AF32" w14:textId="77777777" w:rsidTr="00B61D56">
        <w:trPr>
          <w:trHeight w:val="280"/>
        </w:trPr>
        <w:tc>
          <w:tcPr>
            <w:tcW w:w="2552" w:type="dxa"/>
            <w:vMerge/>
            <w:noWrap/>
            <w:vAlign w:val="center"/>
            <w:hideMark/>
          </w:tcPr>
          <w:p w14:paraId="3406AFBD" w14:textId="77777777" w:rsidR="00664971" w:rsidRPr="00101A2A" w:rsidRDefault="00664971" w:rsidP="00664971">
            <w:pPr>
              <w:spacing w:line="240" w:lineRule="auto"/>
              <w:ind w:firstLine="0"/>
              <w:rPr>
                <w:b/>
                <w:bCs/>
                <w:sz w:val="18"/>
                <w:szCs w:val="18"/>
              </w:rPr>
            </w:pPr>
          </w:p>
        </w:tc>
        <w:tc>
          <w:tcPr>
            <w:tcW w:w="1070" w:type="dxa"/>
            <w:noWrap/>
            <w:vAlign w:val="center"/>
            <w:hideMark/>
          </w:tcPr>
          <w:p w14:paraId="7F90C08B" w14:textId="2AF1C94F"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hideMark/>
          </w:tcPr>
          <w:p w14:paraId="6F37A15C" w14:textId="4B981646" w:rsidR="00664971" w:rsidRPr="00664971" w:rsidRDefault="00664971" w:rsidP="00664971">
            <w:pPr>
              <w:spacing w:line="240" w:lineRule="auto"/>
              <w:ind w:firstLine="0"/>
              <w:jc w:val="center"/>
              <w:rPr>
                <w:sz w:val="18"/>
                <w:szCs w:val="18"/>
              </w:rPr>
            </w:pPr>
            <w:r w:rsidRPr="00664971">
              <w:rPr>
                <w:sz w:val="18"/>
                <w:szCs w:val="18"/>
              </w:rPr>
              <w:t>(0.001)</w:t>
            </w:r>
          </w:p>
        </w:tc>
        <w:tc>
          <w:tcPr>
            <w:tcW w:w="1070" w:type="dxa"/>
            <w:vAlign w:val="center"/>
          </w:tcPr>
          <w:p w14:paraId="443632D8" w14:textId="751A95A2" w:rsidR="00664971" w:rsidRPr="00664971" w:rsidRDefault="00664971" w:rsidP="00664971">
            <w:pPr>
              <w:spacing w:line="240" w:lineRule="auto"/>
              <w:ind w:firstLine="0"/>
              <w:jc w:val="center"/>
              <w:rPr>
                <w:sz w:val="18"/>
                <w:szCs w:val="18"/>
              </w:rPr>
            </w:pPr>
            <w:r w:rsidRPr="00664971">
              <w:rPr>
                <w:sz w:val="18"/>
                <w:szCs w:val="18"/>
              </w:rPr>
              <w:t>(0.001)</w:t>
            </w:r>
          </w:p>
        </w:tc>
        <w:tc>
          <w:tcPr>
            <w:tcW w:w="1070" w:type="dxa"/>
            <w:noWrap/>
            <w:vAlign w:val="center"/>
            <w:hideMark/>
          </w:tcPr>
          <w:p w14:paraId="6E495C03" w14:textId="3C45FB5E" w:rsidR="00664971" w:rsidRPr="00664971" w:rsidRDefault="00664971" w:rsidP="00664971">
            <w:pPr>
              <w:spacing w:line="240" w:lineRule="auto"/>
              <w:ind w:firstLine="0"/>
              <w:jc w:val="center"/>
              <w:rPr>
                <w:sz w:val="18"/>
                <w:szCs w:val="18"/>
              </w:rPr>
            </w:pPr>
            <w:r w:rsidRPr="00664971">
              <w:rPr>
                <w:sz w:val="18"/>
                <w:szCs w:val="18"/>
              </w:rPr>
              <w:t>(0.001)</w:t>
            </w:r>
          </w:p>
        </w:tc>
        <w:tc>
          <w:tcPr>
            <w:tcW w:w="1070" w:type="dxa"/>
            <w:noWrap/>
            <w:vAlign w:val="center"/>
            <w:hideMark/>
          </w:tcPr>
          <w:p w14:paraId="0F5BCD3D" w14:textId="3734F062" w:rsidR="00664971" w:rsidRPr="00664971" w:rsidRDefault="00664971" w:rsidP="00664971">
            <w:pPr>
              <w:spacing w:line="240" w:lineRule="auto"/>
              <w:ind w:firstLine="0"/>
              <w:jc w:val="center"/>
              <w:rPr>
                <w:sz w:val="18"/>
                <w:szCs w:val="18"/>
              </w:rPr>
            </w:pPr>
            <w:r w:rsidRPr="00664971">
              <w:rPr>
                <w:sz w:val="18"/>
                <w:szCs w:val="18"/>
              </w:rPr>
              <w:t>(0.001)</w:t>
            </w:r>
          </w:p>
        </w:tc>
        <w:tc>
          <w:tcPr>
            <w:tcW w:w="1070" w:type="dxa"/>
            <w:noWrap/>
            <w:vAlign w:val="center"/>
            <w:hideMark/>
          </w:tcPr>
          <w:p w14:paraId="4FDD5116" w14:textId="067D2983" w:rsidR="00664971" w:rsidRPr="00664971" w:rsidRDefault="00664971" w:rsidP="00664971">
            <w:pPr>
              <w:spacing w:line="240" w:lineRule="auto"/>
              <w:ind w:firstLine="0"/>
              <w:jc w:val="center"/>
              <w:rPr>
                <w:sz w:val="18"/>
                <w:szCs w:val="18"/>
              </w:rPr>
            </w:pPr>
            <w:r w:rsidRPr="00664971">
              <w:rPr>
                <w:sz w:val="18"/>
                <w:szCs w:val="18"/>
              </w:rPr>
              <w:t>(0.001)</w:t>
            </w:r>
          </w:p>
        </w:tc>
      </w:tr>
      <w:tr w:rsidR="00664971" w:rsidRPr="00101A2A" w14:paraId="6E9A01D0" w14:textId="77777777" w:rsidTr="00B61D56">
        <w:trPr>
          <w:trHeight w:val="280"/>
        </w:trPr>
        <w:tc>
          <w:tcPr>
            <w:tcW w:w="2552" w:type="dxa"/>
            <w:vMerge w:val="restart"/>
            <w:noWrap/>
            <w:vAlign w:val="center"/>
          </w:tcPr>
          <w:p w14:paraId="7AA20812" w14:textId="77777777" w:rsidR="00664971" w:rsidRPr="00101A2A" w:rsidRDefault="00664971" w:rsidP="00664971">
            <w:pPr>
              <w:spacing w:line="240" w:lineRule="auto"/>
              <w:ind w:firstLine="0"/>
              <w:rPr>
                <w:b/>
                <w:bCs/>
                <w:sz w:val="18"/>
                <w:szCs w:val="18"/>
              </w:rPr>
            </w:pPr>
            <w:r w:rsidRPr="00101A2A">
              <w:rPr>
                <w:b/>
                <w:bCs/>
                <w:sz w:val="18"/>
                <w:szCs w:val="18"/>
              </w:rPr>
              <w:t>Consumer attention</w:t>
            </w:r>
          </w:p>
        </w:tc>
        <w:tc>
          <w:tcPr>
            <w:tcW w:w="1070" w:type="dxa"/>
            <w:noWrap/>
            <w:vAlign w:val="center"/>
          </w:tcPr>
          <w:p w14:paraId="351CA4DC" w14:textId="77777777" w:rsidR="00664971" w:rsidRPr="00664971" w:rsidRDefault="00664971" w:rsidP="00664971">
            <w:pPr>
              <w:spacing w:line="240" w:lineRule="auto"/>
              <w:ind w:firstLine="0"/>
              <w:jc w:val="center"/>
              <w:rPr>
                <w:sz w:val="18"/>
                <w:szCs w:val="18"/>
              </w:rPr>
            </w:pPr>
          </w:p>
        </w:tc>
        <w:tc>
          <w:tcPr>
            <w:tcW w:w="1070" w:type="dxa"/>
            <w:noWrap/>
            <w:vAlign w:val="center"/>
          </w:tcPr>
          <w:p w14:paraId="26ED4B3D" w14:textId="77777777" w:rsidR="00664971" w:rsidRPr="00664971" w:rsidRDefault="00664971" w:rsidP="00664971">
            <w:pPr>
              <w:spacing w:line="240" w:lineRule="auto"/>
              <w:ind w:firstLine="0"/>
              <w:jc w:val="center"/>
              <w:rPr>
                <w:sz w:val="18"/>
                <w:szCs w:val="18"/>
              </w:rPr>
            </w:pPr>
          </w:p>
        </w:tc>
        <w:tc>
          <w:tcPr>
            <w:tcW w:w="1070" w:type="dxa"/>
            <w:vAlign w:val="center"/>
          </w:tcPr>
          <w:p w14:paraId="786C294A" w14:textId="5B6633C8" w:rsidR="00664971" w:rsidRPr="00664971" w:rsidRDefault="00664971" w:rsidP="00664971">
            <w:pPr>
              <w:spacing w:line="240" w:lineRule="auto"/>
              <w:ind w:firstLine="0"/>
              <w:jc w:val="center"/>
              <w:rPr>
                <w:sz w:val="18"/>
                <w:szCs w:val="18"/>
              </w:rPr>
            </w:pPr>
            <w:r w:rsidRPr="00664971">
              <w:rPr>
                <w:sz w:val="18"/>
                <w:szCs w:val="18"/>
              </w:rPr>
              <w:t>-0.011***</w:t>
            </w:r>
          </w:p>
        </w:tc>
        <w:tc>
          <w:tcPr>
            <w:tcW w:w="1070" w:type="dxa"/>
            <w:noWrap/>
            <w:vAlign w:val="center"/>
          </w:tcPr>
          <w:p w14:paraId="6878FCAF" w14:textId="7ADD737E" w:rsidR="00664971" w:rsidRPr="00664971" w:rsidRDefault="00664971" w:rsidP="00664971">
            <w:pPr>
              <w:spacing w:line="240" w:lineRule="auto"/>
              <w:ind w:firstLine="0"/>
              <w:jc w:val="center"/>
              <w:rPr>
                <w:sz w:val="18"/>
                <w:szCs w:val="18"/>
              </w:rPr>
            </w:pPr>
            <w:r w:rsidRPr="00664971">
              <w:rPr>
                <w:sz w:val="18"/>
                <w:szCs w:val="18"/>
              </w:rPr>
              <w:t>-0.012***</w:t>
            </w:r>
          </w:p>
        </w:tc>
        <w:tc>
          <w:tcPr>
            <w:tcW w:w="1070" w:type="dxa"/>
            <w:noWrap/>
            <w:vAlign w:val="center"/>
          </w:tcPr>
          <w:p w14:paraId="0482A8B5" w14:textId="1CA4A1EF" w:rsidR="00664971" w:rsidRPr="00664971" w:rsidRDefault="00664971" w:rsidP="00664971">
            <w:pPr>
              <w:spacing w:line="240" w:lineRule="auto"/>
              <w:ind w:firstLine="0"/>
              <w:jc w:val="center"/>
              <w:rPr>
                <w:sz w:val="18"/>
                <w:szCs w:val="18"/>
              </w:rPr>
            </w:pPr>
            <w:r w:rsidRPr="00664971">
              <w:rPr>
                <w:sz w:val="18"/>
                <w:szCs w:val="18"/>
              </w:rPr>
              <w:t>0.001</w:t>
            </w:r>
          </w:p>
        </w:tc>
        <w:tc>
          <w:tcPr>
            <w:tcW w:w="1070" w:type="dxa"/>
            <w:noWrap/>
            <w:vAlign w:val="center"/>
          </w:tcPr>
          <w:p w14:paraId="238EE725" w14:textId="5A8BC94F" w:rsidR="00664971" w:rsidRPr="00664971" w:rsidRDefault="00664971" w:rsidP="00664971">
            <w:pPr>
              <w:spacing w:line="240" w:lineRule="auto"/>
              <w:ind w:firstLine="0"/>
              <w:jc w:val="center"/>
              <w:rPr>
                <w:sz w:val="18"/>
                <w:szCs w:val="18"/>
              </w:rPr>
            </w:pPr>
            <w:r w:rsidRPr="00664971">
              <w:rPr>
                <w:sz w:val="18"/>
                <w:szCs w:val="18"/>
              </w:rPr>
              <w:t>0.003***</w:t>
            </w:r>
          </w:p>
        </w:tc>
      </w:tr>
      <w:tr w:rsidR="00664971" w:rsidRPr="00101A2A" w14:paraId="589F1066" w14:textId="77777777" w:rsidTr="00B61D56">
        <w:trPr>
          <w:trHeight w:val="280"/>
        </w:trPr>
        <w:tc>
          <w:tcPr>
            <w:tcW w:w="2552" w:type="dxa"/>
            <w:vMerge/>
            <w:noWrap/>
            <w:vAlign w:val="center"/>
          </w:tcPr>
          <w:p w14:paraId="25446BFF" w14:textId="77777777" w:rsidR="00664971" w:rsidRPr="00101A2A" w:rsidRDefault="00664971" w:rsidP="00664971">
            <w:pPr>
              <w:spacing w:line="240" w:lineRule="auto"/>
              <w:ind w:firstLine="0"/>
              <w:rPr>
                <w:b/>
                <w:bCs/>
                <w:sz w:val="18"/>
                <w:szCs w:val="18"/>
              </w:rPr>
            </w:pPr>
          </w:p>
        </w:tc>
        <w:tc>
          <w:tcPr>
            <w:tcW w:w="1070" w:type="dxa"/>
            <w:noWrap/>
            <w:vAlign w:val="center"/>
          </w:tcPr>
          <w:p w14:paraId="4CEFCA9C" w14:textId="77777777" w:rsidR="00664971" w:rsidRPr="00664971" w:rsidRDefault="00664971" w:rsidP="00664971">
            <w:pPr>
              <w:spacing w:line="240" w:lineRule="auto"/>
              <w:ind w:firstLine="0"/>
              <w:jc w:val="center"/>
              <w:rPr>
                <w:sz w:val="18"/>
                <w:szCs w:val="18"/>
              </w:rPr>
            </w:pPr>
          </w:p>
        </w:tc>
        <w:tc>
          <w:tcPr>
            <w:tcW w:w="1070" w:type="dxa"/>
            <w:noWrap/>
            <w:vAlign w:val="center"/>
          </w:tcPr>
          <w:p w14:paraId="263CAC9F" w14:textId="77777777" w:rsidR="00664971" w:rsidRPr="00664971" w:rsidRDefault="00664971" w:rsidP="00664971">
            <w:pPr>
              <w:spacing w:line="240" w:lineRule="auto"/>
              <w:ind w:firstLine="0"/>
              <w:jc w:val="center"/>
              <w:rPr>
                <w:sz w:val="18"/>
                <w:szCs w:val="18"/>
              </w:rPr>
            </w:pPr>
          </w:p>
        </w:tc>
        <w:tc>
          <w:tcPr>
            <w:tcW w:w="1070" w:type="dxa"/>
            <w:vAlign w:val="center"/>
          </w:tcPr>
          <w:p w14:paraId="00B72376" w14:textId="633C1451" w:rsidR="00664971" w:rsidRPr="00664971" w:rsidRDefault="00664971" w:rsidP="00664971">
            <w:pPr>
              <w:spacing w:line="240" w:lineRule="auto"/>
              <w:ind w:firstLine="0"/>
              <w:jc w:val="center"/>
              <w:rPr>
                <w:sz w:val="18"/>
                <w:szCs w:val="18"/>
              </w:rPr>
            </w:pPr>
            <w:r w:rsidRPr="00664971">
              <w:rPr>
                <w:sz w:val="18"/>
                <w:szCs w:val="18"/>
              </w:rPr>
              <w:t>(0.001)</w:t>
            </w:r>
          </w:p>
        </w:tc>
        <w:tc>
          <w:tcPr>
            <w:tcW w:w="1070" w:type="dxa"/>
            <w:noWrap/>
            <w:vAlign w:val="center"/>
          </w:tcPr>
          <w:p w14:paraId="0CD8153A" w14:textId="12E4429E" w:rsidR="00664971" w:rsidRPr="00664971" w:rsidRDefault="00664971" w:rsidP="00664971">
            <w:pPr>
              <w:spacing w:line="240" w:lineRule="auto"/>
              <w:ind w:firstLine="0"/>
              <w:jc w:val="center"/>
              <w:rPr>
                <w:sz w:val="18"/>
                <w:szCs w:val="18"/>
              </w:rPr>
            </w:pPr>
            <w:r w:rsidRPr="00664971">
              <w:rPr>
                <w:sz w:val="18"/>
                <w:szCs w:val="18"/>
              </w:rPr>
              <w:t>(0.001)</w:t>
            </w:r>
          </w:p>
        </w:tc>
        <w:tc>
          <w:tcPr>
            <w:tcW w:w="1070" w:type="dxa"/>
            <w:noWrap/>
            <w:vAlign w:val="center"/>
          </w:tcPr>
          <w:p w14:paraId="58B2FDC1" w14:textId="59DC5D0C" w:rsidR="00664971" w:rsidRPr="00664971" w:rsidRDefault="00664971" w:rsidP="00664971">
            <w:pPr>
              <w:spacing w:line="240" w:lineRule="auto"/>
              <w:ind w:firstLine="0"/>
              <w:jc w:val="center"/>
              <w:rPr>
                <w:sz w:val="18"/>
                <w:szCs w:val="18"/>
              </w:rPr>
            </w:pPr>
            <w:r w:rsidRPr="00664971">
              <w:rPr>
                <w:sz w:val="18"/>
                <w:szCs w:val="18"/>
              </w:rPr>
              <w:t>(0.001)</w:t>
            </w:r>
          </w:p>
        </w:tc>
        <w:tc>
          <w:tcPr>
            <w:tcW w:w="1070" w:type="dxa"/>
            <w:noWrap/>
            <w:vAlign w:val="center"/>
          </w:tcPr>
          <w:p w14:paraId="65BDB67B" w14:textId="3E094594" w:rsidR="00664971" w:rsidRPr="00664971" w:rsidRDefault="00664971" w:rsidP="00664971">
            <w:pPr>
              <w:spacing w:line="240" w:lineRule="auto"/>
              <w:ind w:firstLine="0"/>
              <w:jc w:val="center"/>
              <w:rPr>
                <w:sz w:val="18"/>
                <w:szCs w:val="18"/>
              </w:rPr>
            </w:pPr>
            <w:r w:rsidRPr="00664971">
              <w:rPr>
                <w:sz w:val="18"/>
                <w:szCs w:val="18"/>
              </w:rPr>
              <w:t>(0.001)</w:t>
            </w:r>
          </w:p>
        </w:tc>
      </w:tr>
      <w:tr w:rsidR="00664971" w:rsidRPr="00101A2A" w14:paraId="132F3182" w14:textId="77777777" w:rsidTr="00B61D56">
        <w:trPr>
          <w:trHeight w:val="280"/>
        </w:trPr>
        <w:tc>
          <w:tcPr>
            <w:tcW w:w="2552" w:type="dxa"/>
            <w:vMerge w:val="restart"/>
            <w:noWrap/>
            <w:vAlign w:val="center"/>
            <w:hideMark/>
          </w:tcPr>
          <w:p w14:paraId="6944F7B0" w14:textId="77777777" w:rsidR="00664971" w:rsidRPr="00101A2A" w:rsidRDefault="00664971" w:rsidP="00664971">
            <w:pPr>
              <w:spacing w:line="240" w:lineRule="auto"/>
              <w:ind w:firstLine="0"/>
              <w:rPr>
                <w:b/>
                <w:bCs/>
                <w:sz w:val="18"/>
                <w:szCs w:val="18"/>
              </w:rPr>
            </w:pPr>
            <w:r w:rsidRPr="00101A2A">
              <w:rPr>
                <w:b/>
                <w:bCs/>
                <w:sz w:val="18"/>
                <w:szCs w:val="18"/>
              </w:rPr>
              <w:t>Spanners proportion * Consumer attention</w:t>
            </w:r>
          </w:p>
        </w:tc>
        <w:tc>
          <w:tcPr>
            <w:tcW w:w="1070" w:type="dxa"/>
            <w:noWrap/>
            <w:vAlign w:val="center"/>
            <w:hideMark/>
          </w:tcPr>
          <w:p w14:paraId="15DF0497" w14:textId="77777777" w:rsidR="00664971" w:rsidRPr="00664971" w:rsidRDefault="00664971" w:rsidP="00664971">
            <w:pPr>
              <w:spacing w:line="240" w:lineRule="auto"/>
              <w:ind w:firstLine="0"/>
              <w:jc w:val="center"/>
              <w:rPr>
                <w:sz w:val="18"/>
                <w:szCs w:val="18"/>
              </w:rPr>
            </w:pPr>
          </w:p>
        </w:tc>
        <w:tc>
          <w:tcPr>
            <w:tcW w:w="1070" w:type="dxa"/>
            <w:noWrap/>
            <w:vAlign w:val="center"/>
            <w:hideMark/>
          </w:tcPr>
          <w:p w14:paraId="27BFCCAE" w14:textId="77777777" w:rsidR="00664971" w:rsidRPr="00664971" w:rsidRDefault="00664971" w:rsidP="00664971">
            <w:pPr>
              <w:spacing w:line="240" w:lineRule="auto"/>
              <w:ind w:firstLine="0"/>
              <w:jc w:val="center"/>
              <w:rPr>
                <w:sz w:val="18"/>
                <w:szCs w:val="18"/>
              </w:rPr>
            </w:pPr>
          </w:p>
        </w:tc>
        <w:tc>
          <w:tcPr>
            <w:tcW w:w="1070" w:type="dxa"/>
            <w:vAlign w:val="center"/>
          </w:tcPr>
          <w:p w14:paraId="041BEF0E" w14:textId="04BF17DC" w:rsidR="00664971" w:rsidRPr="00664971" w:rsidRDefault="00664971" w:rsidP="00664971">
            <w:pPr>
              <w:spacing w:line="240" w:lineRule="auto"/>
              <w:ind w:firstLine="0"/>
              <w:jc w:val="center"/>
              <w:rPr>
                <w:sz w:val="18"/>
                <w:szCs w:val="18"/>
              </w:rPr>
            </w:pPr>
          </w:p>
        </w:tc>
        <w:tc>
          <w:tcPr>
            <w:tcW w:w="1070" w:type="dxa"/>
            <w:noWrap/>
            <w:vAlign w:val="center"/>
            <w:hideMark/>
          </w:tcPr>
          <w:p w14:paraId="3EAE9645" w14:textId="77777777" w:rsidR="00664971" w:rsidRPr="00664971" w:rsidRDefault="00664971" w:rsidP="00664971">
            <w:pPr>
              <w:spacing w:line="240" w:lineRule="auto"/>
              <w:ind w:firstLine="0"/>
              <w:jc w:val="center"/>
              <w:rPr>
                <w:sz w:val="18"/>
                <w:szCs w:val="18"/>
              </w:rPr>
            </w:pPr>
          </w:p>
        </w:tc>
        <w:tc>
          <w:tcPr>
            <w:tcW w:w="1070" w:type="dxa"/>
            <w:noWrap/>
            <w:vAlign w:val="center"/>
            <w:hideMark/>
          </w:tcPr>
          <w:p w14:paraId="4AC7B905" w14:textId="32030546" w:rsidR="00664971" w:rsidRPr="00664971" w:rsidRDefault="00664971" w:rsidP="00664971">
            <w:pPr>
              <w:spacing w:line="240" w:lineRule="auto"/>
              <w:ind w:firstLine="0"/>
              <w:jc w:val="center"/>
              <w:rPr>
                <w:sz w:val="18"/>
                <w:szCs w:val="18"/>
              </w:rPr>
            </w:pPr>
            <w:r w:rsidRPr="00664971">
              <w:rPr>
                <w:sz w:val="18"/>
                <w:szCs w:val="18"/>
              </w:rPr>
              <w:t>-0.001*</w:t>
            </w:r>
          </w:p>
        </w:tc>
        <w:tc>
          <w:tcPr>
            <w:tcW w:w="1070" w:type="dxa"/>
            <w:noWrap/>
            <w:vAlign w:val="center"/>
            <w:hideMark/>
          </w:tcPr>
          <w:p w14:paraId="6B11DA7E" w14:textId="38EE2AAB" w:rsidR="00664971" w:rsidRPr="00664971" w:rsidRDefault="00664971" w:rsidP="00664971">
            <w:pPr>
              <w:spacing w:line="240" w:lineRule="auto"/>
              <w:ind w:firstLine="0"/>
              <w:jc w:val="center"/>
              <w:rPr>
                <w:sz w:val="18"/>
                <w:szCs w:val="18"/>
              </w:rPr>
            </w:pPr>
            <w:r w:rsidRPr="00664971">
              <w:rPr>
                <w:sz w:val="18"/>
                <w:szCs w:val="18"/>
              </w:rPr>
              <w:t>-0.002**</w:t>
            </w:r>
          </w:p>
        </w:tc>
      </w:tr>
      <w:tr w:rsidR="00664971" w:rsidRPr="00101A2A" w14:paraId="200959D6" w14:textId="77777777" w:rsidTr="00B61D56">
        <w:trPr>
          <w:trHeight w:val="280"/>
        </w:trPr>
        <w:tc>
          <w:tcPr>
            <w:tcW w:w="2552" w:type="dxa"/>
            <w:vMerge/>
            <w:noWrap/>
            <w:vAlign w:val="center"/>
            <w:hideMark/>
          </w:tcPr>
          <w:p w14:paraId="148B04EC" w14:textId="77777777" w:rsidR="00664971" w:rsidRPr="00101A2A" w:rsidRDefault="00664971" w:rsidP="00664971">
            <w:pPr>
              <w:spacing w:line="240" w:lineRule="auto"/>
              <w:ind w:firstLine="0"/>
              <w:rPr>
                <w:b/>
                <w:bCs/>
                <w:sz w:val="18"/>
                <w:szCs w:val="18"/>
              </w:rPr>
            </w:pPr>
          </w:p>
        </w:tc>
        <w:tc>
          <w:tcPr>
            <w:tcW w:w="1070" w:type="dxa"/>
            <w:noWrap/>
            <w:vAlign w:val="center"/>
            <w:hideMark/>
          </w:tcPr>
          <w:p w14:paraId="34488A28" w14:textId="77777777" w:rsidR="00664971" w:rsidRPr="00664971" w:rsidRDefault="00664971" w:rsidP="00664971">
            <w:pPr>
              <w:spacing w:line="240" w:lineRule="auto"/>
              <w:ind w:firstLine="0"/>
              <w:jc w:val="center"/>
              <w:rPr>
                <w:sz w:val="18"/>
                <w:szCs w:val="18"/>
              </w:rPr>
            </w:pPr>
          </w:p>
        </w:tc>
        <w:tc>
          <w:tcPr>
            <w:tcW w:w="1070" w:type="dxa"/>
            <w:noWrap/>
            <w:vAlign w:val="center"/>
            <w:hideMark/>
          </w:tcPr>
          <w:p w14:paraId="5DE8F1C1" w14:textId="77777777" w:rsidR="00664971" w:rsidRPr="00664971" w:rsidRDefault="00664971" w:rsidP="00664971">
            <w:pPr>
              <w:spacing w:line="240" w:lineRule="auto"/>
              <w:ind w:firstLine="0"/>
              <w:jc w:val="center"/>
              <w:rPr>
                <w:sz w:val="18"/>
                <w:szCs w:val="18"/>
              </w:rPr>
            </w:pPr>
          </w:p>
        </w:tc>
        <w:tc>
          <w:tcPr>
            <w:tcW w:w="1070" w:type="dxa"/>
            <w:vAlign w:val="center"/>
          </w:tcPr>
          <w:p w14:paraId="4C8F4F0E" w14:textId="23E7AC9A" w:rsidR="00664971" w:rsidRPr="00664971" w:rsidRDefault="00664971" w:rsidP="00664971">
            <w:pPr>
              <w:spacing w:line="240" w:lineRule="auto"/>
              <w:ind w:firstLine="0"/>
              <w:jc w:val="center"/>
              <w:rPr>
                <w:sz w:val="18"/>
                <w:szCs w:val="18"/>
              </w:rPr>
            </w:pPr>
          </w:p>
        </w:tc>
        <w:tc>
          <w:tcPr>
            <w:tcW w:w="1070" w:type="dxa"/>
            <w:noWrap/>
            <w:vAlign w:val="center"/>
            <w:hideMark/>
          </w:tcPr>
          <w:p w14:paraId="30D8B30A" w14:textId="77777777" w:rsidR="00664971" w:rsidRPr="00664971" w:rsidRDefault="00664971" w:rsidP="00664971">
            <w:pPr>
              <w:spacing w:line="240" w:lineRule="auto"/>
              <w:ind w:firstLine="0"/>
              <w:jc w:val="center"/>
              <w:rPr>
                <w:sz w:val="18"/>
                <w:szCs w:val="18"/>
              </w:rPr>
            </w:pPr>
          </w:p>
        </w:tc>
        <w:tc>
          <w:tcPr>
            <w:tcW w:w="1070" w:type="dxa"/>
            <w:noWrap/>
            <w:vAlign w:val="center"/>
            <w:hideMark/>
          </w:tcPr>
          <w:p w14:paraId="04595024" w14:textId="09D5588E" w:rsidR="00664971" w:rsidRPr="00664971" w:rsidRDefault="00664971" w:rsidP="00664971">
            <w:pPr>
              <w:spacing w:line="240" w:lineRule="auto"/>
              <w:ind w:firstLine="0"/>
              <w:jc w:val="center"/>
              <w:rPr>
                <w:sz w:val="18"/>
                <w:szCs w:val="18"/>
              </w:rPr>
            </w:pPr>
            <w:r w:rsidRPr="00664971">
              <w:rPr>
                <w:sz w:val="18"/>
                <w:szCs w:val="18"/>
              </w:rPr>
              <w:t>(0.001)</w:t>
            </w:r>
          </w:p>
        </w:tc>
        <w:tc>
          <w:tcPr>
            <w:tcW w:w="1070" w:type="dxa"/>
            <w:noWrap/>
            <w:vAlign w:val="center"/>
            <w:hideMark/>
          </w:tcPr>
          <w:p w14:paraId="71642FD2" w14:textId="58B2F36F" w:rsidR="00664971" w:rsidRPr="00664971" w:rsidRDefault="00664971" w:rsidP="00664971">
            <w:pPr>
              <w:spacing w:line="240" w:lineRule="auto"/>
              <w:ind w:firstLine="0"/>
              <w:jc w:val="center"/>
              <w:rPr>
                <w:sz w:val="18"/>
                <w:szCs w:val="18"/>
              </w:rPr>
            </w:pPr>
            <w:r w:rsidRPr="00664971">
              <w:rPr>
                <w:sz w:val="18"/>
                <w:szCs w:val="18"/>
              </w:rPr>
              <w:t>(0.001)</w:t>
            </w:r>
          </w:p>
        </w:tc>
      </w:tr>
      <w:tr w:rsidR="00664971" w:rsidRPr="00101A2A" w14:paraId="6F0C09ED" w14:textId="77777777" w:rsidTr="00B61D56">
        <w:trPr>
          <w:trHeight w:val="280"/>
        </w:trPr>
        <w:tc>
          <w:tcPr>
            <w:tcW w:w="2552" w:type="dxa"/>
            <w:vMerge w:val="restart"/>
            <w:noWrap/>
            <w:vAlign w:val="center"/>
          </w:tcPr>
          <w:p w14:paraId="21C839EA" w14:textId="77777777" w:rsidR="00664971" w:rsidRPr="00101A2A" w:rsidRDefault="00664971" w:rsidP="00664971">
            <w:pPr>
              <w:spacing w:line="240" w:lineRule="auto"/>
              <w:ind w:firstLine="0"/>
              <w:rPr>
                <w:b/>
                <w:bCs/>
                <w:sz w:val="18"/>
                <w:szCs w:val="18"/>
              </w:rPr>
            </w:pPr>
            <w:r>
              <w:rPr>
                <w:b/>
                <w:bCs/>
                <w:sz w:val="18"/>
                <w:szCs w:val="18"/>
              </w:rPr>
              <w:t>Regulated market</w:t>
            </w:r>
          </w:p>
        </w:tc>
        <w:tc>
          <w:tcPr>
            <w:tcW w:w="1070" w:type="dxa"/>
            <w:noWrap/>
            <w:vAlign w:val="center"/>
          </w:tcPr>
          <w:p w14:paraId="19629150" w14:textId="77777777" w:rsidR="00664971" w:rsidRPr="00664971" w:rsidRDefault="00664971" w:rsidP="00664971">
            <w:pPr>
              <w:spacing w:line="240" w:lineRule="auto"/>
              <w:ind w:firstLine="0"/>
              <w:jc w:val="center"/>
              <w:rPr>
                <w:sz w:val="18"/>
                <w:szCs w:val="18"/>
              </w:rPr>
            </w:pPr>
          </w:p>
        </w:tc>
        <w:tc>
          <w:tcPr>
            <w:tcW w:w="1070" w:type="dxa"/>
            <w:noWrap/>
            <w:vAlign w:val="center"/>
          </w:tcPr>
          <w:p w14:paraId="756D7297" w14:textId="77777777" w:rsidR="00664971" w:rsidRPr="00664971" w:rsidRDefault="00664971" w:rsidP="00664971">
            <w:pPr>
              <w:spacing w:line="240" w:lineRule="auto"/>
              <w:ind w:firstLine="0"/>
              <w:jc w:val="center"/>
              <w:rPr>
                <w:sz w:val="18"/>
                <w:szCs w:val="18"/>
              </w:rPr>
            </w:pPr>
          </w:p>
        </w:tc>
        <w:tc>
          <w:tcPr>
            <w:tcW w:w="1070" w:type="dxa"/>
            <w:vAlign w:val="center"/>
          </w:tcPr>
          <w:p w14:paraId="02D20478" w14:textId="6431DDD6" w:rsidR="00664971" w:rsidRPr="00664971" w:rsidRDefault="00664971" w:rsidP="00664971">
            <w:pPr>
              <w:spacing w:line="240" w:lineRule="auto"/>
              <w:ind w:firstLine="0"/>
              <w:jc w:val="center"/>
              <w:rPr>
                <w:sz w:val="18"/>
                <w:szCs w:val="18"/>
              </w:rPr>
            </w:pPr>
            <w:r w:rsidRPr="00664971">
              <w:rPr>
                <w:sz w:val="18"/>
                <w:szCs w:val="18"/>
              </w:rPr>
              <w:t>0.003***</w:t>
            </w:r>
          </w:p>
        </w:tc>
        <w:tc>
          <w:tcPr>
            <w:tcW w:w="1070" w:type="dxa"/>
            <w:noWrap/>
            <w:vAlign w:val="center"/>
          </w:tcPr>
          <w:p w14:paraId="4E021B93" w14:textId="681845E3" w:rsidR="00664971" w:rsidRPr="00664971" w:rsidRDefault="00664971" w:rsidP="00664971">
            <w:pPr>
              <w:spacing w:line="240" w:lineRule="auto"/>
              <w:ind w:firstLine="0"/>
              <w:jc w:val="center"/>
              <w:rPr>
                <w:sz w:val="18"/>
                <w:szCs w:val="18"/>
              </w:rPr>
            </w:pPr>
            <w:r w:rsidRPr="00664971">
              <w:rPr>
                <w:sz w:val="18"/>
                <w:szCs w:val="18"/>
              </w:rPr>
              <w:t>0.003***</w:t>
            </w:r>
          </w:p>
        </w:tc>
        <w:tc>
          <w:tcPr>
            <w:tcW w:w="1070" w:type="dxa"/>
            <w:noWrap/>
            <w:vAlign w:val="center"/>
          </w:tcPr>
          <w:p w14:paraId="41E8C825" w14:textId="155C639C" w:rsidR="00664971" w:rsidRPr="00664971" w:rsidRDefault="00664971" w:rsidP="00664971">
            <w:pPr>
              <w:spacing w:line="240" w:lineRule="auto"/>
              <w:ind w:firstLine="0"/>
              <w:jc w:val="center"/>
              <w:rPr>
                <w:sz w:val="18"/>
                <w:szCs w:val="18"/>
              </w:rPr>
            </w:pPr>
            <w:r w:rsidRPr="00664971">
              <w:rPr>
                <w:sz w:val="18"/>
                <w:szCs w:val="18"/>
              </w:rPr>
              <w:t>0.005***</w:t>
            </w:r>
          </w:p>
        </w:tc>
        <w:tc>
          <w:tcPr>
            <w:tcW w:w="1070" w:type="dxa"/>
            <w:noWrap/>
            <w:vAlign w:val="center"/>
          </w:tcPr>
          <w:p w14:paraId="1A5319F2" w14:textId="29818595" w:rsidR="00664971" w:rsidRPr="00664971" w:rsidRDefault="00664971" w:rsidP="00664971">
            <w:pPr>
              <w:spacing w:line="240" w:lineRule="auto"/>
              <w:ind w:firstLine="0"/>
              <w:jc w:val="center"/>
              <w:rPr>
                <w:sz w:val="18"/>
                <w:szCs w:val="18"/>
              </w:rPr>
            </w:pPr>
            <w:r w:rsidRPr="00664971">
              <w:rPr>
                <w:sz w:val="18"/>
                <w:szCs w:val="18"/>
              </w:rPr>
              <w:t>0.005***</w:t>
            </w:r>
          </w:p>
        </w:tc>
      </w:tr>
      <w:tr w:rsidR="00664971" w:rsidRPr="00101A2A" w14:paraId="5D56DE9C" w14:textId="77777777" w:rsidTr="00B61D56">
        <w:trPr>
          <w:trHeight w:val="280"/>
        </w:trPr>
        <w:tc>
          <w:tcPr>
            <w:tcW w:w="2552" w:type="dxa"/>
            <w:vMerge/>
            <w:noWrap/>
            <w:vAlign w:val="center"/>
          </w:tcPr>
          <w:p w14:paraId="3BE5B047" w14:textId="77777777" w:rsidR="00664971" w:rsidRPr="00101A2A" w:rsidRDefault="00664971" w:rsidP="00664971">
            <w:pPr>
              <w:spacing w:line="240" w:lineRule="auto"/>
              <w:ind w:firstLine="0"/>
              <w:rPr>
                <w:b/>
                <w:bCs/>
                <w:sz w:val="18"/>
                <w:szCs w:val="18"/>
              </w:rPr>
            </w:pPr>
          </w:p>
        </w:tc>
        <w:tc>
          <w:tcPr>
            <w:tcW w:w="1070" w:type="dxa"/>
            <w:noWrap/>
            <w:vAlign w:val="center"/>
          </w:tcPr>
          <w:p w14:paraId="75A8574D" w14:textId="77777777" w:rsidR="00664971" w:rsidRPr="00664971" w:rsidRDefault="00664971" w:rsidP="00664971">
            <w:pPr>
              <w:spacing w:line="240" w:lineRule="auto"/>
              <w:ind w:firstLine="0"/>
              <w:jc w:val="center"/>
              <w:rPr>
                <w:sz w:val="18"/>
                <w:szCs w:val="18"/>
              </w:rPr>
            </w:pPr>
          </w:p>
        </w:tc>
        <w:tc>
          <w:tcPr>
            <w:tcW w:w="1070" w:type="dxa"/>
            <w:noWrap/>
            <w:vAlign w:val="center"/>
          </w:tcPr>
          <w:p w14:paraId="562A1810" w14:textId="77777777" w:rsidR="00664971" w:rsidRPr="00664971" w:rsidRDefault="00664971" w:rsidP="00664971">
            <w:pPr>
              <w:spacing w:line="240" w:lineRule="auto"/>
              <w:ind w:firstLine="0"/>
              <w:jc w:val="center"/>
              <w:rPr>
                <w:sz w:val="18"/>
                <w:szCs w:val="18"/>
              </w:rPr>
            </w:pPr>
          </w:p>
        </w:tc>
        <w:tc>
          <w:tcPr>
            <w:tcW w:w="1070" w:type="dxa"/>
            <w:vAlign w:val="center"/>
          </w:tcPr>
          <w:p w14:paraId="27E9F7A7" w14:textId="68EE6E55"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tcPr>
          <w:p w14:paraId="55CE9357" w14:textId="1E0B9E7A"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tcPr>
          <w:p w14:paraId="70F749FE" w14:textId="2041E96F" w:rsidR="00664971" w:rsidRPr="00664971" w:rsidRDefault="00664971" w:rsidP="00664971">
            <w:pPr>
              <w:spacing w:line="240" w:lineRule="auto"/>
              <w:ind w:firstLine="0"/>
              <w:jc w:val="center"/>
              <w:rPr>
                <w:sz w:val="18"/>
                <w:szCs w:val="18"/>
              </w:rPr>
            </w:pPr>
            <w:r w:rsidRPr="00664971">
              <w:rPr>
                <w:sz w:val="18"/>
                <w:szCs w:val="18"/>
              </w:rPr>
              <w:t>(0.001)</w:t>
            </w:r>
          </w:p>
        </w:tc>
        <w:tc>
          <w:tcPr>
            <w:tcW w:w="1070" w:type="dxa"/>
            <w:noWrap/>
            <w:vAlign w:val="center"/>
          </w:tcPr>
          <w:p w14:paraId="59DE89DC" w14:textId="23479B5F" w:rsidR="00664971" w:rsidRPr="00664971" w:rsidRDefault="00664971" w:rsidP="00664971">
            <w:pPr>
              <w:spacing w:line="240" w:lineRule="auto"/>
              <w:ind w:firstLine="0"/>
              <w:jc w:val="center"/>
              <w:rPr>
                <w:sz w:val="18"/>
                <w:szCs w:val="18"/>
              </w:rPr>
            </w:pPr>
            <w:r w:rsidRPr="00664971">
              <w:rPr>
                <w:sz w:val="18"/>
                <w:szCs w:val="18"/>
              </w:rPr>
              <w:t>(0.000)</w:t>
            </w:r>
          </w:p>
        </w:tc>
      </w:tr>
      <w:tr w:rsidR="00664971" w:rsidRPr="00101A2A" w14:paraId="3A7DD154" w14:textId="77777777" w:rsidTr="00B61D56">
        <w:trPr>
          <w:trHeight w:val="280"/>
        </w:trPr>
        <w:tc>
          <w:tcPr>
            <w:tcW w:w="2552" w:type="dxa"/>
            <w:vMerge w:val="restart"/>
            <w:noWrap/>
            <w:vAlign w:val="center"/>
            <w:hideMark/>
          </w:tcPr>
          <w:p w14:paraId="68A6E78D" w14:textId="77777777" w:rsidR="00664971" w:rsidRPr="00101A2A" w:rsidRDefault="00664971" w:rsidP="00664971">
            <w:pPr>
              <w:spacing w:line="240" w:lineRule="auto"/>
              <w:ind w:firstLine="0"/>
              <w:rPr>
                <w:b/>
                <w:bCs/>
                <w:sz w:val="18"/>
                <w:szCs w:val="18"/>
              </w:rPr>
            </w:pPr>
            <w:r w:rsidRPr="00101A2A">
              <w:rPr>
                <w:b/>
                <w:bCs/>
                <w:sz w:val="18"/>
                <w:szCs w:val="18"/>
              </w:rPr>
              <w:t>Spanners proportion *</w:t>
            </w:r>
          </w:p>
          <w:p w14:paraId="660E071A" w14:textId="77777777" w:rsidR="00664971" w:rsidRPr="00101A2A" w:rsidRDefault="00664971" w:rsidP="00664971">
            <w:pPr>
              <w:spacing w:line="240" w:lineRule="auto"/>
              <w:ind w:firstLine="0"/>
              <w:rPr>
                <w:b/>
                <w:bCs/>
                <w:sz w:val="18"/>
                <w:szCs w:val="18"/>
              </w:rPr>
            </w:pPr>
            <w:r w:rsidRPr="00101A2A">
              <w:rPr>
                <w:b/>
                <w:bCs/>
                <w:sz w:val="18"/>
                <w:szCs w:val="18"/>
              </w:rPr>
              <w:t>Regulated market</w:t>
            </w:r>
          </w:p>
        </w:tc>
        <w:tc>
          <w:tcPr>
            <w:tcW w:w="1070" w:type="dxa"/>
            <w:noWrap/>
            <w:vAlign w:val="center"/>
            <w:hideMark/>
          </w:tcPr>
          <w:p w14:paraId="43336C74" w14:textId="77777777" w:rsidR="00664971" w:rsidRPr="00664971" w:rsidRDefault="00664971" w:rsidP="00664971">
            <w:pPr>
              <w:spacing w:line="240" w:lineRule="auto"/>
              <w:ind w:firstLine="0"/>
              <w:jc w:val="center"/>
              <w:rPr>
                <w:sz w:val="18"/>
                <w:szCs w:val="18"/>
              </w:rPr>
            </w:pPr>
          </w:p>
        </w:tc>
        <w:tc>
          <w:tcPr>
            <w:tcW w:w="1070" w:type="dxa"/>
            <w:noWrap/>
            <w:vAlign w:val="center"/>
            <w:hideMark/>
          </w:tcPr>
          <w:p w14:paraId="26D46938" w14:textId="77777777" w:rsidR="00664971" w:rsidRPr="00664971" w:rsidRDefault="00664971" w:rsidP="00664971">
            <w:pPr>
              <w:spacing w:line="240" w:lineRule="auto"/>
              <w:ind w:firstLine="0"/>
              <w:jc w:val="center"/>
              <w:rPr>
                <w:sz w:val="18"/>
                <w:szCs w:val="18"/>
              </w:rPr>
            </w:pPr>
          </w:p>
        </w:tc>
        <w:tc>
          <w:tcPr>
            <w:tcW w:w="1070" w:type="dxa"/>
            <w:vAlign w:val="center"/>
          </w:tcPr>
          <w:p w14:paraId="3DD56355" w14:textId="0D204C2E" w:rsidR="00664971" w:rsidRPr="00664971" w:rsidRDefault="00664971" w:rsidP="00664971">
            <w:pPr>
              <w:spacing w:line="240" w:lineRule="auto"/>
              <w:ind w:firstLine="0"/>
              <w:jc w:val="center"/>
              <w:rPr>
                <w:sz w:val="18"/>
                <w:szCs w:val="18"/>
              </w:rPr>
            </w:pPr>
            <w:r w:rsidRPr="00664971">
              <w:rPr>
                <w:sz w:val="18"/>
                <w:szCs w:val="18"/>
              </w:rPr>
              <w:t>-0.004***</w:t>
            </w:r>
          </w:p>
        </w:tc>
        <w:tc>
          <w:tcPr>
            <w:tcW w:w="1070" w:type="dxa"/>
            <w:noWrap/>
            <w:vAlign w:val="center"/>
            <w:hideMark/>
          </w:tcPr>
          <w:p w14:paraId="3E50937D" w14:textId="2B172AD2" w:rsidR="00664971" w:rsidRPr="00664971" w:rsidRDefault="00664971" w:rsidP="00664971">
            <w:pPr>
              <w:spacing w:line="240" w:lineRule="auto"/>
              <w:ind w:firstLine="0"/>
              <w:jc w:val="center"/>
              <w:rPr>
                <w:sz w:val="18"/>
                <w:szCs w:val="18"/>
              </w:rPr>
            </w:pPr>
            <w:r w:rsidRPr="00664971">
              <w:rPr>
                <w:sz w:val="18"/>
                <w:szCs w:val="18"/>
              </w:rPr>
              <w:t>-0.013***</w:t>
            </w:r>
          </w:p>
        </w:tc>
        <w:tc>
          <w:tcPr>
            <w:tcW w:w="1070" w:type="dxa"/>
            <w:noWrap/>
            <w:vAlign w:val="center"/>
            <w:hideMark/>
          </w:tcPr>
          <w:p w14:paraId="3436F38F" w14:textId="5402423A" w:rsidR="00664971" w:rsidRPr="00664971" w:rsidRDefault="00664971" w:rsidP="00664971">
            <w:pPr>
              <w:spacing w:line="240" w:lineRule="auto"/>
              <w:ind w:firstLine="0"/>
              <w:jc w:val="center"/>
              <w:rPr>
                <w:sz w:val="18"/>
                <w:szCs w:val="18"/>
              </w:rPr>
            </w:pPr>
            <w:r w:rsidRPr="00664971">
              <w:rPr>
                <w:sz w:val="18"/>
                <w:szCs w:val="18"/>
              </w:rPr>
              <w:t>-0.002</w:t>
            </w:r>
          </w:p>
        </w:tc>
        <w:tc>
          <w:tcPr>
            <w:tcW w:w="1070" w:type="dxa"/>
            <w:noWrap/>
            <w:vAlign w:val="center"/>
            <w:hideMark/>
          </w:tcPr>
          <w:p w14:paraId="3B2A83ED" w14:textId="05BC10C4" w:rsidR="00664971" w:rsidRPr="00664971" w:rsidRDefault="00664971" w:rsidP="00664971">
            <w:pPr>
              <w:spacing w:line="240" w:lineRule="auto"/>
              <w:ind w:firstLine="0"/>
              <w:jc w:val="center"/>
              <w:rPr>
                <w:sz w:val="18"/>
                <w:szCs w:val="18"/>
              </w:rPr>
            </w:pPr>
            <w:r w:rsidRPr="00664971">
              <w:rPr>
                <w:sz w:val="18"/>
                <w:szCs w:val="18"/>
              </w:rPr>
              <w:t>-0.007***</w:t>
            </w:r>
          </w:p>
        </w:tc>
      </w:tr>
      <w:tr w:rsidR="00664971" w:rsidRPr="00101A2A" w14:paraId="7FA8C872" w14:textId="77777777" w:rsidTr="00B61D56">
        <w:trPr>
          <w:trHeight w:val="280"/>
        </w:trPr>
        <w:tc>
          <w:tcPr>
            <w:tcW w:w="2552" w:type="dxa"/>
            <w:vMerge/>
            <w:noWrap/>
            <w:vAlign w:val="center"/>
            <w:hideMark/>
          </w:tcPr>
          <w:p w14:paraId="07D46826" w14:textId="77777777" w:rsidR="00664971" w:rsidRPr="00101A2A" w:rsidRDefault="00664971" w:rsidP="00664971">
            <w:pPr>
              <w:spacing w:line="240" w:lineRule="auto"/>
              <w:ind w:firstLine="0"/>
              <w:rPr>
                <w:b/>
                <w:bCs/>
                <w:sz w:val="18"/>
                <w:szCs w:val="18"/>
              </w:rPr>
            </w:pPr>
          </w:p>
        </w:tc>
        <w:tc>
          <w:tcPr>
            <w:tcW w:w="1070" w:type="dxa"/>
            <w:noWrap/>
            <w:vAlign w:val="center"/>
            <w:hideMark/>
          </w:tcPr>
          <w:p w14:paraId="7AAC2B1B" w14:textId="77777777" w:rsidR="00664971" w:rsidRPr="00664971" w:rsidRDefault="00664971" w:rsidP="00664971">
            <w:pPr>
              <w:spacing w:line="240" w:lineRule="auto"/>
              <w:ind w:firstLine="0"/>
              <w:jc w:val="center"/>
              <w:rPr>
                <w:sz w:val="18"/>
                <w:szCs w:val="18"/>
              </w:rPr>
            </w:pPr>
          </w:p>
        </w:tc>
        <w:tc>
          <w:tcPr>
            <w:tcW w:w="1070" w:type="dxa"/>
            <w:noWrap/>
            <w:vAlign w:val="center"/>
            <w:hideMark/>
          </w:tcPr>
          <w:p w14:paraId="39FE9894" w14:textId="77777777" w:rsidR="00664971" w:rsidRPr="00664971" w:rsidRDefault="00664971" w:rsidP="00664971">
            <w:pPr>
              <w:spacing w:line="240" w:lineRule="auto"/>
              <w:ind w:firstLine="0"/>
              <w:jc w:val="center"/>
              <w:rPr>
                <w:sz w:val="18"/>
                <w:szCs w:val="18"/>
              </w:rPr>
            </w:pPr>
          </w:p>
        </w:tc>
        <w:tc>
          <w:tcPr>
            <w:tcW w:w="1070" w:type="dxa"/>
            <w:vAlign w:val="center"/>
          </w:tcPr>
          <w:p w14:paraId="773043A6" w14:textId="1ADBDA24" w:rsidR="00664971" w:rsidRPr="00664971" w:rsidRDefault="00664971" w:rsidP="00664971">
            <w:pPr>
              <w:spacing w:line="240" w:lineRule="auto"/>
              <w:ind w:firstLine="0"/>
              <w:jc w:val="center"/>
              <w:rPr>
                <w:sz w:val="18"/>
                <w:szCs w:val="18"/>
              </w:rPr>
            </w:pPr>
            <w:r w:rsidRPr="00664971">
              <w:rPr>
                <w:sz w:val="18"/>
                <w:szCs w:val="18"/>
              </w:rPr>
              <w:t>(0.001)</w:t>
            </w:r>
          </w:p>
        </w:tc>
        <w:tc>
          <w:tcPr>
            <w:tcW w:w="1070" w:type="dxa"/>
            <w:noWrap/>
            <w:vAlign w:val="center"/>
            <w:hideMark/>
          </w:tcPr>
          <w:p w14:paraId="11A02800" w14:textId="7F4C4D9F" w:rsidR="00664971" w:rsidRPr="00664971" w:rsidRDefault="00664971" w:rsidP="00664971">
            <w:pPr>
              <w:spacing w:line="240" w:lineRule="auto"/>
              <w:ind w:firstLine="0"/>
              <w:jc w:val="center"/>
              <w:rPr>
                <w:sz w:val="18"/>
                <w:szCs w:val="18"/>
              </w:rPr>
            </w:pPr>
            <w:r w:rsidRPr="00664971">
              <w:rPr>
                <w:sz w:val="18"/>
                <w:szCs w:val="18"/>
              </w:rPr>
              <w:t>(0.002)</w:t>
            </w:r>
          </w:p>
        </w:tc>
        <w:tc>
          <w:tcPr>
            <w:tcW w:w="1070" w:type="dxa"/>
            <w:noWrap/>
            <w:vAlign w:val="center"/>
            <w:hideMark/>
          </w:tcPr>
          <w:p w14:paraId="482B42AB" w14:textId="2AFEE1F6" w:rsidR="00664971" w:rsidRPr="00664971" w:rsidRDefault="00664971" w:rsidP="00664971">
            <w:pPr>
              <w:spacing w:line="240" w:lineRule="auto"/>
              <w:ind w:firstLine="0"/>
              <w:jc w:val="center"/>
              <w:rPr>
                <w:sz w:val="18"/>
                <w:szCs w:val="18"/>
              </w:rPr>
            </w:pPr>
            <w:r w:rsidRPr="00664971">
              <w:rPr>
                <w:sz w:val="18"/>
                <w:szCs w:val="18"/>
              </w:rPr>
              <w:t>(0.002)</w:t>
            </w:r>
          </w:p>
        </w:tc>
        <w:tc>
          <w:tcPr>
            <w:tcW w:w="1070" w:type="dxa"/>
            <w:noWrap/>
            <w:vAlign w:val="center"/>
            <w:hideMark/>
          </w:tcPr>
          <w:p w14:paraId="3EA97C94" w14:textId="266536A6" w:rsidR="00664971" w:rsidRPr="00664971" w:rsidRDefault="00664971" w:rsidP="00664971">
            <w:pPr>
              <w:spacing w:line="240" w:lineRule="auto"/>
              <w:ind w:firstLine="0"/>
              <w:jc w:val="center"/>
              <w:rPr>
                <w:sz w:val="18"/>
                <w:szCs w:val="18"/>
              </w:rPr>
            </w:pPr>
            <w:r w:rsidRPr="00664971">
              <w:rPr>
                <w:sz w:val="18"/>
                <w:szCs w:val="18"/>
              </w:rPr>
              <w:t>(0.003)</w:t>
            </w:r>
          </w:p>
        </w:tc>
      </w:tr>
      <w:tr w:rsidR="00664971" w:rsidRPr="00101A2A" w14:paraId="31F86C51" w14:textId="77777777" w:rsidTr="00B61D56">
        <w:trPr>
          <w:trHeight w:val="280"/>
        </w:trPr>
        <w:tc>
          <w:tcPr>
            <w:tcW w:w="2552" w:type="dxa"/>
            <w:vMerge w:val="restart"/>
            <w:noWrap/>
            <w:vAlign w:val="center"/>
            <w:hideMark/>
          </w:tcPr>
          <w:p w14:paraId="091EB6BA" w14:textId="77777777" w:rsidR="00664971" w:rsidRPr="00101A2A" w:rsidRDefault="00664971" w:rsidP="00664971">
            <w:pPr>
              <w:spacing w:line="240" w:lineRule="auto"/>
              <w:ind w:firstLine="0"/>
              <w:rPr>
                <w:b/>
                <w:bCs/>
                <w:sz w:val="18"/>
                <w:szCs w:val="18"/>
              </w:rPr>
            </w:pPr>
            <w:r w:rsidRPr="00101A2A">
              <w:rPr>
                <w:b/>
                <w:bCs/>
                <w:sz w:val="18"/>
                <w:szCs w:val="18"/>
              </w:rPr>
              <w:t>Log of real estate prices (t0)</w:t>
            </w:r>
          </w:p>
        </w:tc>
        <w:tc>
          <w:tcPr>
            <w:tcW w:w="1070" w:type="dxa"/>
            <w:noWrap/>
            <w:vAlign w:val="center"/>
            <w:hideMark/>
          </w:tcPr>
          <w:p w14:paraId="7A54B40A" w14:textId="37934DD1" w:rsidR="00664971" w:rsidRPr="00664971" w:rsidRDefault="00664971" w:rsidP="00664971">
            <w:pPr>
              <w:spacing w:line="240" w:lineRule="auto"/>
              <w:ind w:firstLine="0"/>
              <w:jc w:val="center"/>
              <w:rPr>
                <w:sz w:val="18"/>
                <w:szCs w:val="18"/>
              </w:rPr>
            </w:pPr>
            <w:r w:rsidRPr="00664971">
              <w:rPr>
                <w:sz w:val="18"/>
                <w:szCs w:val="18"/>
              </w:rPr>
              <w:t>0.934***</w:t>
            </w:r>
          </w:p>
        </w:tc>
        <w:tc>
          <w:tcPr>
            <w:tcW w:w="1070" w:type="dxa"/>
            <w:noWrap/>
            <w:vAlign w:val="center"/>
            <w:hideMark/>
          </w:tcPr>
          <w:p w14:paraId="1E8BE5DC" w14:textId="5B410598" w:rsidR="00664971" w:rsidRPr="00664971" w:rsidRDefault="00664971" w:rsidP="00664971">
            <w:pPr>
              <w:spacing w:line="240" w:lineRule="auto"/>
              <w:ind w:firstLine="0"/>
              <w:jc w:val="center"/>
              <w:rPr>
                <w:sz w:val="18"/>
                <w:szCs w:val="18"/>
              </w:rPr>
            </w:pPr>
            <w:r w:rsidRPr="00664971">
              <w:rPr>
                <w:sz w:val="18"/>
                <w:szCs w:val="18"/>
              </w:rPr>
              <w:t>0.928***</w:t>
            </w:r>
          </w:p>
        </w:tc>
        <w:tc>
          <w:tcPr>
            <w:tcW w:w="1070" w:type="dxa"/>
            <w:vAlign w:val="center"/>
          </w:tcPr>
          <w:p w14:paraId="77FDF6EB" w14:textId="2398D021" w:rsidR="00664971" w:rsidRPr="00664971" w:rsidRDefault="00664971" w:rsidP="00664971">
            <w:pPr>
              <w:spacing w:line="240" w:lineRule="auto"/>
              <w:ind w:firstLine="0"/>
              <w:jc w:val="center"/>
              <w:rPr>
                <w:sz w:val="18"/>
                <w:szCs w:val="18"/>
              </w:rPr>
            </w:pPr>
            <w:r w:rsidRPr="00664971">
              <w:rPr>
                <w:sz w:val="18"/>
                <w:szCs w:val="18"/>
              </w:rPr>
              <w:t>0.949***</w:t>
            </w:r>
          </w:p>
        </w:tc>
        <w:tc>
          <w:tcPr>
            <w:tcW w:w="1070" w:type="dxa"/>
            <w:noWrap/>
            <w:vAlign w:val="center"/>
            <w:hideMark/>
          </w:tcPr>
          <w:p w14:paraId="64F698F1" w14:textId="087ECF22" w:rsidR="00664971" w:rsidRPr="00664971" w:rsidRDefault="00664971" w:rsidP="00664971">
            <w:pPr>
              <w:spacing w:line="240" w:lineRule="auto"/>
              <w:ind w:firstLine="0"/>
              <w:jc w:val="center"/>
              <w:rPr>
                <w:sz w:val="18"/>
                <w:szCs w:val="18"/>
              </w:rPr>
            </w:pPr>
            <w:r w:rsidRPr="00664971">
              <w:rPr>
                <w:sz w:val="18"/>
                <w:szCs w:val="18"/>
              </w:rPr>
              <w:t>0.953***</w:t>
            </w:r>
          </w:p>
        </w:tc>
        <w:tc>
          <w:tcPr>
            <w:tcW w:w="1070" w:type="dxa"/>
            <w:noWrap/>
            <w:vAlign w:val="center"/>
            <w:hideMark/>
          </w:tcPr>
          <w:p w14:paraId="63565441" w14:textId="4F2EC7F0" w:rsidR="00664971" w:rsidRPr="00664971" w:rsidRDefault="00664971" w:rsidP="00664971">
            <w:pPr>
              <w:spacing w:line="240" w:lineRule="auto"/>
              <w:ind w:firstLine="0"/>
              <w:jc w:val="center"/>
              <w:rPr>
                <w:sz w:val="18"/>
                <w:szCs w:val="18"/>
              </w:rPr>
            </w:pPr>
            <w:r w:rsidRPr="00664971">
              <w:rPr>
                <w:sz w:val="18"/>
                <w:szCs w:val="18"/>
              </w:rPr>
              <w:t>0.985***</w:t>
            </w:r>
          </w:p>
        </w:tc>
        <w:tc>
          <w:tcPr>
            <w:tcW w:w="1070" w:type="dxa"/>
            <w:noWrap/>
            <w:vAlign w:val="center"/>
            <w:hideMark/>
          </w:tcPr>
          <w:p w14:paraId="01EB2160" w14:textId="6A609419" w:rsidR="00664971" w:rsidRPr="00664971" w:rsidRDefault="00664971" w:rsidP="00664971">
            <w:pPr>
              <w:spacing w:line="240" w:lineRule="auto"/>
              <w:ind w:firstLine="0"/>
              <w:jc w:val="center"/>
              <w:rPr>
                <w:sz w:val="18"/>
                <w:szCs w:val="18"/>
              </w:rPr>
            </w:pPr>
            <w:r w:rsidRPr="00664971">
              <w:rPr>
                <w:sz w:val="18"/>
                <w:szCs w:val="18"/>
              </w:rPr>
              <w:t>0.977***</w:t>
            </w:r>
          </w:p>
        </w:tc>
      </w:tr>
      <w:tr w:rsidR="00664971" w:rsidRPr="00101A2A" w14:paraId="3CDB4A5B" w14:textId="77777777" w:rsidTr="00B61D56">
        <w:trPr>
          <w:trHeight w:val="280"/>
        </w:trPr>
        <w:tc>
          <w:tcPr>
            <w:tcW w:w="2552" w:type="dxa"/>
            <w:vMerge/>
            <w:noWrap/>
            <w:vAlign w:val="center"/>
            <w:hideMark/>
          </w:tcPr>
          <w:p w14:paraId="22603BE4" w14:textId="77777777" w:rsidR="00664971" w:rsidRPr="00101A2A" w:rsidRDefault="00664971" w:rsidP="00664971">
            <w:pPr>
              <w:spacing w:line="240" w:lineRule="auto"/>
              <w:ind w:firstLine="0"/>
              <w:rPr>
                <w:b/>
                <w:bCs/>
                <w:sz w:val="18"/>
                <w:szCs w:val="18"/>
              </w:rPr>
            </w:pPr>
          </w:p>
        </w:tc>
        <w:tc>
          <w:tcPr>
            <w:tcW w:w="1070" w:type="dxa"/>
            <w:noWrap/>
            <w:vAlign w:val="center"/>
            <w:hideMark/>
          </w:tcPr>
          <w:p w14:paraId="60E652D9" w14:textId="296ED269" w:rsidR="00664971" w:rsidRPr="00664971" w:rsidRDefault="00664971" w:rsidP="00664971">
            <w:pPr>
              <w:spacing w:line="240" w:lineRule="auto"/>
              <w:ind w:firstLine="0"/>
              <w:jc w:val="center"/>
              <w:rPr>
                <w:sz w:val="18"/>
                <w:szCs w:val="18"/>
              </w:rPr>
            </w:pPr>
            <w:r w:rsidRPr="00664971">
              <w:rPr>
                <w:sz w:val="18"/>
                <w:szCs w:val="18"/>
              </w:rPr>
              <w:t>(0.002)</w:t>
            </w:r>
          </w:p>
        </w:tc>
        <w:tc>
          <w:tcPr>
            <w:tcW w:w="1070" w:type="dxa"/>
            <w:noWrap/>
            <w:vAlign w:val="center"/>
            <w:hideMark/>
          </w:tcPr>
          <w:p w14:paraId="7F05316F" w14:textId="3960BC7D" w:rsidR="00664971" w:rsidRPr="00664971" w:rsidRDefault="00664971" w:rsidP="00664971">
            <w:pPr>
              <w:spacing w:line="240" w:lineRule="auto"/>
              <w:ind w:firstLine="0"/>
              <w:jc w:val="center"/>
              <w:rPr>
                <w:sz w:val="18"/>
                <w:szCs w:val="18"/>
              </w:rPr>
            </w:pPr>
            <w:r w:rsidRPr="00664971">
              <w:rPr>
                <w:sz w:val="18"/>
                <w:szCs w:val="18"/>
              </w:rPr>
              <w:t>(0.002)</w:t>
            </w:r>
          </w:p>
        </w:tc>
        <w:tc>
          <w:tcPr>
            <w:tcW w:w="1070" w:type="dxa"/>
            <w:vAlign w:val="center"/>
          </w:tcPr>
          <w:p w14:paraId="05467107" w14:textId="5EBE24D4" w:rsidR="00664971" w:rsidRPr="00664971" w:rsidRDefault="00664971" w:rsidP="00664971">
            <w:pPr>
              <w:spacing w:line="240" w:lineRule="auto"/>
              <w:ind w:firstLine="0"/>
              <w:jc w:val="center"/>
              <w:rPr>
                <w:sz w:val="18"/>
                <w:szCs w:val="18"/>
              </w:rPr>
            </w:pPr>
            <w:r w:rsidRPr="00664971">
              <w:rPr>
                <w:sz w:val="18"/>
                <w:szCs w:val="18"/>
              </w:rPr>
              <w:t>(0.003)</w:t>
            </w:r>
          </w:p>
        </w:tc>
        <w:tc>
          <w:tcPr>
            <w:tcW w:w="1070" w:type="dxa"/>
            <w:noWrap/>
            <w:vAlign w:val="center"/>
            <w:hideMark/>
          </w:tcPr>
          <w:p w14:paraId="7A6ADD33" w14:textId="3D83C164" w:rsidR="00664971" w:rsidRPr="00664971" w:rsidRDefault="00664971" w:rsidP="00664971">
            <w:pPr>
              <w:spacing w:line="240" w:lineRule="auto"/>
              <w:ind w:firstLine="0"/>
              <w:jc w:val="center"/>
              <w:rPr>
                <w:sz w:val="18"/>
                <w:szCs w:val="18"/>
              </w:rPr>
            </w:pPr>
            <w:r w:rsidRPr="00664971">
              <w:rPr>
                <w:sz w:val="18"/>
                <w:szCs w:val="18"/>
              </w:rPr>
              <w:t>(0.003)</w:t>
            </w:r>
          </w:p>
        </w:tc>
        <w:tc>
          <w:tcPr>
            <w:tcW w:w="1070" w:type="dxa"/>
            <w:noWrap/>
            <w:vAlign w:val="center"/>
            <w:hideMark/>
          </w:tcPr>
          <w:p w14:paraId="70B4EE8D" w14:textId="246E069E" w:rsidR="00664971" w:rsidRPr="00664971" w:rsidRDefault="00664971" w:rsidP="00664971">
            <w:pPr>
              <w:spacing w:line="240" w:lineRule="auto"/>
              <w:ind w:firstLine="0"/>
              <w:jc w:val="center"/>
              <w:rPr>
                <w:sz w:val="18"/>
                <w:szCs w:val="18"/>
              </w:rPr>
            </w:pPr>
            <w:r w:rsidRPr="00664971">
              <w:rPr>
                <w:sz w:val="18"/>
                <w:szCs w:val="18"/>
              </w:rPr>
              <w:t>(0.002)</w:t>
            </w:r>
          </w:p>
        </w:tc>
        <w:tc>
          <w:tcPr>
            <w:tcW w:w="1070" w:type="dxa"/>
            <w:noWrap/>
            <w:vAlign w:val="center"/>
            <w:hideMark/>
          </w:tcPr>
          <w:p w14:paraId="68308F2E" w14:textId="2F6A0E0A" w:rsidR="00664971" w:rsidRPr="00664971" w:rsidRDefault="00664971" w:rsidP="00664971">
            <w:pPr>
              <w:spacing w:line="240" w:lineRule="auto"/>
              <w:ind w:firstLine="0"/>
              <w:jc w:val="center"/>
              <w:rPr>
                <w:sz w:val="18"/>
                <w:szCs w:val="18"/>
              </w:rPr>
            </w:pPr>
            <w:r w:rsidRPr="00664971">
              <w:rPr>
                <w:sz w:val="18"/>
                <w:szCs w:val="18"/>
              </w:rPr>
              <w:t>(0.002)</w:t>
            </w:r>
          </w:p>
        </w:tc>
      </w:tr>
      <w:tr w:rsidR="00664971" w:rsidRPr="00101A2A" w14:paraId="180FE537" w14:textId="77777777" w:rsidTr="00B61D56">
        <w:trPr>
          <w:trHeight w:val="280"/>
        </w:trPr>
        <w:tc>
          <w:tcPr>
            <w:tcW w:w="2552" w:type="dxa"/>
            <w:vMerge w:val="restart"/>
            <w:noWrap/>
            <w:vAlign w:val="center"/>
            <w:hideMark/>
          </w:tcPr>
          <w:p w14:paraId="43C04C51" w14:textId="77777777" w:rsidR="00664971" w:rsidRPr="00101A2A" w:rsidRDefault="00664971" w:rsidP="00664971">
            <w:pPr>
              <w:spacing w:line="240" w:lineRule="auto"/>
              <w:ind w:firstLine="0"/>
              <w:rPr>
                <w:b/>
                <w:bCs/>
                <w:sz w:val="18"/>
                <w:szCs w:val="18"/>
              </w:rPr>
            </w:pPr>
            <w:r w:rsidRPr="00101A2A">
              <w:rPr>
                <w:b/>
                <w:bCs/>
                <w:sz w:val="18"/>
                <w:szCs w:val="18"/>
              </w:rPr>
              <w:t>No. of not spanning actors</w:t>
            </w:r>
          </w:p>
        </w:tc>
        <w:tc>
          <w:tcPr>
            <w:tcW w:w="1070" w:type="dxa"/>
            <w:noWrap/>
            <w:vAlign w:val="center"/>
            <w:hideMark/>
          </w:tcPr>
          <w:p w14:paraId="433C8F4D" w14:textId="064667BD"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hideMark/>
          </w:tcPr>
          <w:p w14:paraId="05524894" w14:textId="52FDBD0E"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vAlign w:val="center"/>
          </w:tcPr>
          <w:p w14:paraId="40B713CE" w14:textId="29101BFA"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hideMark/>
          </w:tcPr>
          <w:p w14:paraId="4A7FAEF6" w14:textId="390FBD05"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hideMark/>
          </w:tcPr>
          <w:p w14:paraId="1F67E724" w14:textId="5F30210D"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hideMark/>
          </w:tcPr>
          <w:p w14:paraId="701B0666" w14:textId="08D7099F" w:rsidR="00664971" w:rsidRPr="00664971" w:rsidRDefault="00664971" w:rsidP="00664971">
            <w:pPr>
              <w:spacing w:line="240" w:lineRule="auto"/>
              <w:ind w:firstLine="0"/>
              <w:jc w:val="center"/>
              <w:rPr>
                <w:sz w:val="18"/>
                <w:szCs w:val="18"/>
              </w:rPr>
            </w:pPr>
            <w:r w:rsidRPr="00664971">
              <w:rPr>
                <w:sz w:val="18"/>
                <w:szCs w:val="18"/>
              </w:rPr>
              <w:t>0.000***</w:t>
            </w:r>
          </w:p>
        </w:tc>
      </w:tr>
      <w:tr w:rsidR="00664971" w:rsidRPr="00101A2A" w14:paraId="5A0C92EE" w14:textId="77777777" w:rsidTr="00B61D56">
        <w:trPr>
          <w:trHeight w:val="280"/>
        </w:trPr>
        <w:tc>
          <w:tcPr>
            <w:tcW w:w="2552" w:type="dxa"/>
            <w:vMerge/>
            <w:noWrap/>
            <w:vAlign w:val="center"/>
            <w:hideMark/>
          </w:tcPr>
          <w:p w14:paraId="34D92514" w14:textId="77777777" w:rsidR="00664971" w:rsidRPr="00101A2A" w:rsidRDefault="00664971" w:rsidP="00664971">
            <w:pPr>
              <w:spacing w:line="240" w:lineRule="auto"/>
              <w:ind w:firstLine="0"/>
              <w:rPr>
                <w:b/>
                <w:bCs/>
                <w:sz w:val="18"/>
                <w:szCs w:val="18"/>
              </w:rPr>
            </w:pPr>
          </w:p>
        </w:tc>
        <w:tc>
          <w:tcPr>
            <w:tcW w:w="1070" w:type="dxa"/>
            <w:noWrap/>
            <w:vAlign w:val="center"/>
            <w:hideMark/>
          </w:tcPr>
          <w:p w14:paraId="09704FA7" w14:textId="4E727FBA"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hideMark/>
          </w:tcPr>
          <w:p w14:paraId="34AC75E9" w14:textId="64BBBD2D"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vAlign w:val="center"/>
          </w:tcPr>
          <w:p w14:paraId="573446FB" w14:textId="13306C62"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hideMark/>
          </w:tcPr>
          <w:p w14:paraId="0B93F523" w14:textId="699252A4"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hideMark/>
          </w:tcPr>
          <w:p w14:paraId="462FED0C" w14:textId="23911905"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hideMark/>
          </w:tcPr>
          <w:p w14:paraId="37A5BB14" w14:textId="258A8796" w:rsidR="00664971" w:rsidRPr="00664971" w:rsidRDefault="00664971" w:rsidP="00664971">
            <w:pPr>
              <w:spacing w:line="240" w:lineRule="auto"/>
              <w:ind w:firstLine="0"/>
              <w:jc w:val="center"/>
              <w:rPr>
                <w:sz w:val="18"/>
                <w:szCs w:val="18"/>
              </w:rPr>
            </w:pPr>
            <w:r w:rsidRPr="00664971">
              <w:rPr>
                <w:sz w:val="18"/>
                <w:szCs w:val="18"/>
              </w:rPr>
              <w:t>(0.000)</w:t>
            </w:r>
          </w:p>
        </w:tc>
      </w:tr>
      <w:tr w:rsidR="00664971" w:rsidRPr="00101A2A" w14:paraId="4B88D646" w14:textId="77777777" w:rsidTr="00B61D56">
        <w:trPr>
          <w:trHeight w:val="280"/>
        </w:trPr>
        <w:tc>
          <w:tcPr>
            <w:tcW w:w="2552" w:type="dxa"/>
            <w:vMerge w:val="restart"/>
            <w:noWrap/>
            <w:vAlign w:val="center"/>
            <w:hideMark/>
          </w:tcPr>
          <w:p w14:paraId="2F6D9472" w14:textId="77777777" w:rsidR="00664971" w:rsidRPr="00101A2A" w:rsidRDefault="00664971" w:rsidP="00664971">
            <w:pPr>
              <w:spacing w:line="240" w:lineRule="auto"/>
              <w:ind w:firstLine="0"/>
              <w:rPr>
                <w:b/>
                <w:bCs/>
                <w:sz w:val="18"/>
                <w:szCs w:val="18"/>
              </w:rPr>
            </w:pPr>
            <w:r w:rsidRPr="00101A2A">
              <w:rPr>
                <w:b/>
                <w:bCs/>
                <w:sz w:val="18"/>
                <w:szCs w:val="18"/>
              </w:rPr>
              <w:t>Change in no. of new building permits</w:t>
            </w:r>
          </w:p>
        </w:tc>
        <w:tc>
          <w:tcPr>
            <w:tcW w:w="1070" w:type="dxa"/>
            <w:noWrap/>
            <w:vAlign w:val="center"/>
            <w:hideMark/>
          </w:tcPr>
          <w:p w14:paraId="19E4A70B" w14:textId="2BF32747"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hideMark/>
          </w:tcPr>
          <w:p w14:paraId="73E90B5D" w14:textId="0E23DE33"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vAlign w:val="center"/>
          </w:tcPr>
          <w:p w14:paraId="4E65DBBB" w14:textId="2DE0BA6A"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hideMark/>
          </w:tcPr>
          <w:p w14:paraId="34AB72D2" w14:textId="6D19BF4B"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hideMark/>
          </w:tcPr>
          <w:p w14:paraId="3060AC9F" w14:textId="38902963"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hideMark/>
          </w:tcPr>
          <w:p w14:paraId="07CB0A6F" w14:textId="7D1FA639" w:rsidR="00664971" w:rsidRPr="00664971" w:rsidRDefault="00664971" w:rsidP="00664971">
            <w:pPr>
              <w:spacing w:line="240" w:lineRule="auto"/>
              <w:ind w:firstLine="0"/>
              <w:jc w:val="center"/>
              <w:rPr>
                <w:sz w:val="18"/>
                <w:szCs w:val="18"/>
              </w:rPr>
            </w:pPr>
            <w:r w:rsidRPr="00664971">
              <w:rPr>
                <w:sz w:val="18"/>
                <w:szCs w:val="18"/>
              </w:rPr>
              <w:t>-0.000</w:t>
            </w:r>
          </w:p>
        </w:tc>
      </w:tr>
      <w:tr w:rsidR="00664971" w:rsidRPr="00101A2A" w14:paraId="5AF86FA6" w14:textId="77777777" w:rsidTr="00B61D56">
        <w:trPr>
          <w:trHeight w:val="280"/>
        </w:trPr>
        <w:tc>
          <w:tcPr>
            <w:tcW w:w="2552" w:type="dxa"/>
            <w:vMerge/>
            <w:noWrap/>
            <w:vAlign w:val="center"/>
            <w:hideMark/>
          </w:tcPr>
          <w:p w14:paraId="5B910741" w14:textId="77777777" w:rsidR="00664971" w:rsidRPr="00101A2A" w:rsidRDefault="00664971" w:rsidP="00664971">
            <w:pPr>
              <w:spacing w:line="240" w:lineRule="auto"/>
              <w:ind w:firstLine="0"/>
              <w:rPr>
                <w:b/>
                <w:bCs/>
                <w:sz w:val="18"/>
                <w:szCs w:val="18"/>
              </w:rPr>
            </w:pPr>
          </w:p>
        </w:tc>
        <w:tc>
          <w:tcPr>
            <w:tcW w:w="1070" w:type="dxa"/>
            <w:noWrap/>
            <w:vAlign w:val="center"/>
            <w:hideMark/>
          </w:tcPr>
          <w:p w14:paraId="65D041EC" w14:textId="183427D9"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hideMark/>
          </w:tcPr>
          <w:p w14:paraId="017DD780" w14:textId="4CC73188"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vAlign w:val="center"/>
          </w:tcPr>
          <w:p w14:paraId="53C0F808" w14:textId="4E5469D7"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hideMark/>
          </w:tcPr>
          <w:p w14:paraId="2CF81D08" w14:textId="52CAE021"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hideMark/>
          </w:tcPr>
          <w:p w14:paraId="457E7DD8" w14:textId="7FC7FAA8"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hideMark/>
          </w:tcPr>
          <w:p w14:paraId="20AE9B51" w14:textId="1D8E311F" w:rsidR="00664971" w:rsidRPr="00664971" w:rsidRDefault="00664971" w:rsidP="00664971">
            <w:pPr>
              <w:spacing w:line="240" w:lineRule="auto"/>
              <w:ind w:firstLine="0"/>
              <w:jc w:val="center"/>
              <w:rPr>
                <w:sz w:val="18"/>
                <w:szCs w:val="18"/>
              </w:rPr>
            </w:pPr>
            <w:r w:rsidRPr="00664971">
              <w:rPr>
                <w:sz w:val="18"/>
                <w:szCs w:val="18"/>
              </w:rPr>
              <w:t>(0.000)</w:t>
            </w:r>
          </w:p>
        </w:tc>
      </w:tr>
      <w:tr w:rsidR="00664971" w:rsidRPr="00101A2A" w14:paraId="68ED7EC1" w14:textId="77777777" w:rsidTr="00B61D56">
        <w:trPr>
          <w:trHeight w:val="280"/>
        </w:trPr>
        <w:tc>
          <w:tcPr>
            <w:tcW w:w="2552" w:type="dxa"/>
            <w:vMerge w:val="restart"/>
            <w:noWrap/>
            <w:vAlign w:val="center"/>
            <w:hideMark/>
          </w:tcPr>
          <w:p w14:paraId="07E009ED" w14:textId="77777777" w:rsidR="00664971" w:rsidRPr="00101A2A" w:rsidRDefault="00664971" w:rsidP="00664971">
            <w:pPr>
              <w:spacing w:line="240" w:lineRule="auto"/>
              <w:ind w:firstLine="0"/>
              <w:rPr>
                <w:b/>
                <w:bCs/>
                <w:sz w:val="18"/>
                <w:szCs w:val="18"/>
              </w:rPr>
            </w:pPr>
            <w:r w:rsidRPr="00101A2A">
              <w:rPr>
                <w:b/>
                <w:bCs/>
                <w:sz w:val="18"/>
                <w:szCs w:val="18"/>
              </w:rPr>
              <w:t>Change in no. of houses sold</w:t>
            </w:r>
          </w:p>
        </w:tc>
        <w:tc>
          <w:tcPr>
            <w:tcW w:w="1070" w:type="dxa"/>
            <w:noWrap/>
            <w:vAlign w:val="center"/>
            <w:hideMark/>
          </w:tcPr>
          <w:p w14:paraId="38E97BAD" w14:textId="43E9D7B7"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hideMark/>
          </w:tcPr>
          <w:p w14:paraId="703A66A0" w14:textId="54B23E98"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vAlign w:val="center"/>
          </w:tcPr>
          <w:p w14:paraId="0B7FEC9B" w14:textId="1D84DAC2"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hideMark/>
          </w:tcPr>
          <w:p w14:paraId="45A4C01D" w14:textId="166F8B36"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hideMark/>
          </w:tcPr>
          <w:p w14:paraId="5C6AEF27" w14:textId="33A88FC1"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hideMark/>
          </w:tcPr>
          <w:p w14:paraId="0D65841C" w14:textId="5D4548CC" w:rsidR="00664971" w:rsidRPr="00664971" w:rsidRDefault="00664971" w:rsidP="00664971">
            <w:pPr>
              <w:spacing w:line="240" w:lineRule="auto"/>
              <w:ind w:firstLine="0"/>
              <w:jc w:val="center"/>
              <w:rPr>
                <w:sz w:val="18"/>
                <w:szCs w:val="18"/>
              </w:rPr>
            </w:pPr>
            <w:r w:rsidRPr="00664971">
              <w:rPr>
                <w:sz w:val="18"/>
                <w:szCs w:val="18"/>
              </w:rPr>
              <w:t>0.000</w:t>
            </w:r>
          </w:p>
        </w:tc>
      </w:tr>
      <w:tr w:rsidR="00664971" w:rsidRPr="00101A2A" w14:paraId="07CC02FE" w14:textId="77777777" w:rsidTr="00B61D56">
        <w:trPr>
          <w:trHeight w:val="280"/>
        </w:trPr>
        <w:tc>
          <w:tcPr>
            <w:tcW w:w="2552" w:type="dxa"/>
            <w:vMerge/>
            <w:noWrap/>
            <w:vAlign w:val="center"/>
            <w:hideMark/>
          </w:tcPr>
          <w:p w14:paraId="7A24A234" w14:textId="77777777" w:rsidR="00664971" w:rsidRPr="00101A2A" w:rsidRDefault="00664971" w:rsidP="00664971">
            <w:pPr>
              <w:spacing w:line="240" w:lineRule="auto"/>
              <w:ind w:firstLine="0"/>
              <w:rPr>
                <w:b/>
                <w:bCs/>
                <w:sz w:val="18"/>
                <w:szCs w:val="18"/>
              </w:rPr>
            </w:pPr>
          </w:p>
        </w:tc>
        <w:tc>
          <w:tcPr>
            <w:tcW w:w="1070" w:type="dxa"/>
            <w:noWrap/>
            <w:vAlign w:val="center"/>
            <w:hideMark/>
          </w:tcPr>
          <w:p w14:paraId="6A6F9AE7" w14:textId="058361A9"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hideMark/>
          </w:tcPr>
          <w:p w14:paraId="56966D0E" w14:textId="4E281960"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vAlign w:val="center"/>
          </w:tcPr>
          <w:p w14:paraId="63E28375" w14:textId="1C41FE09"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hideMark/>
          </w:tcPr>
          <w:p w14:paraId="03DA0363" w14:textId="733F0E91"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hideMark/>
          </w:tcPr>
          <w:p w14:paraId="5DC0A54F" w14:textId="1A73D729"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hideMark/>
          </w:tcPr>
          <w:p w14:paraId="4292B851" w14:textId="720E2588" w:rsidR="00664971" w:rsidRPr="00664971" w:rsidRDefault="00664971" w:rsidP="00664971">
            <w:pPr>
              <w:spacing w:line="240" w:lineRule="auto"/>
              <w:ind w:firstLine="0"/>
              <w:jc w:val="center"/>
              <w:rPr>
                <w:sz w:val="18"/>
                <w:szCs w:val="18"/>
              </w:rPr>
            </w:pPr>
            <w:r w:rsidRPr="00664971">
              <w:rPr>
                <w:sz w:val="18"/>
                <w:szCs w:val="18"/>
              </w:rPr>
              <w:t>(0.000)</w:t>
            </w:r>
          </w:p>
        </w:tc>
      </w:tr>
      <w:tr w:rsidR="00664971" w:rsidRPr="00101A2A" w14:paraId="7242321D" w14:textId="77777777" w:rsidTr="00B61D56">
        <w:trPr>
          <w:trHeight w:val="280"/>
        </w:trPr>
        <w:tc>
          <w:tcPr>
            <w:tcW w:w="2552" w:type="dxa"/>
            <w:vMerge w:val="restart"/>
            <w:noWrap/>
            <w:vAlign w:val="center"/>
          </w:tcPr>
          <w:p w14:paraId="389B70F0" w14:textId="77777777" w:rsidR="00664971" w:rsidRPr="00101A2A" w:rsidRDefault="00664971" w:rsidP="00664971">
            <w:pPr>
              <w:spacing w:line="240" w:lineRule="auto"/>
              <w:ind w:firstLine="0"/>
              <w:rPr>
                <w:b/>
                <w:bCs/>
                <w:sz w:val="18"/>
                <w:szCs w:val="18"/>
              </w:rPr>
            </w:pPr>
            <w:r w:rsidRPr="00101A2A">
              <w:rPr>
                <w:b/>
                <w:bCs/>
                <w:sz w:val="18"/>
                <w:szCs w:val="18"/>
              </w:rPr>
              <w:t>No. of reviews</w:t>
            </w:r>
          </w:p>
        </w:tc>
        <w:tc>
          <w:tcPr>
            <w:tcW w:w="1070" w:type="dxa"/>
            <w:noWrap/>
            <w:vAlign w:val="center"/>
          </w:tcPr>
          <w:p w14:paraId="3E487689" w14:textId="04081CFF"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tcPr>
          <w:p w14:paraId="7CF84D51" w14:textId="139BA7A3"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vAlign w:val="center"/>
          </w:tcPr>
          <w:p w14:paraId="5CBB1DAD" w14:textId="636C30E4"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tcPr>
          <w:p w14:paraId="116E5C6D" w14:textId="3A9B3796"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tcPr>
          <w:p w14:paraId="51DC8EA0" w14:textId="5BB4CC78"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tcPr>
          <w:p w14:paraId="15585F7A" w14:textId="3B42212F" w:rsidR="00664971" w:rsidRPr="00664971" w:rsidRDefault="00664971" w:rsidP="00664971">
            <w:pPr>
              <w:spacing w:line="240" w:lineRule="auto"/>
              <w:ind w:firstLine="0"/>
              <w:jc w:val="center"/>
              <w:rPr>
                <w:sz w:val="18"/>
                <w:szCs w:val="18"/>
              </w:rPr>
            </w:pPr>
            <w:r w:rsidRPr="00664971">
              <w:rPr>
                <w:sz w:val="18"/>
                <w:szCs w:val="18"/>
              </w:rPr>
              <w:t>0.000</w:t>
            </w:r>
          </w:p>
        </w:tc>
      </w:tr>
      <w:tr w:rsidR="00664971" w:rsidRPr="00101A2A" w14:paraId="4B93E382" w14:textId="77777777" w:rsidTr="00B61D56">
        <w:trPr>
          <w:trHeight w:val="280"/>
        </w:trPr>
        <w:tc>
          <w:tcPr>
            <w:tcW w:w="2552" w:type="dxa"/>
            <w:vMerge/>
            <w:noWrap/>
            <w:vAlign w:val="center"/>
          </w:tcPr>
          <w:p w14:paraId="7089691C" w14:textId="77777777" w:rsidR="00664971" w:rsidRPr="00101A2A" w:rsidRDefault="00664971" w:rsidP="00664971">
            <w:pPr>
              <w:spacing w:line="240" w:lineRule="auto"/>
              <w:ind w:firstLine="0"/>
              <w:rPr>
                <w:b/>
                <w:bCs/>
                <w:sz w:val="18"/>
                <w:szCs w:val="18"/>
              </w:rPr>
            </w:pPr>
          </w:p>
        </w:tc>
        <w:tc>
          <w:tcPr>
            <w:tcW w:w="1070" w:type="dxa"/>
            <w:noWrap/>
            <w:vAlign w:val="center"/>
          </w:tcPr>
          <w:p w14:paraId="62924AA2" w14:textId="5B06BCA6"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tcPr>
          <w:p w14:paraId="2146259C" w14:textId="46C347C0"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vAlign w:val="center"/>
          </w:tcPr>
          <w:p w14:paraId="1B1D95B6" w14:textId="5BB96798"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tcPr>
          <w:p w14:paraId="590517E5" w14:textId="00ED9CD5"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tcPr>
          <w:p w14:paraId="33728F8C" w14:textId="216DA972"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tcPr>
          <w:p w14:paraId="4CF9C227" w14:textId="2EA8DD51" w:rsidR="00664971" w:rsidRPr="00664971" w:rsidRDefault="00664971" w:rsidP="00664971">
            <w:pPr>
              <w:spacing w:line="240" w:lineRule="auto"/>
              <w:ind w:firstLine="0"/>
              <w:jc w:val="center"/>
              <w:rPr>
                <w:sz w:val="18"/>
                <w:szCs w:val="18"/>
              </w:rPr>
            </w:pPr>
            <w:r w:rsidRPr="00664971">
              <w:rPr>
                <w:sz w:val="18"/>
                <w:szCs w:val="18"/>
              </w:rPr>
              <w:t>(0.000)</w:t>
            </w:r>
          </w:p>
        </w:tc>
      </w:tr>
      <w:tr w:rsidR="00664971" w:rsidRPr="00101A2A" w14:paraId="6155C7D1" w14:textId="77777777" w:rsidTr="00B61D56">
        <w:trPr>
          <w:trHeight w:val="280"/>
        </w:trPr>
        <w:tc>
          <w:tcPr>
            <w:tcW w:w="2552" w:type="dxa"/>
            <w:vMerge w:val="restart"/>
            <w:noWrap/>
            <w:vAlign w:val="center"/>
            <w:hideMark/>
          </w:tcPr>
          <w:p w14:paraId="038BCB18" w14:textId="77777777" w:rsidR="00664971" w:rsidRPr="00101A2A" w:rsidRDefault="00664971" w:rsidP="00664971">
            <w:pPr>
              <w:spacing w:line="240" w:lineRule="auto"/>
              <w:ind w:firstLine="0"/>
              <w:rPr>
                <w:b/>
                <w:bCs/>
                <w:sz w:val="18"/>
                <w:szCs w:val="18"/>
              </w:rPr>
            </w:pPr>
            <w:r w:rsidRPr="00101A2A">
              <w:rPr>
                <w:b/>
                <w:bCs/>
                <w:sz w:val="18"/>
                <w:szCs w:val="18"/>
              </w:rPr>
              <w:t>Population (ln)</w:t>
            </w:r>
          </w:p>
        </w:tc>
        <w:tc>
          <w:tcPr>
            <w:tcW w:w="1070" w:type="dxa"/>
            <w:noWrap/>
            <w:vAlign w:val="center"/>
            <w:hideMark/>
          </w:tcPr>
          <w:p w14:paraId="24FB1B88" w14:textId="58E4D6F8" w:rsidR="00664971" w:rsidRPr="00664971" w:rsidRDefault="00664971" w:rsidP="00664971">
            <w:pPr>
              <w:spacing w:line="240" w:lineRule="auto"/>
              <w:ind w:firstLine="0"/>
              <w:jc w:val="center"/>
              <w:rPr>
                <w:sz w:val="18"/>
                <w:szCs w:val="18"/>
              </w:rPr>
            </w:pPr>
            <w:r w:rsidRPr="00664971">
              <w:rPr>
                <w:sz w:val="18"/>
                <w:szCs w:val="18"/>
              </w:rPr>
              <w:t>0.109***</w:t>
            </w:r>
          </w:p>
        </w:tc>
        <w:tc>
          <w:tcPr>
            <w:tcW w:w="1070" w:type="dxa"/>
            <w:noWrap/>
            <w:vAlign w:val="center"/>
            <w:hideMark/>
          </w:tcPr>
          <w:p w14:paraId="505BF2A4" w14:textId="5326C096" w:rsidR="00664971" w:rsidRPr="00664971" w:rsidRDefault="00664971" w:rsidP="00664971">
            <w:pPr>
              <w:spacing w:line="240" w:lineRule="auto"/>
              <w:ind w:firstLine="0"/>
              <w:jc w:val="center"/>
              <w:rPr>
                <w:sz w:val="18"/>
                <w:szCs w:val="18"/>
              </w:rPr>
            </w:pPr>
            <w:r w:rsidRPr="00664971">
              <w:rPr>
                <w:sz w:val="18"/>
                <w:szCs w:val="18"/>
              </w:rPr>
              <w:t>0.112***</w:t>
            </w:r>
          </w:p>
        </w:tc>
        <w:tc>
          <w:tcPr>
            <w:tcW w:w="1070" w:type="dxa"/>
            <w:vAlign w:val="center"/>
          </w:tcPr>
          <w:p w14:paraId="72786D4B" w14:textId="5C629DBA" w:rsidR="00664971" w:rsidRPr="00664971" w:rsidRDefault="00664971" w:rsidP="00664971">
            <w:pPr>
              <w:spacing w:line="240" w:lineRule="auto"/>
              <w:ind w:firstLine="0"/>
              <w:jc w:val="center"/>
              <w:rPr>
                <w:sz w:val="18"/>
                <w:szCs w:val="18"/>
              </w:rPr>
            </w:pPr>
            <w:r w:rsidRPr="00664971">
              <w:rPr>
                <w:sz w:val="18"/>
                <w:szCs w:val="18"/>
              </w:rPr>
              <w:t>-0.113***</w:t>
            </w:r>
          </w:p>
        </w:tc>
        <w:tc>
          <w:tcPr>
            <w:tcW w:w="1070" w:type="dxa"/>
            <w:noWrap/>
            <w:vAlign w:val="center"/>
            <w:hideMark/>
          </w:tcPr>
          <w:p w14:paraId="1105CFC8" w14:textId="02B079E9" w:rsidR="00664971" w:rsidRPr="00664971" w:rsidRDefault="00664971" w:rsidP="00664971">
            <w:pPr>
              <w:spacing w:line="240" w:lineRule="auto"/>
              <w:ind w:firstLine="0"/>
              <w:jc w:val="center"/>
              <w:rPr>
                <w:sz w:val="18"/>
                <w:szCs w:val="18"/>
              </w:rPr>
            </w:pPr>
            <w:r w:rsidRPr="00664971">
              <w:rPr>
                <w:sz w:val="18"/>
                <w:szCs w:val="18"/>
              </w:rPr>
              <w:t>-0.086***</w:t>
            </w:r>
          </w:p>
        </w:tc>
        <w:tc>
          <w:tcPr>
            <w:tcW w:w="1070" w:type="dxa"/>
            <w:noWrap/>
            <w:vAlign w:val="center"/>
            <w:hideMark/>
          </w:tcPr>
          <w:p w14:paraId="2700F6F6" w14:textId="38DE47A3" w:rsidR="00664971" w:rsidRPr="00664971" w:rsidRDefault="00664971" w:rsidP="00664971">
            <w:pPr>
              <w:spacing w:line="240" w:lineRule="auto"/>
              <w:ind w:firstLine="0"/>
              <w:jc w:val="center"/>
              <w:rPr>
                <w:sz w:val="18"/>
                <w:szCs w:val="18"/>
              </w:rPr>
            </w:pPr>
            <w:r w:rsidRPr="00664971">
              <w:rPr>
                <w:sz w:val="18"/>
                <w:szCs w:val="18"/>
              </w:rPr>
              <w:t>0.000</w:t>
            </w:r>
          </w:p>
        </w:tc>
        <w:tc>
          <w:tcPr>
            <w:tcW w:w="1070" w:type="dxa"/>
            <w:noWrap/>
            <w:vAlign w:val="center"/>
            <w:hideMark/>
          </w:tcPr>
          <w:p w14:paraId="6B0F03E5" w14:textId="38094C4C" w:rsidR="00664971" w:rsidRPr="00664971" w:rsidRDefault="00664971" w:rsidP="00664971">
            <w:pPr>
              <w:spacing w:line="240" w:lineRule="auto"/>
              <w:ind w:firstLine="0"/>
              <w:jc w:val="center"/>
              <w:rPr>
                <w:sz w:val="18"/>
                <w:szCs w:val="18"/>
              </w:rPr>
            </w:pPr>
            <w:r w:rsidRPr="00664971">
              <w:rPr>
                <w:sz w:val="18"/>
                <w:szCs w:val="18"/>
              </w:rPr>
              <w:t>0.011</w:t>
            </w:r>
          </w:p>
        </w:tc>
      </w:tr>
      <w:tr w:rsidR="00664971" w:rsidRPr="00101A2A" w14:paraId="48F69916" w14:textId="77777777" w:rsidTr="00B61D56">
        <w:trPr>
          <w:trHeight w:val="280"/>
        </w:trPr>
        <w:tc>
          <w:tcPr>
            <w:tcW w:w="2552" w:type="dxa"/>
            <w:vMerge/>
            <w:noWrap/>
            <w:vAlign w:val="center"/>
            <w:hideMark/>
          </w:tcPr>
          <w:p w14:paraId="32DF8EAB" w14:textId="77777777" w:rsidR="00664971" w:rsidRPr="00101A2A" w:rsidRDefault="00664971" w:rsidP="00664971">
            <w:pPr>
              <w:spacing w:line="240" w:lineRule="auto"/>
              <w:ind w:firstLine="0"/>
              <w:rPr>
                <w:b/>
                <w:bCs/>
                <w:sz w:val="18"/>
                <w:szCs w:val="18"/>
              </w:rPr>
            </w:pPr>
          </w:p>
        </w:tc>
        <w:tc>
          <w:tcPr>
            <w:tcW w:w="1070" w:type="dxa"/>
            <w:noWrap/>
            <w:vAlign w:val="center"/>
            <w:hideMark/>
          </w:tcPr>
          <w:p w14:paraId="4571059F" w14:textId="19BC80F9" w:rsidR="00664971" w:rsidRPr="00664971" w:rsidRDefault="00664971" w:rsidP="00664971">
            <w:pPr>
              <w:spacing w:line="240" w:lineRule="auto"/>
              <w:ind w:firstLine="0"/>
              <w:jc w:val="center"/>
              <w:rPr>
                <w:sz w:val="18"/>
                <w:szCs w:val="18"/>
              </w:rPr>
            </w:pPr>
            <w:r w:rsidRPr="00664971">
              <w:rPr>
                <w:sz w:val="18"/>
                <w:szCs w:val="18"/>
              </w:rPr>
              <w:t>(0.007)</w:t>
            </w:r>
          </w:p>
        </w:tc>
        <w:tc>
          <w:tcPr>
            <w:tcW w:w="1070" w:type="dxa"/>
            <w:noWrap/>
            <w:vAlign w:val="center"/>
            <w:hideMark/>
          </w:tcPr>
          <w:p w14:paraId="1BF173E3" w14:textId="4A4262FE" w:rsidR="00664971" w:rsidRPr="00664971" w:rsidRDefault="00664971" w:rsidP="00664971">
            <w:pPr>
              <w:spacing w:line="240" w:lineRule="auto"/>
              <w:ind w:firstLine="0"/>
              <w:jc w:val="center"/>
              <w:rPr>
                <w:sz w:val="18"/>
                <w:szCs w:val="18"/>
              </w:rPr>
            </w:pPr>
            <w:r w:rsidRPr="00664971">
              <w:rPr>
                <w:sz w:val="18"/>
                <w:szCs w:val="18"/>
              </w:rPr>
              <w:t>(0.007)</w:t>
            </w:r>
          </w:p>
        </w:tc>
        <w:tc>
          <w:tcPr>
            <w:tcW w:w="1070" w:type="dxa"/>
            <w:vAlign w:val="center"/>
          </w:tcPr>
          <w:p w14:paraId="18F79E1D" w14:textId="7B7A0A8C" w:rsidR="00664971" w:rsidRPr="00664971" w:rsidRDefault="00664971" w:rsidP="00664971">
            <w:pPr>
              <w:spacing w:line="240" w:lineRule="auto"/>
              <w:ind w:firstLine="0"/>
              <w:jc w:val="center"/>
              <w:rPr>
                <w:sz w:val="18"/>
                <w:szCs w:val="18"/>
              </w:rPr>
            </w:pPr>
            <w:r w:rsidRPr="00664971">
              <w:rPr>
                <w:sz w:val="18"/>
                <w:szCs w:val="18"/>
              </w:rPr>
              <w:t>(0.014)</w:t>
            </w:r>
          </w:p>
        </w:tc>
        <w:tc>
          <w:tcPr>
            <w:tcW w:w="1070" w:type="dxa"/>
            <w:noWrap/>
            <w:vAlign w:val="center"/>
            <w:hideMark/>
          </w:tcPr>
          <w:p w14:paraId="6E797F6C" w14:textId="01E91711" w:rsidR="00664971" w:rsidRPr="00664971" w:rsidRDefault="00664971" w:rsidP="00664971">
            <w:pPr>
              <w:spacing w:line="240" w:lineRule="auto"/>
              <w:ind w:firstLine="0"/>
              <w:jc w:val="center"/>
              <w:rPr>
                <w:sz w:val="18"/>
                <w:szCs w:val="18"/>
              </w:rPr>
            </w:pPr>
            <w:r w:rsidRPr="00664971">
              <w:rPr>
                <w:sz w:val="18"/>
                <w:szCs w:val="18"/>
              </w:rPr>
              <w:t>(0.014)</w:t>
            </w:r>
          </w:p>
        </w:tc>
        <w:tc>
          <w:tcPr>
            <w:tcW w:w="1070" w:type="dxa"/>
            <w:noWrap/>
            <w:vAlign w:val="center"/>
            <w:hideMark/>
          </w:tcPr>
          <w:p w14:paraId="461A379D" w14:textId="713BB386" w:rsidR="00664971" w:rsidRPr="00664971" w:rsidRDefault="00664971" w:rsidP="00664971">
            <w:pPr>
              <w:spacing w:line="240" w:lineRule="auto"/>
              <w:ind w:firstLine="0"/>
              <w:jc w:val="center"/>
              <w:rPr>
                <w:sz w:val="18"/>
                <w:szCs w:val="18"/>
              </w:rPr>
            </w:pPr>
            <w:r w:rsidRPr="00664971">
              <w:rPr>
                <w:sz w:val="18"/>
                <w:szCs w:val="18"/>
              </w:rPr>
              <w:t>(0.009)</w:t>
            </w:r>
          </w:p>
        </w:tc>
        <w:tc>
          <w:tcPr>
            <w:tcW w:w="1070" w:type="dxa"/>
            <w:noWrap/>
            <w:vAlign w:val="center"/>
            <w:hideMark/>
          </w:tcPr>
          <w:p w14:paraId="76D452BB" w14:textId="62ADF2D6" w:rsidR="00664971" w:rsidRPr="00664971" w:rsidRDefault="00664971" w:rsidP="00664971">
            <w:pPr>
              <w:spacing w:line="240" w:lineRule="auto"/>
              <w:ind w:firstLine="0"/>
              <w:jc w:val="center"/>
              <w:rPr>
                <w:sz w:val="18"/>
                <w:szCs w:val="18"/>
              </w:rPr>
            </w:pPr>
            <w:r w:rsidRPr="00664971">
              <w:rPr>
                <w:sz w:val="18"/>
                <w:szCs w:val="18"/>
              </w:rPr>
              <w:t>(0.009)</w:t>
            </w:r>
          </w:p>
        </w:tc>
      </w:tr>
      <w:tr w:rsidR="00664971" w:rsidRPr="00101A2A" w14:paraId="09687A19" w14:textId="77777777" w:rsidTr="00B61D56">
        <w:trPr>
          <w:trHeight w:val="280"/>
        </w:trPr>
        <w:tc>
          <w:tcPr>
            <w:tcW w:w="2552" w:type="dxa"/>
            <w:vMerge w:val="restart"/>
            <w:noWrap/>
            <w:vAlign w:val="center"/>
            <w:hideMark/>
          </w:tcPr>
          <w:p w14:paraId="375BCE3D" w14:textId="77777777" w:rsidR="00664971" w:rsidRPr="00101A2A" w:rsidRDefault="00664971" w:rsidP="00664971">
            <w:pPr>
              <w:spacing w:line="240" w:lineRule="auto"/>
              <w:ind w:firstLine="0"/>
              <w:rPr>
                <w:b/>
                <w:bCs/>
                <w:sz w:val="18"/>
                <w:szCs w:val="18"/>
              </w:rPr>
            </w:pPr>
            <w:r w:rsidRPr="00101A2A">
              <w:rPr>
                <w:b/>
                <w:bCs/>
                <w:sz w:val="18"/>
                <w:szCs w:val="18"/>
              </w:rPr>
              <w:t>Income (ln)</w:t>
            </w:r>
          </w:p>
        </w:tc>
        <w:tc>
          <w:tcPr>
            <w:tcW w:w="1070" w:type="dxa"/>
            <w:noWrap/>
            <w:vAlign w:val="center"/>
            <w:hideMark/>
          </w:tcPr>
          <w:p w14:paraId="5803CD8E" w14:textId="1B9BCF65" w:rsidR="00664971" w:rsidRPr="00664971" w:rsidRDefault="00664971" w:rsidP="00664971">
            <w:pPr>
              <w:spacing w:line="240" w:lineRule="auto"/>
              <w:ind w:firstLine="0"/>
              <w:jc w:val="center"/>
              <w:rPr>
                <w:sz w:val="18"/>
                <w:szCs w:val="18"/>
              </w:rPr>
            </w:pPr>
            <w:r w:rsidRPr="00664971">
              <w:rPr>
                <w:sz w:val="18"/>
                <w:szCs w:val="18"/>
              </w:rPr>
              <w:t>0.031***</w:t>
            </w:r>
          </w:p>
        </w:tc>
        <w:tc>
          <w:tcPr>
            <w:tcW w:w="1070" w:type="dxa"/>
            <w:noWrap/>
            <w:vAlign w:val="center"/>
            <w:hideMark/>
          </w:tcPr>
          <w:p w14:paraId="24F1A0CC" w14:textId="3F3E8436" w:rsidR="00664971" w:rsidRPr="00664971" w:rsidRDefault="00664971" w:rsidP="00664971">
            <w:pPr>
              <w:spacing w:line="240" w:lineRule="auto"/>
              <w:ind w:firstLine="0"/>
              <w:jc w:val="center"/>
              <w:rPr>
                <w:sz w:val="18"/>
                <w:szCs w:val="18"/>
              </w:rPr>
            </w:pPr>
            <w:r w:rsidRPr="00664971">
              <w:rPr>
                <w:sz w:val="18"/>
                <w:szCs w:val="18"/>
              </w:rPr>
              <w:t>0.039***</w:t>
            </w:r>
          </w:p>
        </w:tc>
        <w:tc>
          <w:tcPr>
            <w:tcW w:w="1070" w:type="dxa"/>
            <w:vAlign w:val="center"/>
          </w:tcPr>
          <w:p w14:paraId="64B26E46" w14:textId="59236A03" w:rsidR="00664971" w:rsidRPr="00664971" w:rsidRDefault="00664971" w:rsidP="00664971">
            <w:pPr>
              <w:spacing w:line="240" w:lineRule="auto"/>
              <w:ind w:firstLine="0"/>
              <w:jc w:val="center"/>
              <w:rPr>
                <w:sz w:val="18"/>
                <w:szCs w:val="18"/>
              </w:rPr>
            </w:pPr>
            <w:r w:rsidRPr="00664971">
              <w:rPr>
                <w:sz w:val="18"/>
                <w:szCs w:val="18"/>
              </w:rPr>
              <w:t>0.031***</w:t>
            </w:r>
          </w:p>
        </w:tc>
        <w:tc>
          <w:tcPr>
            <w:tcW w:w="1070" w:type="dxa"/>
            <w:noWrap/>
            <w:vAlign w:val="center"/>
            <w:hideMark/>
          </w:tcPr>
          <w:p w14:paraId="2C3D6E2A" w14:textId="207CF0B6" w:rsidR="00664971" w:rsidRPr="00664971" w:rsidRDefault="00664971" w:rsidP="00664971">
            <w:pPr>
              <w:spacing w:line="240" w:lineRule="auto"/>
              <w:ind w:firstLine="0"/>
              <w:jc w:val="center"/>
              <w:rPr>
                <w:sz w:val="18"/>
                <w:szCs w:val="18"/>
              </w:rPr>
            </w:pPr>
            <w:r w:rsidRPr="00664971">
              <w:rPr>
                <w:sz w:val="18"/>
                <w:szCs w:val="18"/>
              </w:rPr>
              <w:t>0.060***</w:t>
            </w:r>
          </w:p>
        </w:tc>
        <w:tc>
          <w:tcPr>
            <w:tcW w:w="1070" w:type="dxa"/>
            <w:noWrap/>
            <w:vAlign w:val="center"/>
            <w:hideMark/>
          </w:tcPr>
          <w:p w14:paraId="4BB808F7" w14:textId="3B8AA87B" w:rsidR="00664971" w:rsidRPr="00664971" w:rsidRDefault="00664971" w:rsidP="00664971">
            <w:pPr>
              <w:spacing w:line="240" w:lineRule="auto"/>
              <w:ind w:firstLine="0"/>
              <w:jc w:val="center"/>
              <w:rPr>
                <w:sz w:val="18"/>
                <w:szCs w:val="18"/>
              </w:rPr>
            </w:pPr>
            <w:r w:rsidRPr="00664971">
              <w:rPr>
                <w:sz w:val="18"/>
                <w:szCs w:val="18"/>
              </w:rPr>
              <w:t>-0.030***</w:t>
            </w:r>
          </w:p>
        </w:tc>
        <w:tc>
          <w:tcPr>
            <w:tcW w:w="1070" w:type="dxa"/>
            <w:noWrap/>
            <w:vAlign w:val="center"/>
            <w:hideMark/>
          </w:tcPr>
          <w:p w14:paraId="6E3CBF0C" w14:textId="0DEC0F2F" w:rsidR="00664971" w:rsidRPr="00664971" w:rsidRDefault="00664971" w:rsidP="00664971">
            <w:pPr>
              <w:spacing w:line="240" w:lineRule="auto"/>
              <w:ind w:firstLine="0"/>
              <w:jc w:val="center"/>
              <w:rPr>
                <w:sz w:val="18"/>
                <w:szCs w:val="18"/>
              </w:rPr>
            </w:pPr>
            <w:r w:rsidRPr="00664971">
              <w:rPr>
                <w:sz w:val="18"/>
                <w:szCs w:val="18"/>
              </w:rPr>
              <w:t>-0.018**</w:t>
            </w:r>
          </w:p>
        </w:tc>
      </w:tr>
      <w:tr w:rsidR="00664971" w:rsidRPr="00101A2A" w14:paraId="44A78153" w14:textId="77777777" w:rsidTr="00B61D56">
        <w:trPr>
          <w:trHeight w:val="280"/>
        </w:trPr>
        <w:tc>
          <w:tcPr>
            <w:tcW w:w="2552" w:type="dxa"/>
            <w:vMerge/>
            <w:noWrap/>
            <w:vAlign w:val="center"/>
            <w:hideMark/>
          </w:tcPr>
          <w:p w14:paraId="0820C5AF" w14:textId="77777777" w:rsidR="00664971" w:rsidRPr="00101A2A" w:rsidRDefault="00664971" w:rsidP="00664971">
            <w:pPr>
              <w:spacing w:line="240" w:lineRule="auto"/>
              <w:ind w:firstLine="0"/>
              <w:rPr>
                <w:b/>
                <w:bCs/>
                <w:sz w:val="18"/>
                <w:szCs w:val="18"/>
              </w:rPr>
            </w:pPr>
          </w:p>
        </w:tc>
        <w:tc>
          <w:tcPr>
            <w:tcW w:w="1070" w:type="dxa"/>
            <w:noWrap/>
            <w:vAlign w:val="center"/>
            <w:hideMark/>
          </w:tcPr>
          <w:p w14:paraId="6C4C91AE" w14:textId="49735749" w:rsidR="00664971" w:rsidRPr="00664971" w:rsidRDefault="00664971" w:rsidP="00664971">
            <w:pPr>
              <w:spacing w:line="240" w:lineRule="auto"/>
              <w:ind w:firstLine="0"/>
              <w:jc w:val="center"/>
              <w:rPr>
                <w:sz w:val="18"/>
                <w:szCs w:val="18"/>
              </w:rPr>
            </w:pPr>
            <w:r w:rsidRPr="00664971">
              <w:rPr>
                <w:sz w:val="18"/>
                <w:szCs w:val="18"/>
              </w:rPr>
              <w:t>(0.006)</w:t>
            </w:r>
          </w:p>
        </w:tc>
        <w:tc>
          <w:tcPr>
            <w:tcW w:w="1070" w:type="dxa"/>
            <w:noWrap/>
            <w:vAlign w:val="center"/>
            <w:hideMark/>
          </w:tcPr>
          <w:p w14:paraId="507DA883" w14:textId="3800BB06" w:rsidR="00664971" w:rsidRPr="00664971" w:rsidRDefault="00664971" w:rsidP="00664971">
            <w:pPr>
              <w:spacing w:line="240" w:lineRule="auto"/>
              <w:ind w:firstLine="0"/>
              <w:jc w:val="center"/>
              <w:rPr>
                <w:sz w:val="18"/>
                <w:szCs w:val="18"/>
              </w:rPr>
            </w:pPr>
            <w:r w:rsidRPr="00664971">
              <w:rPr>
                <w:sz w:val="18"/>
                <w:szCs w:val="18"/>
              </w:rPr>
              <w:t>(0.006)</w:t>
            </w:r>
          </w:p>
        </w:tc>
        <w:tc>
          <w:tcPr>
            <w:tcW w:w="1070" w:type="dxa"/>
            <w:vAlign w:val="center"/>
          </w:tcPr>
          <w:p w14:paraId="7FB67D6E" w14:textId="0014712B" w:rsidR="00664971" w:rsidRPr="00664971" w:rsidRDefault="00664971" w:rsidP="00664971">
            <w:pPr>
              <w:spacing w:line="240" w:lineRule="auto"/>
              <w:ind w:firstLine="0"/>
              <w:jc w:val="center"/>
              <w:rPr>
                <w:sz w:val="18"/>
                <w:szCs w:val="18"/>
              </w:rPr>
            </w:pPr>
            <w:r w:rsidRPr="00664971">
              <w:rPr>
                <w:sz w:val="18"/>
                <w:szCs w:val="18"/>
              </w:rPr>
              <w:t>(0.010)</w:t>
            </w:r>
          </w:p>
        </w:tc>
        <w:tc>
          <w:tcPr>
            <w:tcW w:w="1070" w:type="dxa"/>
            <w:noWrap/>
            <w:vAlign w:val="center"/>
            <w:hideMark/>
          </w:tcPr>
          <w:p w14:paraId="16F6EEFB" w14:textId="3C33DAD4" w:rsidR="00664971" w:rsidRPr="00664971" w:rsidRDefault="00664971" w:rsidP="00664971">
            <w:pPr>
              <w:spacing w:line="240" w:lineRule="auto"/>
              <w:ind w:firstLine="0"/>
              <w:jc w:val="center"/>
              <w:rPr>
                <w:sz w:val="18"/>
                <w:szCs w:val="18"/>
              </w:rPr>
            </w:pPr>
            <w:r w:rsidRPr="00664971">
              <w:rPr>
                <w:sz w:val="18"/>
                <w:szCs w:val="18"/>
              </w:rPr>
              <w:t>(0.010)</w:t>
            </w:r>
          </w:p>
        </w:tc>
        <w:tc>
          <w:tcPr>
            <w:tcW w:w="1070" w:type="dxa"/>
            <w:noWrap/>
            <w:vAlign w:val="center"/>
            <w:hideMark/>
          </w:tcPr>
          <w:p w14:paraId="1A3ADCFE" w14:textId="4C683444" w:rsidR="00664971" w:rsidRPr="00664971" w:rsidRDefault="00664971" w:rsidP="00664971">
            <w:pPr>
              <w:spacing w:line="240" w:lineRule="auto"/>
              <w:ind w:firstLine="0"/>
              <w:jc w:val="center"/>
              <w:rPr>
                <w:sz w:val="18"/>
                <w:szCs w:val="18"/>
              </w:rPr>
            </w:pPr>
            <w:r w:rsidRPr="00664971">
              <w:rPr>
                <w:sz w:val="18"/>
                <w:szCs w:val="18"/>
              </w:rPr>
              <w:t>(0.007)</w:t>
            </w:r>
          </w:p>
        </w:tc>
        <w:tc>
          <w:tcPr>
            <w:tcW w:w="1070" w:type="dxa"/>
            <w:noWrap/>
            <w:vAlign w:val="center"/>
            <w:hideMark/>
          </w:tcPr>
          <w:p w14:paraId="5F3CAC87" w14:textId="1550E642" w:rsidR="00664971" w:rsidRPr="00664971" w:rsidRDefault="00664971" w:rsidP="00664971">
            <w:pPr>
              <w:spacing w:line="240" w:lineRule="auto"/>
              <w:ind w:firstLine="0"/>
              <w:jc w:val="center"/>
              <w:rPr>
                <w:sz w:val="18"/>
                <w:szCs w:val="18"/>
              </w:rPr>
            </w:pPr>
            <w:r w:rsidRPr="00664971">
              <w:rPr>
                <w:sz w:val="18"/>
                <w:szCs w:val="18"/>
              </w:rPr>
              <w:t>(0.007)</w:t>
            </w:r>
          </w:p>
        </w:tc>
      </w:tr>
      <w:tr w:rsidR="00664971" w:rsidRPr="00101A2A" w14:paraId="13981176" w14:textId="77777777" w:rsidTr="00B61D56">
        <w:trPr>
          <w:trHeight w:val="280"/>
        </w:trPr>
        <w:tc>
          <w:tcPr>
            <w:tcW w:w="2552" w:type="dxa"/>
            <w:vMerge w:val="restart"/>
            <w:noWrap/>
            <w:vAlign w:val="center"/>
            <w:hideMark/>
          </w:tcPr>
          <w:p w14:paraId="691931A1" w14:textId="6CFB09FB" w:rsidR="00664971" w:rsidRPr="00101A2A" w:rsidRDefault="00664971" w:rsidP="00664971">
            <w:pPr>
              <w:spacing w:line="240" w:lineRule="auto"/>
              <w:ind w:firstLine="0"/>
              <w:rPr>
                <w:b/>
                <w:bCs/>
                <w:sz w:val="18"/>
                <w:szCs w:val="18"/>
              </w:rPr>
            </w:pPr>
            <w:r>
              <w:rPr>
                <w:b/>
                <w:bCs/>
                <w:sz w:val="18"/>
                <w:szCs w:val="18"/>
              </w:rPr>
              <w:t>Constant</w:t>
            </w:r>
          </w:p>
        </w:tc>
        <w:tc>
          <w:tcPr>
            <w:tcW w:w="1070" w:type="dxa"/>
            <w:noWrap/>
            <w:vAlign w:val="center"/>
            <w:hideMark/>
          </w:tcPr>
          <w:p w14:paraId="0691DD96" w14:textId="5F2C0C7F" w:rsidR="00664971" w:rsidRPr="00664971" w:rsidRDefault="00664971" w:rsidP="00664971">
            <w:pPr>
              <w:spacing w:line="240" w:lineRule="auto"/>
              <w:ind w:firstLine="0"/>
              <w:jc w:val="center"/>
              <w:rPr>
                <w:sz w:val="18"/>
                <w:szCs w:val="18"/>
              </w:rPr>
            </w:pPr>
            <w:r w:rsidRPr="00664971">
              <w:rPr>
                <w:sz w:val="18"/>
                <w:szCs w:val="18"/>
              </w:rPr>
              <w:t>-1.539***</w:t>
            </w:r>
          </w:p>
        </w:tc>
        <w:tc>
          <w:tcPr>
            <w:tcW w:w="1070" w:type="dxa"/>
            <w:noWrap/>
            <w:vAlign w:val="center"/>
            <w:hideMark/>
          </w:tcPr>
          <w:p w14:paraId="24EE6CC8" w14:textId="682D7CFC" w:rsidR="00664971" w:rsidRPr="00664971" w:rsidRDefault="00664971" w:rsidP="00664971">
            <w:pPr>
              <w:spacing w:line="240" w:lineRule="auto"/>
              <w:ind w:firstLine="0"/>
              <w:jc w:val="center"/>
              <w:rPr>
                <w:sz w:val="18"/>
                <w:szCs w:val="18"/>
              </w:rPr>
            </w:pPr>
            <w:r w:rsidRPr="00664971">
              <w:rPr>
                <w:sz w:val="18"/>
                <w:szCs w:val="18"/>
              </w:rPr>
              <w:t>-1.625***</w:t>
            </w:r>
          </w:p>
        </w:tc>
        <w:tc>
          <w:tcPr>
            <w:tcW w:w="1070" w:type="dxa"/>
            <w:vAlign w:val="center"/>
          </w:tcPr>
          <w:p w14:paraId="69CFEB5A" w14:textId="6636F3CE" w:rsidR="00664971" w:rsidRPr="00664971" w:rsidRDefault="00664971" w:rsidP="00664971">
            <w:pPr>
              <w:spacing w:line="240" w:lineRule="auto"/>
              <w:ind w:firstLine="0"/>
              <w:jc w:val="center"/>
              <w:rPr>
                <w:sz w:val="18"/>
                <w:szCs w:val="18"/>
              </w:rPr>
            </w:pPr>
            <w:r w:rsidRPr="00664971">
              <w:rPr>
                <w:sz w:val="18"/>
                <w:szCs w:val="18"/>
              </w:rPr>
              <w:t>1.464***</w:t>
            </w:r>
          </w:p>
        </w:tc>
        <w:tc>
          <w:tcPr>
            <w:tcW w:w="1070" w:type="dxa"/>
            <w:noWrap/>
            <w:vAlign w:val="center"/>
            <w:hideMark/>
          </w:tcPr>
          <w:p w14:paraId="6884CC76" w14:textId="18FB0978" w:rsidR="00664971" w:rsidRPr="00664971" w:rsidRDefault="00664971" w:rsidP="00664971">
            <w:pPr>
              <w:spacing w:line="240" w:lineRule="auto"/>
              <w:ind w:firstLine="0"/>
              <w:jc w:val="center"/>
              <w:rPr>
                <w:sz w:val="18"/>
                <w:szCs w:val="18"/>
              </w:rPr>
            </w:pPr>
            <w:r w:rsidRPr="00664971">
              <w:rPr>
                <w:sz w:val="18"/>
                <w:szCs w:val="18"/>
              </w:rPr>
              <w:t>0.784***</w:t>
            </w:r>
          </w:p>
        </w:tc>
        <w:tc>
          <w:tcPr>
            <w:tcW w:w="1070" w:type="dxa"/>
            <w:noWrap/>
            <w:vAlign w:val="center"/>
            <w:hideMark/>
          </w:tcPr>
          <w:p w14:paraId="49A4B2DE" w14:textId="2CF9A7B2" w:rsidR="00664971" w:rsidRPr="00664971" w:rsidRDefault="00664971" w:rsidP="00664971">
            <w:pPr>
              <w:spacing w:line="240" w:lineRule="auto"/>
              <w:ind w:firstLine="0"/>
              <w:jc w:val="center"/>
              <w:rPr>
                <w:sz w:val="18"/>
                <w:szCs w:val="18"/>
              </w:rPr>
            </w:pPr>
            <w:r w:rsidRPr="00664971">
              <w:rPr>
                <w:sz w:val="18"/>
                <w:szCs w:val="18"/>
              </w:rPr>
              <w:t>0.407***</w:t>
            </w:r>
          </w:p>
        </w:tc>
        <w:tc>
          <w:tcPr>
            <w:tcW w:w="1070" w:type="dxa"/>
            <w:noWrap/>
            <w:vAlign w:val="center"/>
            <w:hideMark/>
          </w:tcPr>
          <w:p w14:paraId="4E6ECCFC" w14:textId="0D2550C4" w:rsidR="00664971" w:rsidRPr="00664971" w:rsidRDefault="00664971" w:rsidP="00664971">
            <w:pPr>
              <w:spacing w:line="240" w:lineRule="auto"/>
              <w:ind w:firstLine="0"/>
              <w:jc w:val="center"/>
              <w:rPr>
                <w:sz w:val="18"/>
                <w:szCs w:val="18"/>
              </w:rPr>
            </w:pPr>
            <w:r w:rsidRPr="00664971">
              <w:rPr>
                <w:sz w:val="18"/>
                <w:szCs w:val="18"/>
              </w:rPr>
              <w:t>0.160</w:t>
            </w:r>
          </w:p>
        </w:tc>
      </w:tr>
      <w:tr w:rsidR="00664971" w:rsidRPr="00101A2A" w14:paraId="1AAF5388" w14:textId="77777777" w:rsidTr="00B61D56">
        <w:trPr>
          <w:trHeight w:val="280"/>
        </w:trPr>
        <w:tc>
          <w:tcPr>
            <w:tcW w:w="2552" w:type="dxa"/>
            <w:vMerge/>
            <w:noWrap/>
            <w:vAlign w:val="center"/>
            <w:hideMark/>
          </w:tcPr>
          <w:p w14:paraId="4BE29A35" w14:textId="77777777" w:rsidR="00664971" w:rsidRPr="00101A2A" w:rsidRDefault="00664971" w:rsidP="00664971">
            <w:pPr>
              <w:spacing w:line="240" w:lineRule="auto"/>
              <w:ind w:firstLine="0"/>
              <w:rPr>
                <w:b/>
                <w:bCs/>
                <w:sz w:val="18"/>
                <w:szCs w:val="18"/>
              </w:rPr>
            </w:pPr>
          </w:p>
        </w:tc>
        <w:tc>
          <w:tcPr>
            <w:tcW w:w="1070" w:type="dxa"/>
            <w:noWrap/>
            <w:vAlign w:val="center"/>
            <w:hideMark/>
          </w:tcPr>
          <w:p w14:paraId="4F42C1E3" w14:textId="47FE38CC" w:rsidR="00664971" w:rsidRPr="00664971" w:rsidRDefault="00664971" w:rsidP="00664971">
            <w:pPr>
              <w:spacing w:line="240" w:lineRule="auto"/>
              <w:ind w:firstLine="0"/>
              <w:jc w:val="center"/>
              <w:rPr>
                <w:sz w:val="18"/>
                <w:szCs w:val="18"/>
              </w:rPr>
            </w:pPr>
            <w:r w:rsidRPr="00664971">
              <w:rPr>
                <w:sz w:val="18"/>
                <w:szCs w:val="18"/>
              </w:rPr>
              <w:t>(0.125)</w:t>
            </w:r>
          </w:p>
        </w:tc>
        <w:tc>
          <w:tcPr>
            <w:tcW w:w="1070" w:type="dxa"/>
            <w:noWrap/>
            <w:vAlign w:val="center"/>
            <w:hideMark/>
          </w:tcPr>
          <w:p w14:paraId="4F150B1D" w14:textId="686C62BA" w:rsidR="00664971" w:rsidRPr="00664971" w:rsidRDefault="00664971" w:rsidP="00664971">
            <w:pPr>
              <w:spacing w:line="240" w:lineRule="auto"/>
              <w:ind w:firstLine="0"/>
              <w:jc w:val="center"/>
              <w:rPr>
                <w:sz w:val="18"/>
                <w:szCs w:val="18"/>
              </w:rPr>
            </w:pPr>
            <w:r w:rsidRPr="00664971">
              <w:rPr>
                <w:sz w:val="18"/>
                <w:szCs w:val="18"/>
              </w:rPr>
              <w:t>(0.116)</w:t>
            </w:r>
          </w:p>
        </w:tc>
        <w:tc>
          <w:tcPr>
            <w:tcW w:w="1070" w:type="dxa"/>
            <w:vAlign w:val="center"/>
          </w:tcPr>
          <w:p w14:paraId="755835B8" w14:textId="245AAE9C" w:rsidR="00664971" w:rsidRPr="00664971" w:rsidRDefault="00664971" w:rsidP="00664971">
            <w:pPr>
              <w:spacing w:line="240" w:lineRule="auto"/>
              <w:ind w:firstLine="0"/>
              <w:jc w:val="center"/>
              <w:rPr>
                <w:sz w:val="18"/>
                <w:szCs w:val="18"/>
              </w:rPr>
            </w:pPr>
            <w:r w:rsidRPr="00664971">
              <w:rPr>
                <w:sz w:val="18"/>
                <w:szCs w:val="18"/>
              </w:rPr>
              <w:t>(0.165)</w:t>
            </w:r>
          </w:p>
        </w:tc>
        <w:tc>
          <w:tcPr>
            <w:tcW w:w="1070" w:type="dxa"/>
            <w:noWrap/>
            <w:vAlign w:val="center"/>
            <w:hideMark/>
          </w:tcPr>
          <w:p w14:paraId="5411BA0C" w14:textId="2696EE63" w:rsidR="00664971" w:rsidRPr="00664971" w:rsidRDefault="00664971" w:rsidP="00664971">
            <w:pPr>
              <w:spacing w:line="240" w:lineRule="auto"/>
              <w:ind w:firstLine="0"/>
              <w:jc w:val="center"/>
              <w:rPr>
                <w:sz w:val="18"/>
                <w:szCs w:val="18"/>
              </w:rPr>
            </w:pPr>
            <w:r w:rsidRPr="00664971">
              <w:rPr>
                <w:sz w:val="18"/>
                <w:szCs w:val="18"/>
              </w:rPr>
              <w:t>(0.172)</w:t>
            </w:r>
          </w:p>
        </w:tc>
        <w:tc>
          <w:tcPr>
            <w:tcW w:w="1070" w:type="dxa"/>
            <w:noWrap/>
            <w:vAlign w:val="center"/>
            <w:hideMark/>
          </w:tcPr>
          <w:p w14:paraId="471B2EE8" w14:textId="57F8D4B8" w:rsidR="00664971" w:rsidRPr="00664971" w:rsidRDefault="00664971" w:rsidP="00664971">
            <w:pPr>
              <w:spacing w:line="240" w:lineRule="auto"/>
              <w:ind w:firstLine="0"/>
              <w:jc w:val="center"/>
              <w:rPr>
                <w:sz w:val="18"/>
                <w:szCs w:val="18"/>
              </w:rPr>
            </w:pPr>
            <w:r w:rsidRPr="00664971">
              <w:rPr>
                <w:sz w:val="18"/>
                <w:szCs w:val="18"/>
              </w:rPr>
              <w:t>(0.140)</w:t>
            </w:r>
          </w:p>
        </w:tc>
        <w:tc>
          <w:tcPr>
            <w:tcW w:w="1070" w:type="dxa"/>
            <w:noWrap/>
            <w:vAlign w:val="center"/>
            <w:hideMark/>
          </w:tcPr>
          <w:p w14:paraId="78E35E3C" w14:textId="6EC8D853" w:rsidR="00664971" w:rsidRPr="00664971" w:rsidRDefault="00664971" w:rsidP="00664971">
            <w:pPr>
              <w:spacing w:line="240" w:lineRule="auto"/>
              <w:ind w:firstLine="0"/>
              <w:jc w:val="center"/>
              <w:rPr>
                <w:sz w:val="18"/>
                <w:szCs w:val="18"/>
              </w:rPr>
            </w:pPr>
            <w:r w:rsidRPr="00664971">
              <w:rPr>
                <w:sz w:val="18"/>
                <w:szCs w:val="18"/>
              </w:rPr>
              <w:t>(0.132)</w:t>
            </w:r>
          </w:p>
        </w:tc>
      </w:tr>
      <w:tr w:rsidR="00664971" w:rsidRPr="00101A2A" w14:paraId="1D349E82" w14:textId="77777777" w:rsidTr="00B61D56">
        <w:trPr>
          <w:trHeight w:val="280"/>
        </w:trPr>
        <w:tc>
          <w:tcPr>
            <w:tcW w:w="2552" w:type="dxa"/>
            <w:noWrap/>
            <w:vAlign w:val="center"/>
          </w:tcPr>
          <w:p w14:paraId="53244373" w14:textId="7EE05CFF" w:rsidR="00664971" w:rsidRPr="00101A2A" w:rsidRDefault="00502BAC" w:rsidP="00664971">
            <w:pPr>
              <w:spacing w:line="240" w:lineRule="auto"/>
              <w:ind w:firstLine="0"/>
              <w:rPr>
                <w:b/>
                <w:bCs/>
                <w:sz w:val="18"/>
                <w:szCs w:val="18"/>
              </w:rPr>
            </w:pPr>
            <w:r>
              <w:rPr>
                <w:b/>
                <w:bCs/>
                <w:sz w:val="18"/>
                <w:szCs w:val="18"/>
              </w:rPr>
              <w:t xml:space="preserve">Month &amp; </w:t>
            </w:r>
            <w:r w:rsidR="00664971" w:rsidRPr="00101A2A">
              <w:rPr>
                <w:b/>
                <w:bCs/>
                <w:sz w:val="18"/>
                <w:szCs w:val="18"/>
              </w:rPr>
              <w:t>Zip code FE</w:t>
            </w:r>
          </w:p>
        </w:tc>
        <w:tc>
          <w:tcPr>
            <w:tcW w:w="1070" w:type="dxa"/>
            <w:noWrap/>
            <w:vAlign w:val="center"/>
          </w:tcPr>
          <w:p w14:paraId="313C71B6" w14:textId="250ACBA1" w:rsidR="00664971" w:rsidRPr="00664971" w:rsidRDefault="00664971" w:rsidP="00664971">
            <w:pPr>
              <w:spacing w:line="240" w:lineRule="auto"/>
              <w:ind w:firstLine="0"/>
              <w:jc w:val="center"/>
              <w:rPr>
                <w:sz w:val="18"/>
                <w:szCs w:val="18"/>
              </w:rPr>
            </w:pPr>
            <w:r w:rsidRPr="00664971">
              <w:rPr>
                <w:sz w:val="18"/>
                <w:szCs w:val="18"/>
              </w:rPr>
              <w:t>Yes</w:t>
            </w:r>
          </w:p>
        </w:tc>
        <w:tc>
          <w:tcPr>
            <w:tcW w:w="1070" w:type="dxa"/>
            <w:noWrap/>
            <w:vAlign w:val="center"/>
          </w:tcPr>
          <w:p w14:paraId="76E33246" w14:textId="73D4E186" w:rsidR="00664971" w:rsidRPr="00664971" w:rsidRDefault="00664971" w:rsidP="00664971">
            <w:pPr>
              <w:spacing w:line="240" w:lineRule="auto"/>
              <w:ind w:firstLine="0"/>
              <w:jc w:val="center"/>
              <w:rPr>
                <w:sz w:val="18"/>
                <w:szCs w:val="18"/>
              </w:rPr>
            </w:pPr>
            <w:r w:rsidRPr="00664971">
              <w:rPr>
                <w:sz w:val="18"/>
                <w:szCs w:val="18"/>
              </w:rPr>
              <w:t>Yes</w:t>
            </w:r>
          </w:p>
        </w:tc>
        <w:tc>
          <w:tcPr>
            <w:tcW w:w="1070" w:type="dxa"/>
            <w:vAlign w:val="center"/>
          </w:tcPr>
          <w:p w14:paraId="050C9B7F" w14:textId="5B6C7143" w:rsidR="00664971" w:rsidRPr="00664971" w:rsidRDefault="00664971" w:rsidP="00664971">
            <w:pPr>
              <w:spacing w:line="240" w:lineRule="auto"/>
              <w:ind w:firstLine="0"/>
              <w:jc w:val="center"/>
              <w:rPr>
                <w:sz w:val="18"/>
                <w:szCs w:val="18"/>
              </w:rPr>
            </w:pPr>
            <w:r w:rsidRPr="00664971">
              <w:rPr>
                <w:sz w:val="18"/>
                <w:szCs w:val="18"/>
              </w:rPr>
              <w:t>Yes</w:t>
            </w:r>
          </w:p>
        </w:tc>
        <w:tc>
          <w:tcPr>
            <w:tcW w:w="1070" w:type="dxa"/>
            <w:noWrap/>
            <w:vAlign w:val="center"/>
          </w:tcPr>
          <w:p w14:paraId="4FB6188C" w14:textId="0143C711" w:rsidR="00664971" w:rsidRPr="00664971" w:rsidRDefault="00664971" w:rsidP="00664971">
            <w:pPr>
              <w:spacing w:line="240" w:lineRule="auto"/>
              <w:ind w:firstLine="0"/>
              <w:jc w:val="center"/>
              <w:rPr>
                <w:sz w:val="18"/>
                <w:szCs w:val="18"/>
              </w:rPr>
            </w:pPr>
            <w:r w:rsidRPr="00664971">
              <w:rPr>
                <w:sz w:val="18"/>
                <w:szCs w:val="18"/>
              </w:rPr>
              <w:t>Yes</w:t>
            </w:r>
          </w:p>
        </w:tc>
        <w:tc>
          <w:tcPr>
            <w:tcW w:w="1070" w:type="dxa"/>
            <w:noWrap/>
            <w:vAlign w:val="center"/>
          </w:tcPr>
          <w:p w14:paraId="17D8A2A8" w14:textId="31157DE8" w:rsidR="00664971" w:rsidRPr="00664971" w:rsidRDefault="00664971" w:rsidP="00664971">
            <w:pPr>
              <w:spacing w:line="240" w:lineRule="auto"/>
              <w:ind w:firstLine="0"/>
              <w:jc w:val="center"/>
              <w:rPr>
                <w:sz w:val="18"/>
                <w:szCs w:val="18"/>
              </w:rPr>
            </w:pPr>
            <w:r w:rsidRPr="00664971">
              <w:rPr>
                <w:sz w:val="18"/>
                <w:szCs w:val="18"/>
              </w:rPr>
              <w:t>Yes</w:t>
            </w:r>
          </w:p>
        </w:tc>
        <w:tc>
          <w:tcPr>
            <w:tcW w:w="1070" w:type="dxa"/>
            <w:noWrap/>
            <w:vAlign w:val="center"/>
          </w:tcPr>
          <w:p w14:paraId="6CE4BACE" w14:textId="35FE7D40" w:rsidR="00664971" w:rsidRPr="00664971" w:rsidRDefault="00664971" w:rsidP="00664971">
            <w:pPr>
              <w:spacing w:line="240" w:lineRule="auto"/>
              <w:ind w:firstLine="0"/>
              <w:jc w:val="center"/>
              <w:rPr>
                <w:sz w:val="18"/>
                <w:szCs w:val="18"/>
              </w:rPr>
            </w:pPr>
            <w:r w:rsidRPr="00664971">
              <w:rPr>
                <w:sz w:val="18"/>
                <w:szCs w:val="18"/>
              </w:rPr>
              <w:t>Yes</w:t>
            </w:r>
          </w:p>
        </w:tc>
      </w:tr>
      <w:tr w:rsidR="00664971" w:rsidRPr="00101A2A" w14:paraId="58939368" w14:textId="77777777" w:rsidTr="00B61D56">
        <w:trPr>
          <w:trHeight w:val="280"/>
        </w:trPr>
        <w:tc>
          <w:tcPr>
            <w:tcW w:w="2552" w:type="dxa"/>
            <w:tcBorders>
              <w:top w:val="single" w:sz="4" w:space="0" w:color="auto"/>
            </w:tcBorders>
            <w:noWrap/>
            <w:vAlign w:val="center"/>
            <w:hideMark/>
          </w:tcPr>
          <w:p w14:paraId="06B1B0F4" w14:textId="77777777" w:rsidR="00664971" w:rsidRPr="00101A2A" w:rsidRDefault="00664971" w:rsidP="00664971">
            <w:pPr>
              <w:spacing w:line="240" w:lineRule="auto"/>
              <w:ind w:firstLine="0"/>
              <w:rPr>
                <w:b/>
                <w:bCs/>
                <w:sz w:val="18"/>
                <w:szCs w:val="18"/>
              </w:rPr>
            </w:pPr>
            <w:r w:rsidRPr="00101A2A">
              <w:rPr>
                <w:b/>
                <w:bCs/>
                <w:sz w:val="18"/>
                <w:szCs w:val="18"/>
              </w:rPr>
              <w:t>Observations</w:t>
            </w:r>
          </w:p>
        </w:tc>
        <w:tc>
          <w:tcPr>
            <w:tcW w:w="1070" w:type="dxa"/>
            <w:tcBorders>
              <w:top w:val="single" w:sz="4" w:space="0" w:color="auto"/>
            </w:tcBorders>
            <w:noWrap/>
            <w:vAlign w:val="center"/>
            <w:hideMark/>
          </w:tcPr>
          <w:p w14:paraId="69DE3E4E" w14:textId="50712D80" w:rsidR="00664971" w:rsidRPr="00664971" w:rsidRDefault="00664971" w:rsidP="00664971">
            <w:pPr>
              <w:spacing w:line="240" w:lineRule="auto"/>
              <w:ind w:firstLine="0"/>
              <w:jc w:val="center"/>
              <w:rPr>
                <w:sz w:val="18"/>
                <w:szCs w:val="18"/>
              </w:rPr>
            </w:pPr>
            <w:r w:rsidRPr="00664971">
              <w:rPr>
                <w:sz w:val="18"/>
                <w:szCs w:val="18"/>
              </w:rPr>
              <w:t>13,544</w:t>
            </w:r>
          </w:p>
        </w:tc>
        <w:tc>
          <w:tcPr>
            <w:tcW w:w="1070" w:type="dxa"/>
            <w:tcBorders>
              <w:top w:val="single" w:sz="4" w:space="0" w:color="auto"/>
            </w:tcBorders>
            <w:noWrap/>
            <w:vAlign w:val="center"/>
            <w:hideMark/>
          </w:tcPr>
          <w:p w14:paraId="0E0922FC" w14:textId="027D8736" w:rsidR="00664971" w:rsidRPr="00664971" w:rsidRDefault="00664971" w:rsidP="00664971">
            <w:pPr>
              <w:spacing w:line="240" w:lineRule="auto"/>
              <w:ind w:firstLine="0"/>
              <w:jc w:val="center"/>
              <w:rPr>
                <w:sz w:val="18"/>
                <w:szCs w:val="18"/>
              </w:rPr>
            </w:pPr>
            <w:r w:rsidRPr="00664971">
              <w:rPr>
                <w:sz w:val="18"/>
                <w:szCs w:val="18"/>
              </w:rPr>
              <w:t>13,089</w:t>
            </w:r>
          </w:p>
        </w:tc>
        <w:tc>
          <w:tcPr>
            <w:tcW w:w="1070" w:type="dxa"/>
            <w:tcBorders>
              <w:top w:val="single" w:sz="4" w:space="0" w:color="auto"/>
            </w:tcBorders>
            <w:vAlign w:val="center"/>
          </w:tcPr>
          <w:p w14:paraId="0F8FDF90" w14:textId="60E07511" w:rsidR="00664971" w:rsidRPr="00664971" w:rsidRDefault="00664971" w:rsidP="00664971">
            <w:pPr>
              <w:spacing w:line="240" w:lineRule="auto"/>
              <w:ind w:firstLine="0"/>
              <w:jc w:val="center"/>
              <w:rPr>
                <w:sz w:val="18"/>
                <w:szCs w:val="18"/>
              </w:rPr>
            </w:pPr>
            <w:r w:rsidRPr="00664971">
              <w:rPr>
                <w:sz w:val="18"/>
                <w:szCs w:val="18"/>
              </w:rPr>
              <w:t>4,215</w:t>
            </w:r>
          </w:p>
        </w:tc>
        <w:tc>
          <w:tcPr>
            <w:tcW w:w="1070" w:type="dxa"/>
            <w:tcBorders>
              <w:top w:val="single" w:sz="4" w:space="0" w:color="auto"/>
            </w:tcBorders>
            <w:noWrap/>
            <w:vAlign w:val="center"/>
            <w:hideMark/>
          </w:tcPr>
          <w:p w14:paraId="1D804BC4" w14:textId="4B0FEE7F" w:rsidR="00664971" w:rsidRPr="00664971" w:rsidRDefault="00664971" w:rsidP="00664971">
            <w:pPr>
              <w:spacing w:line="240" w:lineRule="auto"/>
              <w:ind w:firstLine="0"/>
              <w:jc w:val="center"/>
              <w:rPr>
                <w:sz w:val="18"/>
                <w:szCs w:val="18"/>
              </w:rPr>
            </w:pPr>
            <w:r w:rsidRPr="00664971">
              <w:rPr>
                <w:sz w:val="18"/>
                <w:szCs w:val="18"/>
              </w:rPr>
              <w:t>4,095</w:t>
            </w:r>
          </w:p>
        </w:tc>
        <w:tc>
          <w:tcPr>
            <w:tcW w:w="1070" w:type="dxa"/>
            <w:tcBorders>
              <w:top w:val="single" w:sz="4" w:space="0" w:color="auto"/>
            </w:tcBorders>
            <w:noWrap/>
            <w:vAlign w:val="center"/>
            <w:hideMark/>
          </w:tcPr>
          <w:p w14:paraId="5DE7575F" w14:textId="73625AA3" w:rsidR="00664971" w:rsidRPr="00664971" w:rsidRDefault="00664971" w:rsidP="00664971">
            <w:pPr>
              <w:spacing w:line="240" w:lineRule="auto"/>
              <w:ind w:firstLine="0"/>
              <w:jc w:val="center"/>
              <w:rPr>
                <w:sz w:val="18"/>
                <w:szCs w:val="18"/>
              </w:rPr>
            </w:pPr>
            <w:r w:rsidRPr="00664971">
              <w:rPr>
                <w:sz w:val="18"/>
                <w:szCs w:val="18"/>
              </w:rPr>
              <w:t>13,544</w:t>
            </w:r>
          </w:p>
        </w:tc>
        <w:tc>
          <w:tcPr>
            <w:tcW w:w="1070" w:type="dxa"/>
            <w:tcBorders>
              <w:top w:val="single" w:sz="4" w:space="0" w:color="auto"/>
            </w:tcBorders>
            <w:noWrap/>
            <w:vAlign w:val="center"/>
            <w:hideMark/>
          </w:tcPr>
          <w:p w14:paraId="0F0FC80F" w14:textId="61CD2F30" w:rsidR="00664971" w:rsidRPr="00664971" w:rsidRDefault="00664971" w:rsidP="00664971">
            <w:pPr>
              <w:spacing w:line="240" w:lineRule="auto"/>
              <w:ind w:firstLine="0"/>
              <w:jc w:val="center"/>
              <w:rPr>
                <w:sz w:val="18"/>
                <w:szCs w:val="18"/>
              </w:rPr>
            </w:pPr>
            <w:r w:rsidRPr="00664971">
              <w:rPr>
                <w:sz w:val="18"/>
                <w:szCs w:val="18"/>
              </w:rPr>
              <w:t>13,089</w:t>
            </w:r>
          </w:p>
        </w:tc>
      </w:tr>
      <w:tr w:rsidR="00664971" w:rsidRPr="00101A2A" w14:paraId="75F2D2C4" w14:textId="77777777" w:rsidTr="00B61D56">
        <w:trPr>
          <w:trHeight w:val="280"/>
        </w:trPr>
        <w:tc>
          <w:tcPr>
            <w:tcW w:w="2552" w:type="dxa"/>
            <w:noWrap/>
            <w:vAlign w:val="center"/>
            <w:hideMark/>
          </w:tcPr>
          <w:p w14:paraId="308AEFCC" w14:textId="77777777" w:rsidR="00664971" w:rsidRPr="00BC5CF3" w:rsidRDefault="00664971" w:rsidP="00664971">
            <w:pPr>
              <w:spacing w:line="240" w:lineRule="auto"/>
              <w:ind w:firstLine="0"/>
              <w:rPr>
                <w:b/>
                <w:bCs/>
                <w:sz w:val="18"/>
                <w:szCs w:val="18"/>
              </w:rPr>
            </w:pPr>
            <w:r>
              <w:rPr>
                <w:b/>
                <w:bCs/>
                <w:sz w:val="18"/>
                <w:szCs w:val="18"/>
              </w:rPr>
              <w:t>Wald Chi</w:t>
            </w:r>
            <w:r w:rsidRPr="00BC5CF3">
              <w:rPr>
                <w:b/>
                <w:bCs/>
                <w:sz w:val="18"/>
                <w:szCs w:val="18"/>
                <w:vertAlign w:val="superscript"/>
              </w:rPr>
              <w:t>2</w:t>
            </w:r>
            <w:r>
              <w:rPr>
                <w:b/>
                <w:bCs/>
                <w:sz w:val="18"/>
                <w:szCs w:val="18"/>
              </w:rPr>
              <w:t xml:space="preserve"> (,000)</w:t>
            </w:r>
          </w:p>
        </w:tc>
        <w:tc>
          <w:tcPr>
            <w:tcW w:w="1070" w:type="dxa"/>
            <w:noWrap/>
            <w:vAlign w:val="center"/>
          </w:tcPr>
          <w:p w14:paraId="5D1E37FB" w14:textId="6D91DBDF" w:rsidR="00664971" w:rsidRPr="00664971" w:rsidRDefault="00537964" w:rsidP="00664971">
            <w:pPr>
              <w:spacing w:line="240" w:lineRule="auto"/>
              <w:ind w:firstLine="0"/>
              <w:jc w:val="center"/>
              <w:rPr>
                <w:sz w:val="18"/>
                <w:szCs w:val="18"/>
              </w:rPr>
            </w:pPr>
            <w:r>
              <w:rPr>
                <w:sz w:val="18"/>
                <w:szCs w:val="18"/>
              </w:rPr>
              <w:t>8,560***</w:t>
            </w:r>
          </w:p>
        </w:tc>
        <w:tc>
          <w:tcPr>
            <w:tcW w:w="1070" w:type="dxa"/>
            <w:noWrap/>
            <w:vAlign w:val="center"/>
          </w:tcPr>
          <w:p w14:paraId="6B566DF9" w14:textId="1A70761C" w:rsidR="00664971" w:rsidRPr="00664971" w:rsidRDefault="00537964" w:rsidP="00664971">
            <w:pPr>
              <w:spacing w:line="240" w:lineRule="auto"/>
              <w:ind w:firstLine="0"/>
              <w:jc w:val="center"/>
              <w:rPr>
                <w:sz w:val="18"/>
                <w:szCs w:val="18"/>
              </w:rPr>
            </w:pPr>
            <w:r>
              <w:rPr>
                <w:sz w:val="18"/>
                <w:szCs w:val="18"/>
              </w:rPr>
              <w:t>8,490***</w:t>
            </w:r>
          </w:p>
        </w:tc>
        <w:tc>
          <w:tcPr>
            <w:tcW w:w="1070" w:type="dxa"/>
            <w:vAlign w:val="center"/>
          </w:tcPr>
          <w:p w14:paraId="6DC5E8D5" w14:textId="35EEB66B" w:rsidR="00664971" w:rsidRPr="00664971" w:rsidRDefault="00537964" w:rsidP="00664971">
            <w:pPr>
              <w:spacing w:line="240" w:lineRule="auto"/>
              <w:ind w:firstLine="0"/>
              <w:jc w:val="center"/>
              <w:rPr>
                <w:sz w:val="18"/>
                <w:szCs w:val="18"/>
              </w:rPr>
            </w:pPr>
            <w:r>
              <w:rPr>
                <w:sz w:val="18"/>
                <w:szCs w:val="18"/>
              </w:rPr>
              <w:t>3,520***</w:t>
            </w:r>
          </w:p>
        </w:tc>
        <w:tc>
          <w:tcPr>
            <w:tcW w:w="1070" w:type="dxa"/>
            <w:noWrap/>
            <w:vAlign w:val="center"/>
          </w:tcPr>
          <w:p w14:paraId="5C822B7D" w14:textId="22F6951C" w:rsidR="00664971" w:rsidRPr="00664971" w:rsidRDefault="00537964" w:rsidP="00664971">
            <w:pPr>
              <w:spacing w:line="240" w:lineRule="auto"/>
              <w:ind w:firstLine="0"/>
              <w:jc w:val="center"/>
              <w:rPr>
                <w:sz w:val="18"/>
                <w:szCs w:val="18"/>
              </w:rPr>
            </w:pPr>
            <w:r>
              <w:rPr>
                <w:sz w:val="18"/>
                <w:szCs w:val="18"/>
              </w:rPr>
              <w:t>3,420***</w:t>
            </w:r>
          </w:p>
        </w:tc>
        <w:tc>
          <w:tcPr>
            <w:tcW w:w="1070" w:type="dxa"/>
            <w:noWrap/>
            <w:vAlign w:val="center"/>
          </w:tcPr>
          <w:p w14:paraId="08CB3AD9" w14:textId="52FEBC79" w:rsidR="00664971" w:rsidRPr="00664971" w:rsidRDefault="00B07636" w:rsidP="00664971">
            <w:pPr>
              <w:spacing w:line="240" w:lineRule="auto"/>
              <w:ind w:firstLine="0"/>
              <w:jc w:val="center"/>
              <w:rPr>
                <w:sz w:val="18"/>
                <w:szCs w:val="18"/>
              </w:rPr>
            </w:pPr>
            <w:r>
              <w:rPr>
                <w:sz w:val="18"/>
                <w:szCs w:val="18"/>
              </w:rPr>
              <w:t>8,130***</w:t>
            </w:r>
          </w:p>
        </w:tc>
        <w:tc>
          <w:tcPr>
            <w:tcW w:w="1070" w:type="dxa"/>
            <w:noWrap/>
            <w:vAlign w:val="center"/>
          </w:tcPr>
          <w:p w14:paraId="779D418A" w14:textId="5D6E6E4B" w:rsidR="00664971" w:rsidRPr="00664971" w:rsidRDefault="00537964" w:rsidP="00664971">
            <w:pPr>
              <w:spacing w:line="240" w:lineRule="auto"/>
              <w:ind w:firstLine="0"/>
              <w:jc w:val="center"/>
              <w:rPr>
                <w:sz w:val="18"/>
                <w:szCs w:val="18"/>
              </w:rPr>
            </w:pPr>
            <w:r>
              <w:rPr>
                <w:sz w:val="18"/>
                <w:szCs w:val="18"/>
              </w:rPr>
              <w:t>8,090***</w:t>
            </w:r>
          </w:p>
        </w:tc>
      </w:tr>
      <w:tr w:rsidR="00664971" w:rsidRPr="00101A2A" w14:paraId="65435A5F" w14:textId="77777777" w:rsidTr="00B61D56">
        <w:trPr>
          <w:trHeight w:val="280"/>
        </w:trPr>
        <w:tc>
          <w:tcPr>
            <w:tcW w:w="2552" w:type="dxa"/>
            <w:tcBorders>
              <w:bottom w:val="single" w:sz="4" w:space="0" w:color="auto"/>
            </w:tcBorders>
            <w:noWrap/>
            <w:vAlign w:val="center"/>
            <w:hideMark/>
          </w:tcPr>
          <w:p w14:paraId="7F8C9F49" w14:textId="77777777" w:rsidR="00664971" w:rsidRPr="00101A2A" w:rsidRDefault="00664971" w:rsidP="00664971">
            <w:pPr>
              <w:spacing w:line="240" w:lineRule="auto"/>
              <w:ind w:firstLine="0"/>
              <w:rPr>
                <w:b/>
                <w:bCs/>
                <w:sz w:val="18"/>
                <w:szCs w:val="18"/>
              </w:rPr>
            </w:pPr>
            <w:r w:rsidRPr="00101A2A">
              <w:rPr>
                <w:b/>
                <w:bCs/>
                <w:sz w:val="18"/>
                <w:szCs w:val="18"/>
              </w:rPr>
              <w:t>Number of zip codes</w:t>
            </w:r>
          </w:p>
        </w:tc>
        <w:tc>
          <w:tcPr>
            <w:tcW w:w="1070" w:type="dxa"/>
            <w:tcBorders>
              <w:bottom w:val="single" w:sz="4" w:space="0" w:color="auto"/>
            </w:tcBorders>
            <w:noWrap/>
            <w:vAlign w:val="center"/>
            <w:hideMark/>
          </w:tcPr>
          <w:p w14:paraId="50C7BDE9" w14:textId="148E0056" w:rsidR="00664971" w:rsidRPr="00664971" w:rsidRDefault="00664971" w:rsidP="00664971">
            <w:pPr>
              <w:spacing w:line="240" w:lineRule="auto"/>
              <w:ind w:firstLine="0"/>
              <w:jc w:val="center"/>
              <w:rPr>
                <w:sz w:val="18"/>
                <w:szCs w:val="18"/>
              </w:rPr>
            </w:pPr>
            <w:r w:rsidRPr="00664971">
              <w:rPr>
                <w:sz w:val="18"/>
                <w:szCs w:val="18"/>
              </w:rPr>
              <w:t>262</w:t>
            </w:r>
          </w:p>
        </w:tc>
        <w:tc>
          <w:tcPr>
            <w:tcW w:w="1070" w:type="dxa"/>
            <w:tcBorders>
              <w:bottom w:val="single" w:sz="4" w:space="0" w:color="auto"/>
            </w:tcBorders>
            <w:noWrap/>
            <w:vAlign w:val="center"/>
            <w:hideMark/>
          </w:tcPr>
          <w:p w14:paraId="19CD805E" w14:textId="3D211562" w:rsidR="00664971" w:rsidRPr="00664971" w:rsidRDefault="00664971" w:rsidP="00664971">
            <w:pPr>
              <w:spacing w:line="240" w:lineRule="auto"/>
              <w:ind w:firstLine="0"/>
              <w:jc w:val="center"/>
              <w:rPr>
                <w:sz w:val="18"/>
                <w:szCs w:val="18"/>
              </w:rPr>
            </w:pPr>
            <w:r w:rsidRPr="00664971">
              <w:rPr>
                <w:sz w:val="18"/>
                <w:szCs w:val="18"/>
              </w:rPr>
              <w:t>259</w:t>
            </w:r>
          </w:p>
        </w:tc>
        <w:tc>
          <w:tcPr>
            <w:tcW w:w="1070" w:type="dxa"/>
            <w:tcBorders>
              <w:bottom w:val="single" w:sz="4" w:space="0" w:color="auto"/>
            </w:tcBorders>
            <w:vAlign w:val="center"/>
          </w:tcPr>
          <w:p w14:paraId="7BC25F20" w14:textId="1E0C43F6" w:rsidR="00664971" w:rsidRPr="00664971" w:rsidRDefault="00664971" w:rsidP="00664971">
            <w:pPr>
              <w:spacing w:line="240" w:lineRule="auto"/>
              <w:ind w:firstLine="0"/>
              <w:jc w:val="center"/>
              <w:rPr>
                <w:sz w:val="18"/>
                <w:szCs w:val="18"/>
              </w:rPr>
            </w:pPr>
            <w:r w:rsidRPr="00664971">
              <w:rPr>
                <w:sz w:val="18"/>
                <w:szCs w:val="18"/>
              </w:rPr>
              <w:t>73</w:t>
            </w:r>
          </w:p>
        </w:tc>
        <w:tc>
          <w:tcPr>
            <w:tcW w:w="1070" w:type="dxa"/>
            <w:tcBorders>
              <w:bottom w:val="single" w:sz="4" w:space="0" w:color="auto"/>
            </w:tcBorders>
            <w:noWrap/>
            <w:vAlign w:val="center"/>
            <w:hideMark/>
          </w:tcPr>
          <w:p w14:paraId="6AC84BAE" w14:textId="7D12D3B1" w:rsidR="00664971" w:rsidRPr="00664971" w:rsidRDefault="00664971" w:rsidP="00664971">
            <w:pPr>
              <w:spacing w:line="240" w:lineRule="auto"/>
              <w:ind w:firstLine="0"/>
              <w:jc w:val="center"/>
              <w:rPr>
                <w:sz w:val="18"/>
                <w:szCs w:val="18"/>
              </w:rPr>
            </w:pPr>
            <w:r w:rsidRPr="00664971">
              <w:rPr>
                <w:sz w:val="18"/>
                <w:szCs w:val="18"/>
              </w:rPr>
              <w:t>73</w:t>
            </w:r>
          </w:p>
        </w:tc>
        <w:tc>
          <w:tcPr>
            <w:tcW w:w="1070" w:type="dxa"/>
            <w:tcBorders>
              <w:bottom w:val="single" w:sz="4" w:space="0" w:color="auto"/>
            </w:tcBorders>
            <w:noWrap/>
            <w:vAlign w:val="center"/>
            <w:hideMark/>
          </w:tcPr>
          <w:p w14:paraId="210C3232" w14:textId="5E3910A9" w:rsidR="00664971" w:rsidRPr="00664971" w:rsidRDefault="00664971" w:rsidP="00664971">
            <w:pPr>
              <w:spacing w:line="240" w:lineRule="auto"/>
              <w:ind w:firstLine="0"/>
              <w:jc w:val="center"/>
              <w:rPr>
                <w:sz w:val="18"/>
                <w:szCs w:val="18"/>
              </w:rPr>
            </w:pPr>
            <w:r w:rsidRPr="00664971">
              <w:rPr>
                <w:sz w:val="18"/>
                <w:szCs w:val="18"/>
              </w:rPr>
              <w:t>262</w:t>
            </w:r>
          </w:p>
        </w:tc>
        <w:tc>
          <w:tcPr>
            <w:tcW w:w="1070" w:type="dxa"/>
            <w:tcBorders>
              <w:bottom w:val="single" w:sz="4" w:space="0" w:color="auto"/>
            </w:tcBorders>
            <w:noWrap/>
            <w:vAlign w:val="center"/>
            <w:hideMark/>
          </w:tcPr>
          <w:p w14:paraId="6BEE75DD" w14:textId="31E5EE70" w:rsidR="00664971" w:rsidRPr="00664971" w:rsidRDefault="00664971" w:rsidP="00664971">
            <w:pPr>
              <w:spacing w:line="240" w:lineRule="auto"/>
              <w:ind w:firstLine="0"/>
              <w:jc w:val="center"/>
              <w:rPr>
                <w:sz w:val="18"/>
                <w:szCs w:val="18"/>
              </w:rPr>
            </w:pPr>
            <w:r w:rsidRPr="00664971">
              <w:rPr>
                <w:sz w:val="18"/>
                <w:szCs w:val="18"/>
              </w:rPr>
              <w:t>259</w:t>
            </w:r>
          </w:p>
        </w:tc>
      </w:tr>
    </w:tbl>
    <w:p w14:paraId="74AA289A" w14:textId="77777777" w:rsidR="00DB69EF" w:rsidRDefault="00DB69EF" w:rsidP="00224F89">
      <w:pPr>
        <w:ind w:firstLine="0"/>
      </w:pPr>
    </w:p>
    <w:p w14:paraId="241C45A2" w14:textId="6BA81C8F" w:rsidR="005E3325" w:rsidRDefault="005E3325">
      <w:pPr>
        <w:spacing w:after="160" w:line="259" w:lineRule="auto"/>
        <w:ind w:firstLine="0"/>
      </w:pPr>
      <w:r>
        <w:br w:type="page"/>
      </w:r>
    </w:p>
    <w:p w14:paraId="181198AF" w14:textId="133EB1EB" w:rsidR="005E3325" w:rsidRPr="00101A2A" w:rsidRDefault="005E3325" w:rsidP="005E3325">
      <w:pPr>
        <w:ind w:firstLine="0"/>
      </w:pPr>
      <w:r>
        <w:rPr>
          <w:noProof/>
        </w:rPr>
        <w:lastRenderedPageBreak/>
        <w:drawing>
          <wp:inline distT="0" distB="0" distL="0" distR="0" wp14:anchorId="673C4E2C" wp14:editId="19D0E9D2">
            <wp:extent cx="5600700" cy="3467100"/>
            <wp:effectExtent l="0" t="0" r="0" b="0"/>
            <wp:docPr id="864243219" name="Picture 1" descr="A graph showing the price of a stock marke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4243219" name="Picture 1" descr="A graph showing the price of a stock market&#10;&#10;Description automatically generated with medium confidence"/>
                    <pic:cNvPicPr/>
                  </pic:nvPicPr>
                  <pic:blipFill>
                    <a:blip r:embed="rId13">
                      <a:extLst>
                        <a:ext uri="{28A0092B-C50C-407E-A947-70E740481C1C}">
                          <a14:useLocalDpi xmlns:a14="http://schemas.microsoft.com/office/drawing/2010/main" val="0"/>
                        </a:ext>
                      </a:extLst>
                    </a:blip>
                    <a:stretch>
                      <a:fillRect/>
                    </a:stretch>
                  </pic:blipFill>
                  <pic:spPr>
                    <a:xfrm>
                      <a:off x="0" y="0"/>
                      <a:ext cx="5600700" cy="3467100"/>
                    </a:xfrm>
                    <a:prstGeom prst="rect">
                      <a:avLst/>
                    </a:prstGeom>
                  </pic:spPr>
                </pic:pic>
              </a:graphicData>
            </a:graphic>
          </wp:inline>
        </w:drawing>
      </w:r>
    </w:p>
    <w:p w14:paraId="761B22E0" w14:textId="77777777" w:rsidR="005E3325" w:rsidRPr="00101A2A" w:rsidRDefault="005E3325" w:rsidP="005E3325">
      <w:pPr>
        <w:spacing w:line="240" w:lineRule="auto"/>
      </w:pPr>
      <w:r w:rsidRPr="00101A2A">
        <w:rPr>
          <w:b/>
          <w:bCs/>
        </w:rPr>
        <w:t>Figure 1:</w:t>
      </w:r>
      <w:r w:rsidRPr="00101A2A">
        <w:t xml:space="preserve"> </w:t>
      </w:r>
      <w:r w:rsidRPr="00101A2A">
        <w:rPr>
          <w:b/>
          <w:bCs/>
        </w:rPr>
        <w:t>Number of listings by type of host, i.e. spanners and single-listing hosts, and real estate prices.</w:t>
      </w:r>
    </w:p>
    <w:p w14:paraId="0A15D926" w14:textId="77777777" w:rsidR="005E3325" w:rsidRPr="00101A2A" w:rsidRDefault="005E3325" w:rsidP="005E3325">
      <w:pPr>
        <w:spacing w:line="240" w:lineRule="auto"/>
      </w:pPr>
      <w:r w:rsidRPr="00101A2A">
        <w:t xml:space="preserve">The left y-axis refers to the </w:t>
      </w:r>
      <w:r>
        <w:t>zip code average</w:t>
      </w:r>
      <w:r w:rsidRPr="00101A2A">
        <w:t xml:space="preserve"> number of listings, by type of host managing them, present on the Airbnb platform each month in time. Spanners are defined as those hosts that manage an above average number of listings on the platform (i.e., six or more). Single-listing hosts are defined as those hosts that manage only one listing on the platform. The right y-axis refers to the average across zip codes of the median real estate price at each month. </w:t>
      </w:r>
      <w:r w:rsidRPr="00101A2A">
        <w:br w:type="page"/>
      </w:r>
    </w:p>
    <w:p w14:paraId="03383E55" w14:textId="1288014E" w:rsidR="005E3325" w:rsidRPr="00101A2A" w:rsidRDefault="005E3325" w:rsidP="005E3325">
      <w:r>
        <w:rPr>
          <w:noProof/>
        </w:rPr>
        <w:lastRenderedPageBreak/>
        <w:drawing>
          <wp:inline distT="0" distB="0" distL="0" distR="0" wp14:anchorId="06A6CE01" wp14:editId="369F7974">
            <wp:extent cx="4356100" cy="3886200"/>
            <wp:effectExtent l="0" t="0" r="0" b="0"/>
            <wp:docPr id="1517816192" name="Picture 2" descr="A graph of a number of custom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7816192" name="Picture 2" descr="A graph of a number of customers&#10;&#10;Description automatically generated"/>
                    <pic:cNvPicPr/>
                  </pic:nvPicPr>
                  <pic:blipFill>
                    <a:blip r:embed="rId14">
                      <a:extLst>
                        <a:ext uri="{28A0092B-C50C-407E-A947-70E740481C1C}">
                          <a14:useLocalDpi xmlns:a14="http://schemas.microsoft.com/office/drawing/2010/main" val="0"/>
                        </a:ext>
                      </a:extLst>
                    </a:blip>
                    <a:stretch>
                      <a:fillRect/>
                    </a:stretch>
                  </pic:blipFill>
                  <pic:spPr>
                    <a:xfrm>
                      <a:off x="0" y="0"/>
                      <a:ext cx="4356100" cy="3886200"/>
                    </a:xfrm>
                    <a:prstGeom prst="rect">
                      <a:avLst/>
                    </a:prstGeom>
                  </pic:spPr>
                </pic:pic>
              </a:graphicData>
            </a:graphic>
          </wp:inline>
        </w:drawing>
      </w:r>
    </w:p>
    <w:p w14:paraId="1FBBE6D9" w14:textId="77777777" w:rsidR="005E3325" w:rsidRPr="00101A2A" w:rsidRDefault="005E3325" w:rsidP="005E3325">
      <w:pPr>
        <w:spacing w:line="240" w:lineRule="auto"/>
      </w:pPr>
      <w:r w:rsidRPr="00101A2A">
        <w:rPr>
          <w:b/>
        </w:rPr>
        <w:t>Figure 2:</w:t>
      </w:r>
      <w:r w:rsidRPr="00101A2A">
        <w:t xml:space="preserve"> </w:t>
      </w:r>
      <w:r w:rsidRPr="00101A2A">
        <w:rPr>
          <w:b/>
          <w:bCs/>
        </w:rPr>
        <w:t>Predictive margins of the interaction effect of Spanner proportion and Consumer attention on the real estate prices (with 9</w:t>
      </w:r>
      <w:r>
        <w:rPr>
          <w:b/>
          <w:bCs/>
        </w:rPr>
        <w:t>0</w:t>
      </w:r>
      <w:r w:rsidRPr="00101A2A">
        <w:rPr>
          <w:b/>
          <w:bCs/>
        </w:rPr>
        <w:t xml:space="preserve">% confidence interval). </w:t>
      </w:r>
    </w:p>
    <w:p w14:paraId="0693CD82" w14:textId="77777777" w:rsidR="005E3325" w:rsidRPr="00101A2A" w:rsidRDefault="005E3325" w:rsidP="005E3325">
      <w:pPr>
        <w:spacing w:line="240" w:lineRule="auto"/>
      </w:pPr>
      <w:r w:rsidRPr="00101A2A">
        <w:t xml:space="preserve">When the consumer attention is high (low), the model predicts a negative (positive) effect of Spanner proportion on Real estate prices. </w:t>
      </w:r>
      <w:r w:rsidRPr="00220348">
        <w:t xml:space="preserve"> </w:t>
      </w:r>
      <w:r>
        <w:t>This graph plots results from the three-city sample model: Austin, Nashville, Portland (Model 3, Table 4).</w:t>
      </w:r>
      <w:r w:rsidRPr="00101A2A">
        <w:t xml:space="preserve"> </w:t>
      </w:r>
    </w:p>
    <w:p w14:paraId="6F3FA0F5" w14:textId="77777777" w:rsidR="005E3325" w:rsidRPr="00101A2A" w:rsidRDefault="005E3325" w:rsidP="005E3325"/>
    <w:p w14:paraId="770EC1B3" w14:textId="77777777" w:rsidR="005E3325" w:rsidRPr="00101A2A" w:rsidRDefault="005E3325" w:rsidP="005E3325">
      <w:r w:rsidRPr="00101A2A">
        <w:br w:type="page"/>
      </w:r>
    </w:p>
    <w:p w14:paraId="0C29E30C" w14:textId="2DE510F0" w:rsidR="005E3325" w:rsidRPr="00101A2A" w:rsidRDefault="005E3325" w:rsidP="005E3325">
      <w:r>
        <w:rPr>
          <w:noProof/>
        </w:rPr>
        <w:lastRenderedPageBreak/>
        <w:drawing>
          <wp:inline distT="0" distB="0" distL="0" distR="0" wp14:anchorId="47C783A8" wp14:editId="19ED692B">
            <wp:extent cx="3784600" cy="3543300"/>
            <wp:effectExtent l="0" t="0" r="0" b="0"/>
            <wp:docPr id="2045227476" name="Picture 3" descr="A graph of the same size and 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5227476" name="Picture 3" descr="A graph of the same size and line&#10;&#10;Description automatically generated with medium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784600" cy="3543300"/>
                    </a:xfrm>
                    <a:prstGeom prst="rect">
                      <a:avLst/>
                    </a:prstGeom>
                  </pic:spPr>
                </pic:pic>
              </a:graphicData>
            </a:graphic>
          </wp:inline>
        </w:drawing>
      </w:r>
    </w:p>
    <w:p w14:paraId="3DF7EFF1" w14:textId="77777777" w:rsidR="005E3325" w:rsidRPr="00101A2A" w:rsidRDefault="005E3325" w:rsidP="005E3325">
      <w:pPr>
        <w:spacing w:line="240" w:lineRule="auto"/>
      </w:pPr>
      <w:r w:rsidRPr="00101A2A">
        <w:rPr>
          <w:b/>
        </w:rPr>
        <w:t>Figure 3:</w:t>
      </w:r>
      <w:r w:rsidRPr="00101A2A">
        <w:t xml:space="preserve"> </w:t>
      </w:r>
      <w:r w:rsidRPr="00101A2A">
        <w:rPr>
          <w:b/>
          <w:bCs/>
        </w:rPr>
        <w:t>Predictive margins of the interaction effect of Spanner proportion and Regulated market on the real estate prices (9</w:t>
      </w:r>
      <w:r>
        <w:rPr>
          <w:b/>
          <w:bCs/>
        </w:rPr>
        <w:t>0</w:t>
      </w:r>
      <w:r w:rsidRPr="00101A2A">
        <w:rPr>
          <w:b/>
          <w:bCs/>
        </w:rPr>
        <w:t>% confidence interval).</w:t>
      </w:r>
      <w:r w:rsidRPr="00101A2A">
        <w:t xml:space="preserve"> </w:t>
      </w:r>
    </w:p>
    <w:p w14:paraId="6BBCCD4F" w14:textId="77777777" w:rsidR="005E3325" w:rsidRDefault="005E3325" w:rsidP="005E3325">
      <w:pPr>
        <w:spacing w:line="240" w:lineRule="auto"/>
      </w:pPr>
      <w:r w:rsidRPr="00101A2A">
        <w:t>When the market is regulated (unregulated), the model predicts a negative (positive) effect of Spanner proportion on Real estate prices.</w:t>
      </w:r>
      <w:r>
        <w:t xml:space="preserve"> This graph plots results from the three-city sample model: Austin, Nashville, Portland (Model 5, Table 4).</w:t>
      </w:r>
      <w:r w:rsidRPr="00101A2A">
        <w:t xml:space="preserve"> </w:t>
      </w:r>
    </w:p>
    <w:p w14:paraId="451D4AF5" w14:textId="77777777" w:rsidR="005E3325" w:rsidRPr="00101A2A" w:rsidRDefault="005E3325" w:rsidP="005E3325">
      <w:pPr>
        <w:spacing w:line="240" w:lineRule="auto"/>
      </w:pPr>
    </w:p>
    <w:p w14:paraId="0FD16B34" w14:textId="77777777" w:rsidR="005E3325" w:rsidRPr="00101A2A" w:rsidRDefault="005E3325" w:rsidP="005E3325"/>
    <w:p w14:paraId="2B5C8972" w14:textId="6E3485F0" w:rsidR="005E3325" w:rsidRDefault="005E3325">
      <w:pPr>
        <w:spacing w:after="160" w:line="259" w:lineRule="auto"/>
        <w:ind w:firstLine="0"/>
      </w:pPr>
      <w:r>
        <w:br w:type="page"/>
      </w:r>
    </w:p>
    <w:p w14:paraId="70033FB2" w14:textId="2BE049D3" w:rsidR="005E3325" w:rsidRPr="00866BAA" w:rsidRDefault="005E3325" w:rsidP="00224F89">
      <w:pPr>
        <w:ind w:firstLine="0"/>
        <w:rPr>
          <w:b/>
          <w:bCs/>
        </w:rPr>
      </w:pPr>
      <w:r w:rsidRPr="00866BAA">
        <w:rPr>
          <w:b/>
          <w:bCs/>
        </w:rPr>
        <w:lastRenderedPageBreak/>
        <w:t>Authors’ short bios:</w:t>
      </w:r>
    </w:p>
    <w:p w14:paraId="44B9924A" w14:textId="77777777" w:rsidR="005E3325" w:rsidRDefault="005E3325" w:rsidP="00224F89">
      <w:pPr>
        <w:ind w:firstLine="0"/>
      </w:pPr>
    </w:p>
    <w:p w14:paraId="41F69832" w14:textId="77777777" w:rsidR="005E3325" w:rsidRDefault="005E3325" w:rsidP="005E3325">
      <w:pPr>
        <w:ind w:firstLine="0"/>
      </w:pPr>
      <w:r>
        <w:t>Katia Meggiorin is an Assistant Professor at the Stevens Institute of Technology. She researches the impact of regulatory uncertainty on digital platform markets, with a focus on the sharing economy (e.g., Airbnb, Uber). More broadly, she studies how digital platforms manage the tradeoff between positive and negative effects on society.</w:t>
      </w:r>
    </w:p>
    <w:p w14:paraId="2C397D92" w14:textId="77777777" w:rsidR="005E3325" w:rsidRDefault="005E3325" w:rsidP="005E3325">
      <w:pPr>
        <w:ind w:firstLine="0"/>
      </w:pPr>
    </w:p>
    <w:p w14:paraId="6399ACA8" w14:textId="349327DA" w:rsidR="005E3325" w:rsidRPr="00101A2A" w:rsidRDefault="005E3325" w:rsidP="005E3325">
      <w:pPr>
        <w:ind w:firstLine="0"/>
      </w:pPr>
      <w:r>
        <w:t>Caterina Moschieri is an Associate Professor at the Business School of IE University in Madrid, Spain. Her recent research focuses on institutional and environmental changes and their impact on firms.</w:t>
      </w:r>
    </w:p>
    <w:sectPr w:rsidR="005E3325" w:rsidRPr="00101A2A" w:rsidSect="003048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366C7B" w14:textId="77777777" w:rsidR="00304811" w:rsidRDefault="00304811" w:rsidP="00DE1E3E">
      <w:r>
        <w:separator/>
      </w:r>
    </w:p>
  </w:endnote>
  <w:endnote w:type="continuationSeparator" w:id="0">
    <w:p w14:paraId="5445BE87" w14:textId="77777777" w:rsidR="00304811" w:rsidRDefault="00304811" w:rsidP="00DE1E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739820461"/>
      <w:docPartObj>
        <w:docPartGallery w:val="Page Numbers (Bottom of Page)"/>
        <w:docPartUnique/>
      </w:docPartObj>
    </w:sdtPr>
    <w:sdtContent>
      <w:p w14:paraId="3DF6353E" w14:textId="2D2D717C" w:rsidR="00FB4348" w:rsidRDefault="00FB4348" w:rsidP="00B75B9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21</w:t>
        </w:r>
        <w:r>
          <w:rPr>
            <w:rStyle w:val="PageNumber"/>
          </w:rPr>
          <w:fldChar w:fldCharType="end"/>
        </w:r>
      </w:p>
    </w:sdtContent>
  </w:sdt>
  <w:p w14:paraId="329CA1C1" w14:textId="77777777" w:rsidR="00FB4348" w:rsidRDefault="00FB4348" w:rsidP="007E7BA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035533739"/>
      <w:docPartObj>
        <w:docPartGallery w:val="Page Numbers (Bottom of Page)"/>
        <w:docPartUnique/>
      </w:docPartObj>
    </w:sdtPr>
    <w:sdtContent>
      <w:p w14:paraId="4F758D3C" w14:textId="24D2AFB1" w:rsidR="00FB4348" w:rsidRDefault="00FB4348" w:rsidP="00B75B9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28</w:t>
        </w:r>
        <w:r>
          <w:rPr>
            <w:rStyle w:val="PageNumber"/>
          </w:rPr>
          <w:fldChar w:fldCharType="end"/>
        </w:r>
      </w:p>
    </w:sdtContent>
  </w:sdt>
  <w:p w14:paraId="4F0EA171" w14:textId="56AB1B60" w:rsidR="00FB4348" w:rsidRPr="0027167D" w:rsidRDefault="00FB4348" w:rsidP="007E7BAF">
    <w:pPr>
      <w:pStyle w:val="Footer"/>
      <w:ind w:right="360"/>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892DAD" w14:textId="77777777" w:rsidR="00304811" w:rsidRDefault="00304811" w:rsidP="00DE1E3E">
      <w:r>
        <w:separator/>
      </w:r>
    </w:p>
  </w:footnote>
  <w:footnote w:type="continuationSeparator" w:id="0">
    <w:p w14:paraId="15CD5AD2" w14:textId="77777777" w:rsidR="00304811" w:rsidRDefault="00304811" w:rsidP="00DE1E3E">
      <w:r>
        <w:continuationSeparator/>
      </w:r>
    </w:p>
  </w:footnote>
  <w:footnote w:id="1">
    <w:p w14:paraId="1FB629D3" w14:textId="0385D0E8" w:rsidR="00FB4348" w:rsidRPr="00FF136C" w:rsidRDefault="00FB4348" w:rsidP="00DB69EF">
      <w:pPr>
        <w:pStyle w:val="Footnote"/>
      </w:pPr>
      <w:r w:rsidRPr="00547E55">
        <w:rPr>
          <w:rStyle w:val="FootnoteReference"/>
        </w:rPr>
        <w:footnoteRef/>
      </w:r>
      <w:r w:rsidRPr="00FF136C">
        <w:t xml:space="preserve"> See</w:t>
      </w:r>
      <w:r>
        <w:t>,</w:t>
      </w:r>
      <w:r w:rsidRPr="00FF136C">
        <w:t xml:space="preserve"> for example</w:t>
      </w:r>
      <w:r>
        <w:t>,</w:t>
      </w:r>
      <w:r w:rsidRPr="00FF136C">
        <w:t xml:space="preserve"> https://www.nytimes.com/2016/07/04/technology/a-brooklyn-neighborhood-where-airbnb-is-being-put-to-the-test.html and https://archive.nytimes.com/query.nytimes.com/gst/fullpage-9807E5DC153FF93BA3575BC0A9669D8B63.html</w:t>
      </w:r>
      <w:r>
        <w:t>.</w:t>
      </w:r>
    </w:p>
  </w:footnote>
  <w:footnote w:id="2">
    <w:p w14:paraId="2A6F4238" w14:textId="2EF99C2A" w:rsidR="00FB4348" w:rsidRPr="00E95B15" w:rsidRDefault="00FB4348" w:rsidP="00DB69EF">
      <w:pPr>
        <w:pStyle w:val="Footnote"/>
        <w:rPr>
          <w:lang w:val="en-US"/>
        </w:rPr>
      </w:pPr>
      <w:r w:rsidRPr="00547E55">
        <w:rPr>
          <w:rStyle w:val="FootnoteReference"/>
        </w:rPr>
        <w:footnoteRef/>
      </w:r>
      <w:r>
        <w:t xml:space="preserve"> </w:t>
      </w:r>
      <w:r>
        <w:rPr>
          <w:lang w:val="en-US"/>
        </w:rPr>
        <w:t>See</w:t>
      </w:r>
      <w:r w:rsidR="00621769">
        <w:rPr>
          <w:lang w:val="en-US"/>
        </w:rPr>
        <w:t>,</w:t>
      </w:r>
      <w:r>
        <w:rPr>
          <w:lang w:val="en-US"/>
        </w:rPr>
        <w:t xml:space="preserve"> for example</w:t>
      </w:r>
      <w:r w:rsidR="00621769">
        <w:rPr>
          <w:lang w:val="en-US"/>
        </w:rPr>
        <w:t>,</w:t>
      </w:r>
      <w:r>
        <w:rPr>
          <w:lang w:val="en-US"/>
        </w:rPr>
        <w:t xml:space="preserve"> </w:t>
      </w:r>
      <w:r w:rsidRPr="00FF136C">
        <w:t>Nashville</w:t>
      </w:r>
      <w:r>
        <w:t>’s ordinance</w:t>
      </w:r>
      <w:r w:rsidRPr="00FF136C">
        <w:t xml:space="preserve"> no. BL2014-951 to amend Chapter 6.28 of the Metropolitan Code pertaining to Short Term Rental Property.</w:t>
      </w:r>
    </w:p>
  </w:footnote>
  <w:footnote w:id="3">
    <w:p w14:paraId="1346B7BE" w14:textId="23F4BDF2" w:rsidR="00FB4348" w:rsidRPr="0080041C" w:rsidRDefault="00FB4348" w:rsidP="00DB69EF">
      <w:pPr>
        <w:pStyle w:val="Footnote"/>
      </w:pPr>
      <w:r w:rsidRPr="00547E55">
        <w:rPr>
          <w:rStyle w:val="FootnoteReference"/>
        </w:rPr>
        <w:footnoteRef/>
      </w:r>
      <w:r>
        <w:t xml:space="preserve"> See</w:t>
      </w:r>
      <w:r w:rsidR="00E42FF2">
        <w:t>,</w:t>
      </w:r>
      <w:r>
        <w:t xml:space="preserve"> for example</w:t>
      </w:r>
      <w:r w:rsidR="00E42FF2">
        <w:t>,</w:t>
      </w:r>
      <w:r>
        <w:t xml:space="preserve"> the ordinance no. 20120802-122 in Austin (</w:t>
      </w:r>
      <w:r w:rsidRPr="0080041C">
        <w:t>https://www.austintexas.gov/edims/document.cfm?id=174697</w:t>
      </w:r>
      <w:r>
        <w:t xml:space="preserve">), ordinance no. </w:t>
      </w:r>
      <w:r w:rsidRPr="00357173">
        <w:t>BL2014-951</w:t>
      </w:r>
      <w:r>
        <w:t xml:space="preserve"> in Nashville (</w:t>
      </w:r>
      <w:r w:rsidRPr="0080041C">
        <w:t>https://legisarchive.nashville.gov/mc/ordinances/term_2011_2015/bl2014_951.htm</w:t>
      </w:r>
      <w:r>
        <w:t>), and Chapter 33.207 of Title 33 in Portland (</w:t>
      </w:r>
      <w:hyperlink r:id="rId1" w:history="1">
        <w:r w:rsidRPr="006A40DF">
          <w:rPr>
            <w:rStyle w:val="Hyperlink"/>
            <w:lang w:val="en-US"/>
          </w:rPr>
          <w:t>https://www.portland.gov/sites/default/files/code/207-accessory-short-term-rentals_0.pdf</w:t>
        </w:r>
      </w:hyperlink>
      <w:r>
        <w:t>) (retrieved April 15, 2022).</w:t>
      </w:r>
    </w:p>
  </w:footnote>
  <w:footnote w:id="4">
    <w:p w14:paraId="7253FCA1" w14:textId="5F99B37C" w:rsidR="00FB4348" w:rsidRPr="00FF136C" w:rsidRDefault="00FB4348" w:rsidP="00DB69EF">
      <w:pPr>
        <w:pStyle w:val="Footnote"/>
        <w:rPr>
          <w:lang w:val="en-US"/>
        </w:rPr>
      </w:pPr>
      <w:r w:rsidRPr="00547E55">
        <w:rPr>
          <w:rStyle w:val="FootnoteReference"/>
        </w:rPr>
        <w:footnoteRef/>
      </w:r>
      <w:r w:rsidRPr="00FF136C">
        <w:t xml:space="preserve"> Austin: Ordinance no. 20130926-144 amended City Code Chapters 25-2 and 25-12</w:t>
      </w:r>
      <w:r>
        <w:t>,</w:t>
      </w:r>
      <w:r w:rsidRPr="00FF136C">
        <w:t xml:space="preserve"> which provide</w:t>
      </w:r>
      <w:r w:rsidR="00E4472B">
        <w:t>s</w:t>
      </w:r>
      <w:r w:rsidRPr="00FF136C">
        <w:t xml:space="preserve"> for the regulation, monitoring</w:t>
      </w:r>
      <w:r>
        <w:t>,</w:t>
      </w:r>
      <w:r w:rsidRPr="00FF136C">
        <w:t xml:space="preserve"> and licensing of short-term rentals (STRs). Nashville: Ordinance no. BL2014-951 </w:t>
      </w:r>
      <w:r w:rsidR="00E42FF2">
        <w:t>will</w:t>
      </w:r>
      <w:r w:rsidRPr="00FF136C">
        <w:t xml:space="preserve"> amend Chapter 6.28 of the Metropolitan Code </w:t>
      </w:r>
      <w:r>
        <w:t>of</w:t>
      </w:r>
      <w:r w:rsidRPr="00FF136C">
        <w:t xml:space="preserve"> </w:t>
      </w:r>
      <w:r w:rsidR="00E42FF2">
        <w:t>Short-Term</w:t>
      </w:r>
      <w:r w:rsidRPr="00FF136C">
        <w:t xml:space="preserve"> Rental Property. Portland: regulations that define what is allowed as an Accessory Short-Term Rental (ASTR) in the Portland Zoning Code Section 33.207. </w:t>
      </w:r>
      <w:r>
        <w:t xml:space="preserve">We do not </w:t>
      </w:r>
      <w:r w:rsidR="00E4472B">
        <w:t>analyse</w:t>
      </w:r>
      <w:r>
        <w:t xml:space="preserve"> </w:t>
      </w:r>
      <w:r w:rsidR="00E42FF2">
        <w:t xml:space="preserve">New York City here because instead of defining the SE category attributes through new municipal regulations, it decided to ban the platform entirely, </w:t>
      </w:r>
      <w:r w:rsidRPr="00FF136C">
        <w:rPr>
          <w:lang w:val="en-US"/>
        </w:rPr>
        <w:t xml:space="preserve">eliminating </w:t>
      </w:r>
      <w:r>
        <w:rPr>
          <w:lang w:val="en-US"/>
        </w:rPr>
        <w:t>SE</w:t>
      </w:r>
      <w:r w:rsidRPr="00FF136C">
        <w:rPr>
          <w:lang w:val="en-US"/>
        </w:rPr>
        <w:t xml:space="preserve"> from the hospitality industry.</w:t>
      </w:r>
    </w:p>
  </w:footnote>
  <w:footnote w:id="5">
    <w:p w14:paraId="0812BF03" w14:textId="2A032985" w:rsidR="00FB4348" w:rsidRPr="008B1172" w:rsidRDefault="00FB4348" w:rsidP="0077659E">
      <w:pPr>
        <w:pStyle w:val="FootnoteText"/>
        <w:spacing w:line="240" w:lineRule="auto"/>
        <w:rPr>
          <w:lang w:val="en-US"/>
        </w:rPr>
      </w:pPr>
      <w:r w:rsidRPr="00547E55">
        <w:rPr>
          <w:rStyle w:val="FootnoteReference"/>
        </w:rPr>
        <w:footnoteRef/>
      </w:r>
      <w:r>
        <w:t xml:space="preserve"> </w:t>
      </w:r>
      <w:r w:rsidRPr="008B1172">
        <w:t xml:space="preserve">Without this control, a positive correlation between Spanner proportion and the dependent variable could be explained by an increase in the number of single-listing hosts </w:t>
      </w:r>
      <w:r>
        <w:t>too</w:t>
      </w:r>
      <w:r w:rsidRPr="008B1172">
        <w:t>.</w:t>
      </w:r>
      <w:r>
        <w:t xml:space="preserve"> Thus, with this control variable, we are more confident that our results are driven by a change in the number of spanners. </w:t>
      </w:r>
    </w:p>
  </w:footnote>
  <w:footnote w:id="6">
    <w:p w14:paraId="05791E4E" w14:textId="35D5E90F" w:rsidR="00FB4348" w:rsidRPr="00DA6331" w:rsidRDefault="00FB4348" w:rsidP="00AD488A">
      <w:pPr>
        <w:pStyle w:val="FootnoteText"/>
        <w:spacing w:line="240" w:lineRule="auto"/>
        <w:rPr>
          <w:lang w:val="en-US"/>
        </w:rPr>
      </w:pPr>
      <w:r w:rsidRPr="00547E55">
        <w:rPr>
          <w:rStyle w:val="FootnoteReference"/>
        </w:rPr>
        <w:footnoteRef/>
      </w:r>
      <w:r>
        <w:t xml:space="preserve"> </w:t>
      </w:r>
      <w:r>
        <w:rPr>
          <w:lang w:val="en-US"/>
        </w:rPr>
        <w:t xml:space="preserve">See </w:t>
      </w:r>
      <w:r>
        <w:rPr>
          <w:lang w:val="en-US"/>
        </w:rPr>
        <w:fldChar w:fldCharType="begin" w:fldLock="1"/>
      </w:r>
      <w:r w:rsidR="003749C2">
        <w:rPr>
          <w:lang w:val="en-US"/>
        </w:rPr>
        <w:instrText>ADDIN CSL_CITATION {"citationItems":[{"id":"ITEM-1","itemData":{"author":[{"dropping-particle":"","family":"Fradkin","given":"Andrey","non-dropping-particle":"","parse-names":false,"suffix":""},{"dropping-particle":"","family":"Grewal","given":"Elena","non-dropping-particle":"","parse-names":false,"suffix":""},{"dropping-particle":"","family":"Holtz","given":"David","non-dropping-particle":"","parse-names":false,"suffix":""}],"container-title":"Marketing Science","id":"ITEM-1","issue":"6","issued":{"date-parts":[["2021"]]},"page":"1013-1029","title":"Reciprocity and Unveiling in Two-Sided Reputation Systems: Evidence from an Experiment on Airbnb","type":"article-journal","volume":"40"},"uris":["http://www.mendeley.com/documents/?uuid=5f41203d-a682-46c4-bb03-00e9f94b8ab8"]}],"mendeley":{"formattedCitation":"(Fradkin et al., 2021)","manualFormatting":"Fradkin et al. (2021)","plainTextFormattedCitation":"(Fradkin et al., 2021)","previouslyFormattedCitation":"(Fradkin et al., 2021)"},"properties":{"noteIndex":0},"schema":"https://github.com/citation-style-language/schema/raw/master/csl-citation.json"}</w:instrText>
      </w:r>
      <w:r>
        <w:rPr>
          <w:lang w:val="en-US"/>
        </w:rPr>
        <w:fldChar w:fldCharType="separate"/>
      </w:r>
      <w:r w:rsidRPr="00BC57A3">
        <w:rPr>
          <w:noProof/>
          <w:lang w:val="en-US"/>
        </w:rPr>
        <w:t>Fradkin</w:t>
      </w:r>
      <w:r>
        <w:rPr>
          <w:noProof/>
          <w:lang w:val="en-US"/>
        </w:rPr>
        <w:t xml:space="preserve"> </w:t>
      </w:r>
      <w:r w:rsidR="00710456">
        <w:rPr>
          <w:noProof/>
          <w:lang w:val="en-US"/>
        </w:rPr>
        <w:t>et al.</w:t>
      </w:r>
      <w:r w:rsidRPr="00BC57A3">
        <w:rPr>
          <w:noProof/>
          <w:lang w:val="en-US"/>
        </w:rPr>
        <w:t xml:space="preserve"> </w:t>
      </w:r>
      <w:r>
        <w:rPr>
          <w:noProof/>
          <w:lang w:val="en-US"/>
        </w:rPr>
        <w:t>(</w:t>
      </w:r>
      <w:r w:rsidRPr="00BC57A3">
        <w:rPr>
          <w:noProof/>
          <w:lang w:val="en-US"/>
        </w:rPr>
        <w:t>2021)</w:t>
      </w:r>
      <w:r>
        <w:rPr>
          <w:lang w:val="en-US"/>
        </w:rPr>
        <w:fldChar w:fldCharType="end"/>
      </w:r>
      <w:r>
        <w:rPr>
          <w:lang w:val="en-US"/>
        </w:rPr>
        <w:t xml:space="preserve"> for empirical evidence of the correlation between the number of reviews and the number of bookings of an Airbnb listing.</w:t>
      </w:r>
    </w:p>
  </w:footnote>
  <w:footnote w:id="7">
    <w:p w14:paraId="012205FD" w14:textId="77777777" w:rsidR="00FB4348" w:rsidRPr="00AF76CD" w:rsidRDefault="00FB4348" w:rsidP="00204BD4">
      <w:pPr>
        <w:pStyle w:val="Footnote"/>
        <w:rPr>
          <w:lang w:val="en-US"/>
        </w:rPr>
      </w:pPr>
      <w:r w:rsidRPr="00547E55">
        <w:rPr>
          <w:rStyle w:val="FootnoteReference"/>
        </w:rPr>
        <w:footnoteRef/>
      </w:r>
      <w:r w:rsidRPr="00AF76CD">
        <w:rPr>
          <w:lang w:val="en-US"/>
        </w:rPr>
        <w:t xml:space="preserve"> </w:t>
      </w:r>
      <w:hyperlink r:id="rId2" w:history="1">
        <w:r w:rsidRPr="00AF76CD">
          <w:rPr>
            <w:rStyle w:val="Hyperlink"/>
            <w:color w:val="000000" w:themeColor="text1"/>
            <w:lang w:val="en-US"/>
          </w:rPr>
          <w:t>https://www.nytimes.com/2016/10/22/technology/new-york-passes-law-airbnb.html</w:t>
        </w:r>
      </w:hyperlink>
      <w:r w:rsidRPr="00AF76CD">
        <w:rPr>
          <w:rStyle w:val="Hyperlink"/>
          <w:color w:val="000000" w:themeColor="text1"/>
          <w:lang w:val="en-US"/>
        </w:rPr>
        <w:t>,</w:t>
      </w:r>
      <w:r>
        <w:rPr>
          <w:rStyle w:val="Hyperlink"/>
          <w:color w:val="000000" w:themeColor="text1"/>
          <w:lang w:val="en-US"/>
        </w:rPr>
        <w:t xml:space="preserve"> </w:t>
      </w:r>
      <w:hyperlink r:id="rId3" w:history="1">
        <w:r w:rsidRPr="00FF136C">
          <w:rPr>
            <w:rStyle w:val="Hyperlink"/>
            <w:color w:val="000000" w:themeColor="text1"/>
          </w:rPr>
          <w:t>https://www.nytimes.com/2017/04/16/technology/inside-the-hotel-industrys-plan-to-combat-airbnb.html</w:t>
        </w:r>
      </w:hyperlink>
      <w:r>
        <w:rPr>
          <w:rStyle w:val="Hyperlink"/>
          <w:color w:val="000000" w:themeColor="text1"/>
        </w:rPr>
        <w:t xml:space="preserve">, </w:t>
      </w:r>
      <w:hyperlink r:id="rId4" w:history="1">
        <w:r w:rsidRPr="00FF136C">
          <w:rPr>
            <w:rStyle w:val="Hyperlink"/>
            <w:color w:val="000000" w:themeColor="text1"/>
          </w:rPr>
          <w:t>https://www.forbes.com/sites/garybarker/2020/02/21/the-airbnb-effect-on-housing-and-rent/</w:t>
        </w:r>
      </w:hyperlink>
      <w:r w:rsidRPr="00FF136C">
        <w:t xml:space="preserve">, </w:t>
      </w:r>
      <w:hyperlink r:id="rId5" w:history="1">
        <w:r w:rsidRPr="00FF136C">
          <w:rPr>
            <w:rStyle w:val="Hyperlink"/>
            <w:color w:val="000000" w:themeColor="text1"/>
          </w:rPr>
          <w:t>https://www.cnbc.com/2018/05/03/airbnb-raises-nyc-rents-comptroller.html</w:t>
        </w:r>
      </w:hyperlink>
      <w:r w:rsidRPr="00FF136C">
        <w:t xml:space="preserve">, and </w:t>
      </w:r>
      <w:hyperlink r:id="rId6" w:history="1">
        <w:r w:rsidRPr="00FF136C">
          <w:rPr>
            <w:rStyle w:val="Hyperlink"/>
            <w:color w:val="000000" w:themeColor="text1"/>
          </w:rPr>
          <w:t>https://www.latimes.com/business/story/2019-09-17/airbnb-pledges-25-million-to-support-affordable-housing-and-small-business</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1D48C0B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1DE556E"/>
    <w:multiLevelType w:val="hybridMultilevel"/>
    <w:tmpl w:val="699876D6"/>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15:restartNumberingAfterBreak="0">
    <w:nsid w:val="026E5C2E"/>
    <w:multiLevelType w:val="hybridMultilevel"/>
    <w:tmpl w:val="E64ED3F8"/>
    <w:lvl w:ilvl="0" w:tplc="4D94A5FA">
      <w:numFmt w:val="bullet"/>
      <w:lvlText w:val="-"/>
      <w:lvlJc w:val="left"/>
      <w:pPr>
        <w:ind w:left="900" w:hanging="360"/>
      </w:pPr>
      <w:rPr>
        <w:rFonts w:ascii="Times New Roman" w:eastAsia="Calibri" w:hAnsi="Times New Roman" w:cs="Times New Roman" w:hint="default"/>
      </w:rPr>
    </w:lvl>
    <w:lvl w:ilvl="1" w:tplc="08090003" w:tentative="1">
      <w:start w:val="1"/>
      <w:numFmt w:val="bullet"/>
      <w:lvlText w:val="o"/>
      <w:lvlJc w:val="left"/>
      <w:pPr>
        <w:ind w:left="1620" w:hanging="360"/>
      </w:pPr>
      <w:rPr>
        <w:rFonts w:ascii="Courier New" w:hAnsi="Courier New" w:cs="Courier New" w:hint="default"/>
      </w:rPr>
    </w:lvl>
    <w:lvl w:ilvl="2" w:tplc="08090005" w:tentative="1">
      <w:start w:val="1"/>
      <w:numFmt w:val="bullet"/>
      <w:lvlText w:val=""/>
      <w:lvlJc w:val="left"/>
      <w:pPr>
        <w:ind w:left="2340" w:hanging="360"/>
      </w:pPr>
      <w:rPr>
        <w:rFonts w:ascii="Wingdings" w:hAnsi="Wingdings" w:hint="default"/>
      </w:rPr>
    </w:lvl>
    <w:lvl w:ilvl="3" w:tplc="08090001" w:tentative="1">
      <w:start w:val="1"/>
      <w:numFmt w:val="bullet"/>
      <w:lvlText w:val=""/>
      <w:lvlJc w:val="left"/>
      <w:pPr>
        <w:ind w:left="3060" w:hanging="360"/>
      </w:pPr>
      <w:rPr>
        <w:rFonts w:ascii="Symbol" w:hAnsi="Symbol" w:hint="default"/>
      </w:rPr>
    </w:lvl>
    <w:lvl w:ilvl="4" w:tplc="08090003" w:tentative="1">
      <w:start w:val="1"/>
      <w:numFmt w:val="bullet"/>
      <w:lvlText w:val="o"/>
      <w:lvlJc w:val="left"/>
      <w:pPr>
        <w:ind w:left="3780" w:hanging="360"/>
      </w:pPr>
      <w:rPr>
        <w:rFonts w:ascii="Courier New" w:hAnsi="Courier New" w:cs="Courier New" w:hint="default"/>
      </w:rPr>
    </w:lvl>
    <w:lvl w:ilvl="5" w:tplc="08090005" w:tentative="1">
      <w:start w:val="1"/>
      <w:numFmt w:val="bullet"/>
      <w:lvlText w:val=""/>
      <w:lvlJc w:val="left"/>
      <w:pPr>
        <w:ind w:left="4500" w:hanging="360"/>
      </w:pPr>
      <w:rPr>
        <w:rFonts w:ascii="Wingdings" w:hAnsi="Wingdings" w:hint="default"/>
      </w:rPr>
    </w:lvl>
    <w:lvl w:ilvl="6" w:tplc="08090001" w:tentative="1">
      <w:start w:val="1"/>
      <w:numFmt w:val="bullet"/>
      <w:lvlText w:val=""/>
      <w:lvlJc w:val="left"/>
      <w:pPr>
        <w:ind w:left="5220" w:hanging="360"/>
      </w:pPr>
      <w:rPr>
        <w:rFonts w:ascii="Symbol" w:hAnsi="Symbol" w:hint="default"/>
      </w:rPr>
    </w:lvl>
    <w:lvl w:ilvl="7" w:tplc="08090003" w:tentative="1">
      <w:start w:val="1"/>
      <w:numFmt w:val="bullet"/>
      <w:lvlText w:val="o"/>
      <w:lvlJc w:val="left"/>
      <w:pPr>
        <w:ind w:left="5940" w:hanging="360"/>
      </w:pPr>
      <w:rPr>
        <w:rFonts w:ascii="Courier New" w:hAnsi="Courier New" w:cs="Courier New" w:hint="default"/>
      </w:rPr>
    </w:lvl>
    <w:lvl w:ilvl="8" w:tplc="08090005" w:tentative="1">
      <w:start w:val="1"/>
      <w:numFmt w:val="bullet"/>
      <w:lvlText w:val=""/>
      <w:lvlJc w:val="left"/>
      <w:pPr>
        <w:ind w:left="6660" w:hanging="360"/>
      </w:pPr>
      <w:rPr>
        <w:rFonts w:ascii="Wingdings" w:hAnsi="Wingdings" w:hint="default"/>
      </w:rPr>
    </w:lvl>
  </w:abstractNum>
  <w:abstractNum w:abstractNumId="3" w15:restartNumberingAfterBreak="0">
    <w:nsid w:val="10AC5677"/>
    <w:multiLevelType w:val="hybridMultilevel"/>
    <w:tmpl w:val="EEEECF36"/>
    <w:lvl w:ilvl="0" w:tplc="056E8A44">
      <w:start w:val="4000"/>
      <w:numFmt w:val="bullet"/>
      <w:lvlText w:val="-"/>
      <w:lvlJc w:val="left"/>
      <w:pPr>
        <w:ind w:left="900" w:hanging="360"/>
      </w:pPr>
      <w:rPr>
        <w:rFonts w:ascii="Times New Roman" w:eastAsia="Calibri" w:hAnsi="Times New Roman" w:cs="Times New Roman" w:hint="default"/>
      </w:rPr>
    </w:lvl>
    <w:lvl w:ilvl="1" w:tplc="08090003" w:tentative="1">
      <w:start w:val="1"/>
      <w:numFmt w:val="bullet"/>
      <w:lvlText w:val="o"/>
      <w:lvlJc w:val="left"/>
      <w:pPr>
        <w:ind w:left="1620" w:hanging="360"/>
      </w:pPr>
      <w:rPr>
        <w:rFonts w:ascii="Courier New" w:hAnsi="Courier New" w:hint="default"/>
      </w:rPr>
    </w:lvl>
    <w:lvl w:ilvl="2" w:tplc="08090005" w:tentative="1">
      <w:start w:val="1"/>
      <w:numFmt w:val="bullet"/>
      <w:lvlText w:val=""/>
      <w:lvlJc w:val="left"/>
      <w:pPr>
        <w:ind w:left="2340" w:hanging="360"/>
      </w:pPr>
      <w:rPr>
        <w:rFonts w:ascii="Wingdings" w:hAnsi="Wingdings" w:hint="default"/>
      </w:rPr>
    </w:lvl>
    <w:lvl w:ilvl="3" w:tplc="08090001" w:tentative="1">
      <w:start w:val="1"/>
      <w:numFmt w:val="bullet"/>
      <w:lvlText w:val=""/>
      <w:lvlJc w:val="left"/>
      <w:pPr>
        <w:ind w:left="3060" w:hanging="360"/>
      </w:pPr>
      <w:rPr>
        <w:rFonts w:ascii="Symbol" w:hAnsi="Symbol" w:hint="default"/>
      </w:rPr>
    </w:lvl>
    <w:lvl w:ilvl="4" w:tplc="08090003" w:tentative="1">
      <w:start w:val="1"/>
      <w:numFmt w:val="bullet"/>
      <w:lvlText w:val="o"/>
      <w:lvlJc w:val="left"/>
      <w:pPr>
        <w:ind w:left="3780" w:hanging="360"/>
      </w:pPr>
      <w:rPr>
        <w:rFonts w:ascii="Courier New" w:hAnsi="Courier New" w:hint="default"/>
      </w:rPr>
    </w:lvl>
    <w:lvl w:ilvl="5" w:tplc="08090005" w:tentative="1">
      <w:start w:val="1"/>
      <w:numFmt w:val="bullet"/>
      <w:lvlText w:val=""/>
      <w:lvlJc w:val="left"/>
      <w:pPr>
        <w:ind w:left="4500" w:hanging="360"/>
      </w:pPr>
      <w:rPr>
        <w:rFonts w:ascii="Wingdings" w:hAnsi="Wingdings" w:hint="default"/>
      </w:rPr>
    </w:lvl>
    <w:lvl w:ilvl="6" w:tplc="08090001" w:tentative="1">
      <w:start w:val="1"/>
      <w:numFmt w:val="bullet"/>
      <w:lvlText w:val=""/>
      <w:lvlJc w:val="left"/>
      <w:pPr>
        <w:ind w:left="5220" w:hanging="360"/>
      </w:pPr>
      <w:rPr>
        <w:rFonts w:ascii="Symbol" w:hAnsi="Symbol" w:hint="default"/>
      </w:rPr>
    </w:lvl>
    <w:lvl w:ilvl="7" w:tplc="08090003" w:tentative="1">
      <w:start w:val="1"/>
      <w:numFmt w:val="bullet"/>
      <w:lvlText w:val="o"/>
      <w:lvlJc w:val="left"/>
      <w:pPr>
        <w:ind w:left="5940" w:hanging="360"/>
      </w:pPr>
      <w:rPr>
        <w:rFonts w:ascii="Courier New" w:hAnsi="Courier New" w:hint="default"/>
      </w:rPr>
    </w:lvl>
    <w:lvl w:ilvl="8" w:tplc="08090005" w:tentative="1">
      <w:start w:val="1"/>
      <w:numFmt w:val="bullet"/>
      <w:lvlText w:val=""/>
      <w:lvlJc w:val="left"/>
      <w:pPr>
        <w:ind w:left="6660" w:hanging="360"/>
      </w:pPr>
      <w:rPr>
        <w:rFonts w:ascii="Wingdings" w:hAnsi="Wingdings" w:hint="default"/>
      </w:rPr>
    </w:lvl>
  </w:abstractNum>
  <w:abstractNum w:abstractNumId="4" w15:restartNumberingAfterBreak="0">
    <w:nsid w:val="14011D04"/>
    <w:multiLevelType w:val="hybridMultilevel"/>
    <w:tmpl w:val="1F40361A"/>
    <w:lvl w:ilvl="0" w:tplc="C6D8E69A">
      <w:start w:val="1"/>
      <w:numFmt w:val="bullet"/>
      <w:lvlText w:val="-"/>
      <w:lvlJc w:val="left"/>
      <w:pPr>
        <w:ind w:left="900" w:hanging="360"/>
      </w:pPr>
      <w:rPr>
        <w:rFonts w:ascii="Times New Roman" w:eastAsia="Calibri" w:hAnsi="Times New Roman" w:cs="Times New Roman" w:hint="default"/>
      </w:rPr>
    </w:lvl>
    <w:lvl w:ilvl="1" w:tplc="08090003" w:tentative="1">
      <w:start w:val="1"/>
      <w:numFmt w:val="bullet"/>
      <w:lvlText w:val="o"/>
      <w:lvlJc w:val="left"/>
      <w:pPr>
        <w:ind w:left="1620" w:hanging="360"/>
      </w:pPr>
      <w:rPr>
        <w:rFonts w:ascii="Courier New" w:hAnsi="Courier New" w:cs="Courier New" w:hint="default"/>
      </w:rPr>
    </w:lvl>
    <w:lvl w:ilvl="2" w:tplc="08090005" w:tentative="1">
      <w:start w:val="1"/>
      <w:numFmt w:val="bullet"/>
      <w:lvlText w:val=""/>
      <w:lvlJc w:val="left"/>
      <w:pPr>
        <w:ind w:left="2340" w:hanging="360"/>
      </w:pPr>
      <w:rPr>
        <w:rFonts w:ascii="Wingdings" w:hAnsi="Wingdings" w:hint="default"/>
      </w:rPr>
    </w:lvl>
    <w:lvl w:ilvl="3" w:tplc="08090001" w:tentative="1">
      <w:start w:val="1"/>
      <w:numFmt w:val="bullet"/>
      <w:lvlText w:val=""/>
      <w:lvlJc w:val="left"/>
      <w:pPr>
        <w:ind w:left="3060" w:hanging="360"/>
      </w:pPr>
      <w:rPr>
        <w:rFonts w:ascii="Symbol" w:hAnsi="Symbol" w:hint="default"/>
      </w:rPr>
    </w:lvl>
    <w:lvl w:ilvl="4" w:tplc="08090003" w:tentative="1">
      <w:start w:val="1"/>
      <w:numFmt w:val="bullet"/>
      <w:lvlText w:val="o"/>
      <w:lvlJc w:val="left"/>
      <w:pPr>
        <w:ind w:left="3780" w:hanging="360"/>
      </w:pPr>
      <w:rPr>
        <w:rFonts w:ascii="Courier New" w:hAnsi="Courier New" w:cs="Courier New" w:hint="default"/>
      </w:rPr>
    </w:lvl>
    <w:lvl w:ilvl="5" w:tplc="08090005" w:tentative="1">
      <w:start w:val="1"/>
      <w:numFmt w:val="bullet"/>
      <w:lvlText w:val=""/>
      <w:lvlJc w:val="left"/>
      <w:pPr>
        <w:ind w:left="4500" w:hanging="360"/>
      </w:pPr>
      <w:rPr>
        <w:rFonts w:ascii="Wingdings" w:hAnsi="Wingdings" w:hint="default"/>
      </w:rPr>
    </w:lvl>
    <w:lvl w:ilvl="6" w:tplc="08090001" w:tentative="1">
      <w:start w:val="1"/>
      <w:numFmt w:val="bullet"/>
      <w:lvlText w:val=""/>
      <w:lvlJc w:val="left"/>
      <w:pPr>
        <w:ind w:left="5220" w:hanging="360"/>
      </w:pPr>
      <w:rPr>
        <w:rFonts w:ascii="Symbol" w:hAnsi="Symbol" w:hint="default"/>
      </w:rPr>
    </w:lvl>
    <w:lvl w:ilvl="7" w:tplc="08090003" w:tentative="1">
      <w:start w:val="1"/>
      <w:numFmt w:val="bullet"/>
      <w:lvlText w:val="o"/>
      <w:lvlJc w:val="left"/>
      <w:pPr>
        <w:ind w:left="5940" w:hanging="360"/>
      </w:pPr>
      <w:rPr>
        <w:rFonts w:ascii="Courier New" w:hAnsi="Courier New" w:cs="Courier New" w:hint="default"/>
      </w:rPr>
    </w:lvl>
    <w:lvl w:ilvl="8" w:tplc="08090005" w:tentative="1">
      <w:start w:val="1"/>
      <w:numFmt w:val="bullet"/>
      <w:lvlText w:val=""/>
      <w:lvlJc w:val="left"/>
      <w:pPr>
        <w:ind w:left="6660" w:hanging="360"/>
      </w:pPr>
      <w:rPr>
        <w:rFonts w:ascii="Wingdings" w:hAnsi="Wingdings" w:hint="default"/>
      </w:rPr>
    </w:lvl>
  </w:abstractNum>
  <w:abstractNum w:abstractNumId="5" w15:restartNumberingAfterBreak="0">
    <w:nsid w:val="152906CF"/>
    <w:multiLevelType w:val="hybridMultilevel"/>
    <w:tmpl w:val="41F020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7F07D93"/>
    <w:multiLevelType w:val="hybridMultilevel"/>
    <w:tmpl w:val="40320A4C"/>
    <w:lvl w:ilvl="0" w:tplc="029A46A2">
      <w:start w:val="1"/>
      <w:numFmt w:val="bullet"/>
      <w:lvlText w:val="-"/>
      <w:lvlJc w:val="left"/>
      <w:pPr>
        <w:ind w:left="900" w:hanging="360"/>
      </w:pPr>
      <w:rPr>
        <w:rFonts w:ascii="Times New Roman" w:eastAsia="Calibri" w:hAnsi="Times New Roman" w:cs="Times New Roman"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7" w15:restartNumberingAfterBreak="0">
    <w:nsid w:val="29BC3C22"/>
    <w:multiLevelType w:val="hybridMultilevel"/>
    <w:tmpl w:val="EB022A3C"/>
    <w:lvl w:ilvl="0" w:tplc="A69EAA9E">
      <w:start w:val="5"/>
      <w:numFmt w:val="bullet"/>
      <w:lvlText w:val="-"/>
      <w:lvlJc w:val="left"/>
      <w:pPr>
        <w:ind w:left="900" w:hanging="360"/>
      </w:pPr>
      <w:rPr>
        <w:rFonts w:ascii="Times New Roman" w:eastAsia="Calibri" w:hAnsi="Times New Roman" w:cs="Times New Roman"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8" w15:restartNumberingAfterBreak="0">
    <w:nsid w:val="2C7A022A"/>
    <w:multiLevelType w:val="hybridMultilevel"/>
    <w:tmpl w:val="A46A0650"/>
    <w:lvl w:ilvl="0" w:tplc="3B721784">
      <w:start w:val="658"/>
      <w:numFmt w:val="bullet"/>
      <w:lvlText w:val=""/>
      <w:lvlJc w:val="left"/>
      <w:pPr>
        <w:ind w:left="1080" w:hanging="360"/>
      </w:pPr>
      <w:rPr>
        <w:rFonts w:ascii="Symbol" w:eastAsia="Calibri" w:hAnsi="Symbol"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DCD5451"/>
    <w:multiLevelType w:val="hybridMultilevel"/>
    <w:tmpl w:val="5A6695D0"/>
    <w:lvl w:ilvl="0" w:tplc="B2B08532">
      <w:numFmt w:val="bullet"/>
      <w:lvlText w:val="-"/>
      <w:lvlJc w:val="left"/>
      <w:pPr>
        <w:ind w:left="927" w:hanging="360"/>
      </w:pPr>
      <w:rPr>
        <w:rFonts w:ascii="Times New Roman" w:eastAsia="Times New Roman" w:hAnsi="Times New Roman" w:cs="Times New Roman"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0" w15:restartNumberingAfterBreak="0">
    <w:nsid w:val="40FA79DF"/>
    <w:multiLevelType w:val="hybridMultilevel"/>
    <w:tmpl w:val="782C8C14"/>
    <w:lvl w:ilvl="0" w:tplc="04090001">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11" w15:restartNumberingAfterBreak="0">
    <w:nsid w:val="417D22C0"/>
    <w:multiLevelType w:val="hybridMultilevel"/>
    <w:tmpl w:val="ABC29BC8"/>
    <w:lvl w:ilvl="0" w:tplc="78887CFE">
      <w:start w:val="658"/>
      <w:numFmt w:val="bullet"/>
      <w:lvlText w:val=""/>
      <w:lvlJc w:val="left"/>
      <w:pPr>
        <w:ind w:left="1080" w:hanging="360"/>
      </w:pPr>
      <w:rPr>
        <w:rFonts w:ascii="Symbol" w:eastAsia="Calibri" w:hAnsi="Symbol"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48B51468"/>
    <w:multiLevelType w:val="hybridMultilevel"/>
    <w:tmpl w:val="0B3EB156"/>
    <w:lvl w:ilvl="0" w:tplc="CFA8D97C">
      <w:start w:val="658"/>
      <w:numFmt w:val="bullet"/>
      <w:lvlText w:val=""/>
      <w:lvlJc w:val="left"/>
      <w:pPr>
        <w:ind w:left="720" w:hanging="360"/>
      </w:pPr>
      <w:rPr>
        <w:rFonts w:ascii="Symbol" w:eastAsia="Calibr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CB74956"/>
    <w:multiLevelType w:val="hybridMultilevel"/>
    <w:tmpl w:val="AA6A1206"/>
    <w:lvl w:ilvl="0" w:tplc="8774EAAE">
      <w:start w:val="3"/>
      <w:numFmt w:val="bullet"/>
      <w:lvlText w:val="-"/>
      <w:lvlJc w:val="left"/>
      <w:pPr>
        <w:ind w:left="927" w:hanging="360"/>
      </w:pPr>
      <w:rPr>
        <w:rFonts w:ascii="Times New Roman" w:eastAsia="Times New Roman" w:hAnsi="Times New Roman" w:cs="Times New Roman"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4" w15:restartNumberingAfterBreak="0">
    <w:nsid w:val="58200CA8"/>
    <w:multiLevelType w:val="hybridMultilevel"/>
    <w:tmpl w:val="EC484320"/>
    <w:lvl w:ilvl="0" w:tplc="36D61452">
      <w:start w:val="3"/>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E3A349C"/>
    <w:multiLevelType w:val="hybridMultilevel"/>
    <w:tmpl w:val="284668AA"/>
    <w:lvl w:ilvl="0" w:tplc="0409000F">
      <w:start w:val="1"/>
      <w:numFmt w:val="decimal"/>
      <w:lvlText w:val="%1."/>
      <w:lvlJc w:val="left"/>
      <w:pPr>
        <w:ind w:left="1426" w:hanging="360"/>
      </w:pPr>
    </w:lvl>
    <w:lvl w:ilvl="1" w:tplc="04090019" w:tentative="1">
      <w:start w:val="1"/>
      <w:numFmt w:val="lowerLetter"/>
      <w:lvlText w:val="%2."/>
      <w:lvlJc w:val="left"/>
      <w:pPr>
        <w:ind w:left="2146" w:hanging="360"/>
      </w:pPr>
    </w:lvl>
    <w:lvl w:ilvl="2" w:tplc="0409001B" w:tentative="1">
      <w:start w:val="1"/>
      <w:numFmt w:val="lowerRoman"/>
      <w:lvlText w:val="%3."/>
      <w:lvlJc w:val="right"/>
      <w:pPr>
        <w:ind w:left="2866" w:hanging="180"/>
      </w:pPr>
    </w:lvl>
    <w:lvl w:ilvl="3" w:tplc="0409000F" w:tentative="1">
      <w:start w:val="1"/>
      <w:numFmt w:val="decimal"/>
      <w:lvlText w:val="%4."/>
      <w:lvlJc w:val="left"/>
      <w:pPr>
        <w:ind w:left="3586" w:hanging="360"/>
      </w:pPr>
    </w:lvl>
    <w:lvl w:ilvl="4" w:tplc="04090019" w:tentative="1">
      <w:start w:val="1"/>
      <w:numFmt w:val="lowerLetter"/>
      <w:lvlText w:val="%5."/>
      <w:lvlJc w:val="left"/>
      <w:pPr>
        <w:ind w:left="4306" w:hanging="360"/>
      </w:pPr>
    </w:lvl>
    <w:lvl w:ilvl="5" w:tplc="0409001B" w:tentative="1">
      <w:start w:val="1"/>
      <w:numFmt w:val="lowerRoman"/>
      <w:lvlText w:val="%6."/>
      <w:lvlJc w:val="right"/>
      <w:pPr>
        <w:ind w:left="5026" w:hanging="180"/>
      </w:pPr>
    </w:lvl>
    <w:lvl w:ilvl="6" w:tplc="0409000F" w:tentative="1">
      <w:start w:val="1"/>
      <w:numFmt w:val="decimal"/>
      <w:lvlText w:val="%7."/>
      <w:lvlJc w:val="left"/>
      <w:pPr>
        <w:ind w:left="5746" w:hanging="360"/>
      </w:pPr>
    </w:lvl>
    <w:lvl w:ilvl="7" w:tplc="04090019" w:tentative="1">
      <w:start w:val="1"/>
      <w:numFmt w:val="lowerLetter"/>
      <w:lvlText w:val="%8."/>
      <w:lvlJc w:val="left"/>
      <w:pPr>
        <w:ind w:left="6466" w:hanging="360"/>
      </w:pPr>
    </w:lvl>
    <w:lvl w:ilvl="8" w:tplc="0409001B" w:tentative="1">
      <w:start w:val="1"/>
      <w:numFmt w:val="lowerRoman"/>
      <w:lvlText w:val="%9."/>
      <w:lvlJc w:val="right"/>
      <w:pPr>
        <w:ind w:left="7186" w:hanging="180"/>
      </w:pPr>
    </w:lvl>
  </w:abstractNum>
  <w:abstractNum w:abstractNumId="16" w15:restartNumberingAfterBreak="0">
    <w:nsid w:val="625E0A3F"/>
    <w:multiLevelType w:val="hybridMultilevel"/>
    <w:tmpl w:val="C79ADA8A"/>
    <w:lvl w:ilvl="0" w:tplc="C96A8820">
      <w:start w:val="1"/>
      <w:numFmt w:val="decimal"/>
      <w:lvlText w:val="%1."/>
      <w:lvlJc w:val="left"/>
      <w:pPr>
        <w:ind w:left="900" w:hanging="360"/>
      </w:pPr>
      <w:rPr>
        <w:rFonts w:hint="default"/>
      </w:rPr>
    </w:lvl>
    <w:lvl w:ilvl="1" w:tplc="08090019" w:tentative="1">
      <w:start w:val="1"/>
      <w:numFmt w:val="lowerLetter"/>
      <w:lvlText w:val="%2."/>
      <w:lvlJc w:val="left"/>
      <w:pPr>
        <w:ind w:left="1620" w:hanging="360"/>
      </w:pPr>
    </w:lvl>
    <w:lvl w:ilvl="2" w:tplc="0809001B" w:tentative="1">
      <w:start w:val="1"/>
      <w:numFmt w:val="lowerRoman"/>
      <w:lvlText w:val="%3."/>
      <w:lvlJc w:val="right"/>
      <w:pPr>
        <w:ind w:left="2340" w:hanging="180"/>
      </w:pPr>
    </w:lvl>
    <w:lvl w:ilvl="3" w:tplc="0809000F" w:tentative="1">
      <w:start w:val="1"/>
      <w:numFmt w:val="decimal"/>
      <w:lvlText w:val="%4."/>
      <w:lvlJc w:val="left"/>
      <w:pPr>
        <w:ind w:left="3060" w:hanging="360"/>
      </w:pPr>
    </w:lvl>
    <w:lvl w:ilvl="4" w:tplc="08090019" w:tentative="1">
      <w:start w:val="1"/>
      <w:numFmt w:val="lowerLetter"/>
      <w:lvlText w:val="%5."/>
      <w:lvlJc w:val="left"/>
      <w:pPr>
        <w:ind w:left="3780" w:hanging="360"/>
      </w:pPr>
    </w:lvl>
    <w:lvl w:ilvl="5" w:tplc="0809001B" w:tentative="1">
      <w:start w:val="1"/>
      <w:numFmt w:val="lowerRoman"/>
      <w:lvlText w:val="%6."/>
      <w:lvlJc w:val="right"/>
      <w:pPr>
        <w:ind w:left="4500" w:hanging="180"/>
      </w:pPr>
    </w:lvl>
    <w:lvl w:ilvl="6" w:tplc="0809000F" w:tentative="1">
      <w:start w:val="1"/>
      <w:numFmt w:val="decimal"/>
      <w:lvlText w:val="%7."/>
      <w:lvlJc w:val="left"/>
      <w:pPr>
        <w:ind w:left="5220" w:hanging="360"/>
      </w:pPr>
    </w:lvl>
    <w:lvl w:ilvl="7" w:tplc="08090019" w:tentative="1">
      <w:start w:val="1"/>
      <w:numFmt w:val="lowerLetter"/>
      <w:lvlText w:val="%8."/>
      <w:lvlJc w:val="left"/>
      <w:pPr>
        <w:ind w:left="5940" w:hanging="360"/>
      </w:pPr>
    </w:lvl>
    <w:lvl w:ilvl="8" w:tplc="0809001B" w:tentative="1">
      <w:start w:val="1"/>
      <w:numFmt w:val="lowerRoman"/>
      <w:lvlText w:val="%9."/>
      <w:lvlJc w:val="right"/>
      <w:pPr>
        <w:ind w:left="6660" w:hanging="180"/>
      </w:pPr>
    </w:lvl>
  </w:abstractNum>
  <w:abstractNum w:abstractNumId="17" w15:restartNumberingAfterBreak="0">
    <w:nsid w:val="67A03810"/>
    <w:multiLevelType w:val="hybridMultilevel"/>
    <w:tmpl w:val="FCC476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ACB30C1"/>
    <w:multiLevelType w:val="hybridMultilevel"/>
    <w:tmpl w:val="6C30E90E"/>
    <w:lvl w:ilvl="0" w:tplc="F998D734">
      <w:start w:val="658"/>
      <w:numFmt w:val="bullet"/>
      <w:lvlText w:val=""/>
      <w:lvlJc w:val="left"/>
      <w:pPr>
        <w:ind w:left="1080" w:hanging="360"/>
      </w:pPr>
      <w:rPr>
        <w:rFonts w:ascii="Symbol" w:eastAsia="Calibri" w:hAnsi="Symbol"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6DA64451"/>
    <w:multiLevelType w:val="hybridMultilevel"/>
    <w:tmpl w:val="206892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71964ADE"/>
    <w:multiLevelType w:val="hybridMultilevel"/>
    <w:tmpl w:val="BF22F9F2"/>
    <w:lvl w:ilvl="0" w:tplc="0409000F">
      <w:start w:val="1"/>
      <w:numFmt w:val="decimal"/>
      <w:lvlText w:val="%1."/>
      <w:lvlJc w:val="left"/>
      <w:pPr>
        <w:ind w:left="1426" w:hanging="360"/>
      </w:pPr>
    </w:lvl>
    <w:lvl w:ilvl="1" w:tplc="04090019" w:tentative="1">
      <w:start w:val="1"/>
      <w:numFmt w:val="lowerLetter"/>
      <w:lvlText w:val="%2."/>
      <w:lvlJc w:val="left"/>
      <w:pPr>
        <w:ind w:left="2146" w:hanging="360"/>
      </w:pPr>
    </w:lvl>
    <w:lvl w:ilvl="2" w:tplc="0409001B" w:tentative="1">
      <w:start w:val="1"/>
      <w:numFmt w:val="lowerRoman"/>
      <w:lvlText w:val="%3."/>
      <w:lvlJc w:val="right"/>
      <w:pPr>
        <w:ind w:left="2866" w:hanging="180"/>
      </w:pPr>
    </w:lvl>
    <w:lvl w:ilvl="3" w:tplc="0409000F" w:tentative="1">
      <w:start w:val="1"/>
      <w:numFmt w:val="decimal"/>
      <w:lvlText w:val="%4."/>
      <w:lvlJc w:val="left"/>
      <w:pPr>
        <w:ind w:left="3586" w:hanging="360"/>
      </w:pPr>
    </w:lvl>
    <w:lvl w:ilvl="4" w:tplc="04090019" w:tentative="1">
      <w:start w:val="1"/>
      <w:numFmt w:val="lowerLetter"/>
      <w:lvlText w:val="%5."/>
      <w:lvlJc w:val="left"/>
      <w:pPr>
        <w:ind w:left="4306" w:hanging="360"/>
      </w:pPr>
    </w:lvl>
    <w:lvl w:ilvl="5" w:tplc="0409001B" w:tentative="1">
      <w:start w:val="1"/>
      <w:numFmt w:val="lowerRoman"/>
      <w:lvlText w:val="%6."/>
      <w:lvlJc w:val="right"/>
      <w:pPr>
        <w:ind w:left="5026" w:hanging="180"/>
      </w:pPr>
    </w:lvl>
    <w:lvl w:ilvl="6" w:tplc="0409000F" w:tentative="1">
      <w:start w:val="1"/>
      <w:numFmt w:val="decimal"/>
      <w:lvlText w:val="%7."/>
      <w:lvlJc w:val="left"/>
      <w:pPr>
        <w:ind w:left="5746" w:hanging="360"/>
      </w:pPr>
    </w:lvl>
    <w:lvl w:ilvl="7" w:tplc="04090019" w:tentative="1">
      <w:start w:val="1"/>
      <w:numFmt w:val="lowerLetter"/>
      <w:lvlText w:val="%8."/>
      <w:lvlJc w:val="left"/>
      <w:pPr>
        <w:ind w:left="6466" w:hanging="360"/>
      </w:pPr>
    </w:lvl>
    <w:lvl w:ilvl="8" w:tplc="0409001B" w:tentative="1">
      <w:start w:val="1"/>
      <w:numFmt w:val="lowerRoman"/>
      <w:lvlText w:val="%9."/>
      <w:lvlJc w:val="right"/>
      <w:pPr>
        <w:ind w:left="7186" w:hanging="180"/>
      </w:pPr>
    </w:lvl>
  </w:abstractNum>
  <w:num w:numId="1" w16cid:durableId="276838425">
    <w:abstractNumId w:val="19"/>
  </w:num>
  <w:num w:numId="2" w16cid:durableId="1197893016">
    <w:abstractNumId w:val="1"/>
  </w:num>
  <w:num w:numId="3" w16cid:durableId="1296257266">
    <w:abstractNumId w:val="0"/>
  </w:num>
  <w:num w:numId="4" w16cid:durableId="959604593">
    <w:abstractNumId w:val="9"/>
  </w:num>
  <w:num w:numId="5" w16cid:durableId="955253256">
    <w:abstractNumId w:val="13"/>
  </w:num>
  <w:num w:numId="6" w16cid:durableId="949436192">
    <w:abstractNumId w:val="14"/>
  </w:num>
  <w:num w:numId="7" w16cid:durableId="67267575">
    <w:abstractNumId w:val="4"/>
  </w:num>
  <w:num w:numId="8" w16cid:durableId="751119705">
    <w:abstractNumId w:val="8"/>
  </w:num>
  <w:num w:numId="9" w16cid:durableId="1520922647">
    <w:abstractNumId w:val="12"/>
  </w:num>
  <w:num w:numId="10" w16cid:durableId="592981964">
    <w:abstractNumId w:val="18"/>
  </w:num>
  <w:num w:numId="11" w16cid:durableId="2143036183">
    <w:abstractNumId w:val="11"/>
  </w:num>
  <w:num w:numId="12" w16cid:durableId="2026787903">
    <w:abstractNumId w:val="6"/>
  </w:num>
  <w:num w:numId="13" w16cid:durableId="1876845770">
    <w:abstractNumId w:val="7"/>
  </w:num>
  <w:num w:numId="14" w16cid:durableId="1494293590">
    <w:abstractNumId w:val="2"/>
  </w:num>
  <w:num w:numId="15" w16cid:durableId="1934240100">
    <w:abstractNumId w:val="5"/>
  </w:num>
  <w:num w:numId="16" w16cid:durableId="144905856">
    <w:abstractNumId w:val="17"/>
  </w:num>
  <w:num w:numId="17" w16cid:durableId="1506167419">
    <w:abstractNumId w:val="3"/>
  </w:num>
  <w:num w:numId="18" w16cid:durableId="1974630674">
    <w:abstractNumId w:val="10"/>
  </w:num>
  <w:num w:numId="19" w16cid:durableId="142157872">
    <w:abstractNumId w:val="20"/>
  </w:num>
  <w:num w:numId="20" w16cid:durableId="117844351">
    <w:abstractNumId w:val="15"/>
  </w:num>
  <w:num w:numId="21" w16cid:durableId="4641672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removePersonalInformation/>
  <w:removeDateAndTime/>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it-IT" w:vendorID="64" w:dllVersion="0" w:nlCheck="1" w:checkStyle="0"/>
  <w:activeWritingStyle w:appName="MSWord" w:lang="es-ES" w:vendorID="64" w:dllVersion="4096" w:nlCheck="1" w:checkStyle="0"/>
  <w:activeWritingStyle w:appName="MSWord" w:lang="es-ES" w:vendorID="64" w:dllVersion="6" w:nlCheck="1" w:checkStyle="0"/>
  <w:activeWritingStyle w:appName="MSWord" w:lang="it-IT" w:vendorID="64" w:dllVersion="4096" w:nlCheck="1" w:checkStyle="0"/>
  <w:activeWritingStyle w:appName="MSWord" w:lang="fr-FR" w:vendorID="64" w:dllVersion="6" w:nlCheck="1" w:checkStyle="0"/>
  <w:activeWritingStyle w:appName="MSWord" w:lang="en-US" w:vendorID="64" w:dllVersion="0" w:nlCheck="1" w:checkStyle="0"/>
  <w:activeWritingStyle w:appName="MSWord" w:lang="en-GB" w:vendorID="64" w:dllVersion="0" w:nlCheck="1" w:checkStyle="0"/>
  <w:activeWritingStyle w:appName="MSWord" w:lang="fr-FR" w:vendorID="64" w:dllVersion="0" w:nlCheck="1" w:checkStyle="0"/>
  <w:activeWritingStyle w:appName="MSWord" w:lang="es-ES" w:vendorID="64" w:dllVersion="0"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0&lt;/Enabled&gt;&lt;ScanUnformatted&gt;1&lt;/ScanUnformatted&gt;&lt;ScanChanges&gt;1&lt;/ScanChanges&gt;&lt;Suspended&gt;0&lt;/Suspended&gt;&lt;/ENInstantFormat&gt;"/>
    <w:docVar w:name="EN.Layout" w:val="&lt;ENLayout&gt;&lt;Style&gt;Academy Management Review&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s>
  <w:rsids>
    <w:rsidRoot w:val="00F74DE0"/>
    <w:rsid w:val="000002BF"/>
    <w:rsid w:val="00000564"/>
    <w:rsid w:val="00000883"/>
    <w:rsid w:val="00000A17"/>
    <w:rsid w:val="00000E14"/>
    <w:rsid w:val="00000F36"/>
    <w:rsid w:val="00002CDF"/>
    <w:rsid w:val="00003BF5"/>
    <w:rsid w:val="00003EB2"/>
    <w:rsid w:val="00004940"/>
    <w:rsid w:val="0000535C"/>
    <w:rsid w:val="00005A57"/>
    <w:rsid w:val="00005AD8"/>
    <w:rsid w:val="000060FA"/>
    <w:rsid w:val="00007321"/>
    <w:rsid w:val="00010BC8"/>
    <w:rsid w:val="000115BE"/>
    <w:rsid w:val="00011F27"/>
    <w:rsid w:val="000128CC"/>
    <w:rsid w:val="00012A67"/>
    <w:rsid w:val="00012DA1"/>
    <w:rsid w:val="00013084"/>
    <w:rsid w:val="0001362E"/>
    <w:rsid w:val="00013F6C"/>
    <w:rsid w:val="00015364"/>
    <w:rsid w:val="00016557"/>
    <w:rsid w:val="000166BE"/>
    <w:rsid w:val="000166E0"/>
    <w:rsid w:val="00016D6D"/>
    <w:rsid w:val="00017816"/>
    <w:rsid w:val="00020AB0"/>
    <w:rsid w:val="00020B8C"/>
    <w:rsid w:val="0002122D"/>
    <w:rsid w:val="00021633"/>
    <w:rsid w:val="000218DF"/>
    <w:rsid w:val="000223F8"/>
    <w:rsid w:val="000230BD"/>
    <w:rsid w:val="000237E4"/>
    <w:rsid w:val="00024907"/>
    <w:rsid w:val="00024AE7"/>
    <w:rsid w:val="00024EC3"/>
    <w:rsid w:val="000257EA"/>
    <w:rsid w:val="00025CBD"/>
    <w:rsid w:val="00026D9C"/>
    <w:rsid w:val="00027F64"/>
    <w:rsid w:val="0003012F"/>
    <w:rsid w:val="00030943"/>
    <w:rsid w:val="0003140D"/>
    <w:rsid w:val="0003141C"/>
    <w:rsid w:val="00031840"/>
    <w:rsid w:val="000322FE"/>
    <w:rsid w:val="00032682"/>
    <w:rsid w:val="00032C9F"/>
    <w:rsid w:val="00033BC0"/>
    <w:rsid w:val="00033C85"/>
    <w:rsid w:val="00034849"/>
    <w:rsid w:val="00034B65"/>
    <w:rsid w:val="00035781"/>
    <w:rsid w:val="000357AB"/>
    <w:rsid w:val="000365D1"/>
    <w:rsid w:val="00036668"/>
    <w:rsid w:val="000366B6"/>
    <w:rsid w:val="00036ADA"/>
    <w:rsid w:val="00036D29"/>
    <w:rsid w:val="00040037"/>
    <w:rsid w:val="0004033A"/>
    <w:rsid w:val="00040D2C"/>
    <w:rsid w:val="000417C0"/>
    <w:rsid w:val="000421BC"/>
    <w:rsid w:val="00042BF6"/>
    <w:rsid w:val="00043646"/>
    <w:rsid w:val="00043892"/>
    <w:rsid w:val="00043D23"/>
    <w:rsid w:val="000444F2"/>
    <w:rsid w:val="00044DB2"/>
    <w:rsid w:val="0004559E"/>
    <w:rsid w:val="00045DBB"/>
    <w:rsid w:val="00046D3A"/>
    <w:rsid w:val="00046E2B"/>
    <w:rsid w:val="0004798B"/>
    <w:rsid w:val="000503BB"/>
    <w:rsid w:val="00050585"/>
    <w:rsid w:val="000512FC"/>
    <w:rsid w:val="000514A8"/>
    <w:rsid w:val="000521FC"/>
    <w:rsid w:val="00052520"/>
    <w:rsid w:val="000532A8"/>
    <w:rsid w:val="00054E88"/>
    <w:rsid w:val="00055943"/>
    <w:rsid w:val="00055A42"/>
    <w:rsid w:val="00055D4D"/>
    <w:rsid w:val="000565BE"/>
    <w:rsid w:val="00056834"/>
    <w:rsid w:val="00056C77"/>
    <w:rsid w:val="00056D04"/>
    <w:rsid w:val="0005709D"/>
    <w:rsid w:val="00057905"/>
    <w:rsid w:val="00060941"/>
    <w:rsid w:val="00060B8C"/>
    <w:rsid w:val="00060D41"/>
    <w:rsid w:val="00060EE0"/>
    <w:rsid w:val="000610E3"/>
    <w:rsid w:val="00061811"/>
    <w:rsid w:val="00061F60"/>
    <w:rsid w:val="00062292"/>
    <w:rsid w:val="000631F5"/>
    <w:rsid w:val="0006378C"/>
    <w:rsid w:val="00063E09"/>
    <w:rsid w:val="000648B9"/>
    <w:rsid w:val="00064F90"/>
    <w:rsid w:val="000651A6"/>
    <w:rsid w:val="0006603F"/>
    <w:rsid w:val="000676BB"/>
    <w:rsid w:val="00070B1B"/>
    <w:rsid w:val="00070ED3"/>
    <w:rsid w:val="00070F6C"/>
    <w:rsid w:val="0007220D"/>
    <w:rsid w:val="00072891"/>
    <w:rsid w:val="000729EE"/>
    <w:rsid w:val="00073F80"/>
    <w:rsid w:val="00074350"/>
    <w:rsid w:val="00074720"/>
    <w:rsid w:val="00074D74"/>
    <w:rsid w:val="00075FDE"/>
    <w:rsid w:val="00076660"/>
    <w:rsid w:val="00076B5C"/>
    <w:rsid w:val="00077689"/>
    <w:rsid w:val="0007781D"/>
    <w:rsid w:val="00077CE6"/>
    <w:rsid w:val="00077D2D"/>
    <w:rsid w:val="00077FCC"/>
    <w:rsid w:val="0008017B"/>
    <w:rsid w:val="000812D0"/>
    <w:rsid w:val="000813DE"/>
    <w:rsid w:val="000814D6"/>
    <w:rsid w:val="0008154E"/>
    <w:rsid w:val="000818CA"/>
    <w:rsid w:val="00081BA3"/>
    <w:rsid w:val="00081F66"/>
    <w:rsid w:val="0008347B"/>
    <w:rsid w:val="000834AC"/>
    <w:rsid w:val="000838AB"/>
    <w:rsid w:val="00083E15"/>
    <w:rsid w:val="0008405B"/>
    <w:rsid w:val="00084352"/>
    <w:rsid w:val="00084446"/>
    <w:rsid w:val="0008488E"/>
    <w:rsid w:val="00084AA7"/>
    <w:rsid w:val="000851F6"/>
    <w:rsid w:val="0008611B"/>
    <w:rsid w:val="00086419"/>
    <w:rsid w:val="00086A68"/>
    <w:rsid w:val="00090335"/>
    <w:rsid w:val="000905AE"/>
    <w:rsid w:val="000906AB"/>
    <w:rsid w:val="00090AE1"/>
    <w:rsid w:val="0009102B"/>
    <w:rsid w:val="000910F0"/>
    <w:rsid w:val="0009166B"/>
    <w:rsid w:val="00091A0C"/>
    <w:rsid w:val="00091D27"/>
    <w:rsid w:val="00093157"/>
    <w:rsid w:val="00094628"/>
    <w:rsid w:val="00094DD1"/>
    <w:rsid w:val="00096961"/>
    <w:rsid w:val="000976D3"/>
    <w:rsid w:val="00097A1C"/>
    <w:rsid w:val="00097FB8"/>
    <w:rsid w:val="000A00B1"/>
    <w:rsid w:val="000A03AF"/>
    <w:rsid w:val="000A0553"/>
    <w:rsid w:val="000A115C"/>
    <w:rsid w:val="000A1A9C"/>
    <w:rsid w:val="000A1CAA"/>
    <w:rsid w:val="000A1D70"/>
    <w:rsid w:val="000A1D86"/>
    <w:rsid w:val="000A2219"/>
    <w:rsid w:val="000A2FCF"/>
    <w:rsid w:val="000A3B74"/>
    <w:rsid w:val="000A4A94"/>
    <w:rsid w:val="000A6393"/>
    <w:rsid w:val="000A7310"/>
    <w:rsid w:val="000A7AC5"/>
    <w:rsid w:val="000B0F18"/>
    <w:rsid w:val="000B134A"/>
    <w:rsid w:val="000B1872"/>
    <w:rsid w:val="000B1ACB"/>
    <w:rsid w:val="000B1FB0"/>
    <w:rsid w:val="000B2AA7"/>
    <w:rsid w:val="000B2B19"/>
    <w:rsid w:val="000B37FD"/>
    <w:rsid w:val="000B3D87"/>
    <w:rsid w:val="000B4064"/>
    <w:rsid w:val="000B476F"/>
    <w:rsid w:val="000B4C1F"/>
    <w:rsid w:val="000B50BB"/>
    <w:rsid w:val="000B5655"/>
    <w:rsid w:val="000B6B0F"/>
    <w:rsid w:val="000B6F4D"/>
    <w:rsid w:val="000B6FA3"/>
    <w:rsid w:val="000B7E60"/>
    <w:rsid w:val="000C1801"/>
    <w:rsid w:val="000C1F35"/>
    <w:rsid w:val="000C1F6E"/>
    <w:rsid w:val="000C223C"/>
    <w:rsid w:val="000C22DC"/>
    <w:rsid w:val="000C2C26"/>
    <w:rsid w:val="000C2C4D"/>
    <w:rsid w:val="000C3747"/>
    <w:rsid w:val="000C4965"/>
    <w:rsid w:val="000C5032"/>
    <w:rsid w:val="000C6F31"/>
    <w:rsid w:val="000C70D6"/>
    <w:rsid w:val="000C7816"/>
    <w:rsid w:val="000D040B"/>
    <w:rsid w:val="000D04D1"/>
    <w:rsid w:val="000D084C"/>
    <w:rsid w:val="000D102B"/>
    <w:rsid w:val="000D1197"/>
    <w:rsid w:val="000D19BE"/>
    <w:rsid w:val="000D1FFC"/>
    <w:rsid w:val="000D2381"/>
    <w:rsid w:val="000D2393"/>
    <w:rsid w:val="000D471D"/>
    <w:rsid w:val="000D4ACA"/>
    <w:rsid w:val="000D5420"/>
    <w:rsid w:val="000D5719"/>
    <w:rsid w:val="000D6E67"/>
    <w:rsid w:val="000D787C"/>
    <w:rsid w:val="000D7D5C"/>
    <w:rsid w:val="000E06DA"/>
    <w:rsid w:val="000E0745"/>
    <w:rsid w:val="000E09F1"/>
    <w:rsid w:val="000E0F53"/>
    <w:rsid w:val="000E1E64"/>
    <w:rsid w:val="000E264C"/>
    <w:rsid w:val="000E2EC8"/>
    <w:rsid w:val="000E3A13"/>
    <w:rsid w:val="000E4F87"/>
    <w:rsid w:val="000E50C4"/>
    <w:rsid w:val="000E5790"/>
    <w:rsid w:val="000E5AFD"/>
    <w:rsid w:val="000E5C52"/>
    <w:rsid w:val="000E5D72"/>
    <w:rsid w:val="000E6492"/>
    <w:rsid w:val="000E7254"/>
    <w:rsid w:val="000E77FA"/>
    <w:rsid w:val="000E7EB6"/>
    <w:rsid w:val="000F013A"/>
    <w:rsid w:val="000F02AB"/>
    <w:rsid w:val="000F079F"/>
    <w:rsid w:val="000F1090"/>
    <w:rsid w:val="000F14FF"/>
    <w:rsid w:val="000F1E91"/>
    <w:rsid w:val="000F20C7"/>
    <w:rsid w:val="000F2930"/>
    <w:rsid w:val="000F29A8"/>
    <w:rsid w:val="000F336B"/>
    <w:rsid w:val="000F3E3C"/>
    <w:rsid w:val="000F3F02"/>
    <w:rsid w:val="000F4993"/>
    <w:rsid w:val="000F577D"/>
    <w:rsid w:val="000F6765"/>
    <w:rsid w:val="000F692C"/>
    <w:rsid w:val="000F6DF5"/>
    <w:rsid w:val="000F743A"/>
    <w:rsid w:val="000F79A6"/>
    <w:rsid w:val="00100467"/>
    <w:rsid w:val="0010110B"/>
    <w:rsid w:val="0010195C"/>
    <w:rsid w:val="00101A2A"/>
    <w:rsid w:val="00102D01"/>
    <w:rsid w:val="001042C9"/>
    <w:rsid w:val="00104597"/>
    <w:rsid w:val="00104792"/>
    <w:rsid w:val="00104B50"/>
    <w:rsid w:val="00104F46"/>
    <w:rsid w:val="0010520C"/>
    <w:rsid w:val="00105724"/>
    <w:rsid w:val="00105A84"/>
    <w:rsid w:val="0010677E"/>
    <w:rsid w:val="00107844"/>
    <w:rsid w:val="00107E24"/>
    <w:rsid w:val="00107EE4"/>
    <w:rsid w:val="001101FA"/>
    <w:rsid w:val="00110F24"/>
    <w:rsid w:val="00111476"/>
    <w:rsid w:val="00111492"/>
    <w:rsid w:val="00111539"/>
    <w:rsid w:val="00112362"/>
    <w:rsid w:val="0011241B"/>
    <w:rsid w:val="0011293D"/>
    <w:rsid w:val="00112B03"/>
    <w:rsid w:val="00113722"/>
    <w:rsid w:val="00113846"/>
    <w:rsid w:val="00113896"/>
    <w:rsid w:val="00113B23"/>
    <w:rsid w:val="001149DD"/>
    <w:rsid w:val="00114AA9"/>
    <w:rsid w:val="00114EC8"/>
    <w:rsid w:val="00115B5F"/>
    <w:rsid w:val="001163C1"/>
    <w:rsid w:val="0011642F"/>
    <w:rsid w:val="00116A3D"/>
    <w:rsid w:val="00116DAE"/>
    <w:rsid w:val="00117014"/>
    <w:rsid w:val="001175EF"/>
    <w:rsid w:val="00117B1B"/>
    <w:rsid w:val="00120174"/>
    <w:rsid w:val="00120A43"/>
    <w:rsid w:val="001216B1"/>
    <w:rsid w:val="0012174B"/>
    <w:rsid w:val="00121A9F"/>
    <w:rsid w:val="00121C19"/>
    <w:rsid w:val="001229E6"/>
    <w:rsid w:val="00122CF1"/>
    <w:rsid w:val="00123359"/>
    <w:rsid w:val="00123491"/>
    <w:rsid w:val="00123642"/>
    <w:rsid w:val="0012381F"/>
    <w:rsid w:val="001239FA"/>
    <w:rsid w:val="00123E1B"/>
    <w:rsid w:val="00124231"/>
    <w:rsid w:val="0012428F"/>
    <w:rsid w:val="00125908"/>
    <w:rsid w:val="00125A9B"/>
    <w:rsid w:val="00125C83"/>
    <w:rsid w:val="00125EB1"/>
    <w:rsid w:val="0013012B"/>
    <w:rsid w:val="0013030A"/>
    <w:rsid w:val="00130703"/>
    <w:rsid w:val="00130834"/>
    <w:rsid w:val="00130B0C"/>
    <w:rsid w:val="00130C9C"/>
    <w:rsid w:val="001311C9"/>
    <w:rsid w:val="001311CC"/>
    <w:rsid w:val="00131BD2"/>
    <w:rsid w:val="00131F52"/>
    <w:rsid w:val="00132377"/>
    <w:rsid w:val="00132379"/>
    <w:rsid w:val="001331D1"/>
    <w:rsid w:val="00133460"/>
    <w:rsid w:val="0013349E"/>
    <w:rsid w:val="001335FA"/>
    <w:rsid w:val="00133925"/>
    <w:rsid w:val="00133C67"/>
    <w:rsid w:val="00134756"/>
    <w:rsid w:val="00134944"/>
    <w:rsid w:val="00134B7E"/>
    <w:rsid w:val="00135FF4"/>
    <w:rsid w:val="00136971"/>
    <w:rsid w:val="00136B3E"/>
    <w:rsid w:val="0013737D"/>
    <w:rsid w:val="001412E7"/>
    <w:rsid w:val="0014140D"/>
    <w:rsid w:val="0014166D"/>
    <w:rsid w:val="0014172A"/>
    <w:rsid w:val="0014193D"/>
    <w:rsid w:val="00142052"/>
    <w:rsid w:val="001423B7"/>
    <w:rsid w:val="00143A43"/>
    <w:rsid w:val="0014479F"/>
    <w:rsid w:val="00144E62"/>
    <w:rsid w:val="00144F5E"/>
    <w:rsid w:val="0014568F"/>
    <w:rsid w:val="0014596F"/>
    <w:rsid w:val="00145BC1"/>
    <w:rsid w:val="0014607D"/>
    <w:rsid w:val="001461D0"/>
    <w:rsid w:val="00147005"/>
    <w:rsid w:val="0014708F"/>
    <w:rsid w:val="0014719D"/>
    <w:rsid w:val="001503D1"/>
    <w:rsid w:val="00150B03"/>
    <w:rsid w:val="00150B0C"/>
    <w:rsid w:val="00150B7A"/>
    <w:rsid w:val="00150DD0"/>
    <w:rsid w:val="00151295"/>
    <w:rsid w:val="00151789"/>
    <w:rsid w:val="00151804"/>
    <w:rsid w:val="0015332D"/>
    <w:rsid w:val="00153AC2"/>
    <w:rsid w:val="00154102"/>
    <w:rsid w:val="00154298"/>
    <w:rsid w:val="001546DA"/>
    <w:rsid w:val="00154B35"/>
    <w:rsid w:val="001554D1"/>
    <w:rsid w:val="00156FF4"/>
    <w:rsid w:val="0015771D"/>
    <w:rsid w:val="0015772B"/>
    <w:rsid w:val="001579B2"/>
    <w:rsid w:val="00160288"/>
    <w:rsid w:val="0016080F"/>
    <w:rsid w:val="00160FF0"/>
    <w:rsid w:val="00161240"/>
    <w:rsid w:val="0016136C"/>
    <w:rsid w:val="0016157E"/>
    <w:rsid w:val="00161D12"/>
    <w:rsid w:val="001632C7"/>
    <w:rsid w:val="001635A9"/>
    <w:rsid w:val="00164522"/>
    <w:rsid w:val="00165975"/>
    <w:rsid w:val="00166409"/>
    <w:rsid w:val="00166898"/>
    <w:rsid w:val="001669D5"/>
    <w:rsid w:val="00166AFB"/>
    <w:rsid w:val="00166C82"/>
    <w:rsid w:val="00166D87"/>
    <w:rsid w:val="00167152"/>
    <w:rsid w:val="00167972"/>
    <w:rsid w:val="00167E38"/>
    <w:rsid w:val="001704B2"/>
    <w:rsid w:val="00170F18"/>
    <w:rsid w:val="00170F5E"/>
    <w:rsid w:val="0017107A"/>
    <w:rsid w:val="00171222"/>
    <w:rsid w:val="001713F3"/>
    <w:rsid w:val="00171566"/>
    <w:rsid w:val="00171E57"/>
    <w:rsid w:val="001723DE"/>
    <w:rsid w:val="00172B0F"/>
    <w:rsid w:val="00173DB8"/>
    <w:rsid w:val="00173F8A"/>
    <w:rsid w:val="00173FB3"/>
    <w:rsid w:val="00174B2A"/>
    <w:rsid w:val="00175168"/>
    <w:rsid w:val="001759EB"/>
    <w:rsid w:val="00176932"/>
    <w:rsid w:val="00176E50"/>
    <w:rsid w:val="00176F64"/>
    <w:rsid w:val="00181585"/>
    <w:rsid w:val="00181607"/>
    <w:rsid w:val="001819D6"/>
    <w:rsid w:val="001828CA"/>
    <w:rsid w:val="00182E8C"/>
    <w:rsid w:val="0018326F"/>
    <w:rsid w:val="00183999"/>
    <w:rsid w:val="00183B1F"/>
    <w:rsid w:val="00183DA3"/>
    <w:rsid w:val="00183FA2"/>
    <w:rsid w:val="0018465E"/>
    <w:rsid w:val="00184A54"/>
    <w:rsid w:val="00184A71"/>
    <w:rsid w:val="001872AA"/>
    <w:rsid w:val="001873F9"/>
    <w:rsid w:val="0018759A"/>
    <w:rsid w:val="00187BDB"/>
    <w:rsid w:val="00187C51"/>
    <w:rsid w:val="00187C79"/>
    <w:rsid w:val="00187FFE"/>
    <w:rsid w:val="0019045C"/>
    <w:rsid w:val="00191EFC"/>
    <w:rsid w:val="00192453"/>
    <w:rsid w:val="00193DDA"/>
    <w:rsid w:val="00194477"/>
    <w:rsid w:val="001950F1"/>
    <w:rsid w:val="00195D19"/>
    <w:rsid w:val="001961A4"/>
    <w:rsid w:val="0019628F"/>
    <w:rsid w:val="001968C0"/>
    <w:rsid w:val="001973A1"/>
    <w:rsid w:val="00197B73"/>
    <w:rsid w:val="001A02C7"/>
    <w:rsid w:val="001A04A9"/>
    <w:rsid w:val="001A0CDB"/>
    <w:rsid w:val="001A0D1F"/>
    <w:rsid w:val="001A0E21"/>
    <w:rsid w:val="001A1D3D"/>
    <w:rsid w:val="001A2EB7"/>
    <w:rsid w:val="001A319E"/>
    <w:rsid w:val="001A31FE"/>
    <w:rsid w:val="001A4395"/>
    <w:rsid w:val="001A4687"/>
    <w:rsid w:val="001A4B6B"/>
    <w:rsid w:val="001A50D4"/>
    <w:rsid w:val="001A585B"/>
    <w:rsid w:val="001A5E1F"/>
    <w:rsid w:val="001A665B"/>
    <w:rsid w:val="001A69AD"/>
    <w:rsid w:val="001A6CA1"/>
    <w:rsid w:val="001A774C"/>
    <w:rsid w:val="001A7973"/>
    <w:rsid w:val="001A7C17"/>
    <w:rsid w:val="001A7F52"/>
    <w:rsid w:val="001B04FD"/>
    <w:rsid w:val="001B12D4"/>
    <w:rsid w:val="001B140A"/>
    <w:rsid w:val="001B21D1"/>
    <w:rsid w:val="001B2506"/>
    <w:rsid w:val="001B28BD"/>
    <w:rsid w:val="001B3A97"/>
    <w:rsid w:val="001B3D0C"/>
    <w:rsid w:val="001B5318"/>
    <w:rsid w:val="001B54EA"/>
    <w:rsid w:val="001B5C1E"/>
    <w:rsid w:val="001C017F"/>
    <w:rsid w:val="001C0342"/>
    <w:rsid w:val="001C0D2A"/>
    <w:rsid w:val="001C15D4"/>
    <w:rsid w:val="001C162A"/>
    <w:rsid w:val="001C1699"/>
    <w:rsid w:val="001C2020"/>
    <w:rsid w:val="001C233F"/>
    <w:rsid w:val="001C38A9"/>
    <w:rsid w:val="001C42E3"/>
    <w:rsid w:val="001C453A"/>
    <w:rsid w:val="001C4801"/>
    <w:rsid w:val="001C49DB"/>
    <w:rsid w:val="001C549A"/>
    <w:rsid w:val="001C5E78"/>
    <w:rsid w:val="001C5E93"/>
    <w:rsid w:val="001C617E"/>
    <w:rsid w:val="001C63C2"/>
    <w:rsid w:val="001C671C"/>
    <w:rsid w:val="001C7A8A"/>
    <w:rsid w:val="001C7C70"/>
    <w:rsid w:val="001D04B8"/>
    <w:rsid w:val="001D0573"/>
    <w:rsid w:val="001D081F"/>
    <w:rsid w:val="001D0ABF"/>
    <w:rsid w:val="001D12F1"/>
    <w:rsid w:val="001D1383"/>
    <w:rsid w:val="001D22CD"/>
    <w:rsid w:val="001D28D3"/>
    <w:rsid w:val="001D30DB"/>
    <w:rsid w:val="001D34F4"/>
    <w:rsid w:val="001D35E2"/>
    <w:rsid w:val="001D35E7"/>
    <w:rsid w:val="001D3B36"/>
    <w:rsid w:val="001D3F60"/>
    <w:rsid w:val="001D3F71"/>
    <w:rsid w:val="001D4577"/>
    <w:rsid w:val="001D478A"/>
    <w:rsid w:val="001D5540"/>
    <w:rsid w:val="001D5754"/>
    <w:rsid w:val="001D58B8"/>
    <w:rsid w:val="001D5C3C"/>
    <w:rsid w:val="001D5F10"/>
    <w:rsid w:val="001D622B"/>
    <w:rsid w:val="001D6626"/>
    <w:rsid w:val="001D6A3D"/>
    <w:rsid w:val="001D6DEB"/>
    <w:rsid w:val="001D7570"/>
    <w:rsid w:val="001E00CF"/>
    <w:rsid w:val="001E0119"/>
    <w:rsid w:val="001E059E"/>
    <w:rsid w:val="001E0E40"/>
    <w:rsid w:val="001E1B61"/>
    <w:rsid w:val="001E1BF1"/>
    <w:rsid w:val="001E21C3"/>
    <w:rsid w:val="001E275E"/>
    <w:rsid w:val="001E3D8B"/>
    <w:rsid w:val="001E41E9"/>
    <w:rsid w:val="001E50B1"/>
    <w:rsid w:val="001E5BD0"/>
    <w:rsid w:val="001E5CB5"/>
    <w:rsid w:val="001E68A7"/>
    <w:rsid w:val="001E6FF9"/>
    <w:rsid w:val="001E715C"/>
    <w:rsid w:val="001E772D"/>
    <w:rsid w:val="001E7B68"/>
    <w:rsid w:val="001F0C54"/>
    <w:rsid w:val="001F0C69"/>
    <w:rsid w:val="001F1644"/>
    <w:rsid w:val="001F2AE2"/>
    <w:rsid w:val="001F2FF1"/>
    <w:rsid w:val="001F3443"/>
    <w:rsid w:val="001F36FC"/>
    <w:rsid w:val="001F39AD"/>
    <w:rsid w:val="001F3F28"/>
    <w:rsid w:val="001F3FF7"/>
    <w:rsid w:val="001F407B"/>
    <w:rsid w:val="001F52D2"/>
    <w:rsid w:val="001F607E"/>
    <w:rsid w:val="001F626A"/>
    <w:rsid w:val="001F6764"/>
    <w:rsid w:val="001F6D6E"/>
    <w:rsid w:val="001F7D41"/>
    <w:rsid w:val="002001AD"/>
    <w:rsid w:val="00201A7F"/>
    <w:rsid w:val="002024BA"/>
    <w:rsid w:val="002027F0"/>
    <w:rsid w:val="00202998"/>
    <w:rsid w:val="00202E7D"/>
    <w:rsid w:val="002039A3"/>
    <w:rsid w:val="00203B8A"/>
    <w:rsid w:val="00204406"/>
    <w:rsid w:val="002045AB"/>
    <w:rsid w:val="00204BD4"/>
    <w:rsid w:val="00204E23"/>
    <w:rsid w:val="00204FD2"/>
    <w:rsid w:val="00205062"/>
    <w:rsid w:val="002050A4"/>
    <w:rsid w:val="002056B7"/>
    <w:rsid w:val="0020616F"/>
    <w:rsid w:val="00206549"/>
    <w:rsid w:val="00206681"/>
    <w:rsid w:val="0020691C"/>
    <w:rsid w:val="0020693C"/>
    <w:rsid w:val="00206E55"/>
    <w:rsid w:val="00207040"/>
    <w:rsid w:val="00207DD2"/>
    <w:rsid w:val="002102EF"/>
    <w:rsid w:val="00210387"/>
    <w:rsid w:val="002114FF"/>
    <w:rsid w:val="00212261"/>
    <w:rsid w:val="00212FB6"/>
    <w:rsid w:val="00213E38"/>
    <w:rsid w:val="002144A6"/>
    <w:rsid w:val="0021519D"/>
    <w:rsid w:val="00215486"/>
    <w:rsid w:val="00216839"/>
    <w:rsid w:val="002174FC"/>
    <w:rsid w:val="0021768C"/>
    <w:rsid w:val="00220348"/>
    <w:rsid w:val="00220AF7"/>
    <w:rsid w:val="00220E67"/>
    <w:rsid w:val="00220FDA"/>
    <w:rsid w:val="0022160E"/>
    <w:rsid w:val="00221FCF"/>
    <w:rsid w:val="0022209D"/>
    <w:rsid w:val="00222294"/>
    <w:rsid w:val="00222CD3"/>
    <w:rsid w:val="00223931"/>
    <w:rsid w:val="00224CCC"/>
    <w:rsid w:val="00224F89"/>
    <w:rsid w:val="002254D5"/>
    <w:rsid w:val="002263DA"/>
    <w:rsid w:val="00227A02"/>
    <w:rsid w:val="00227F6D"/>
    <w:rsid w:val="002320E2"/>
    <w:rsid w:val="00232118"/>
    <w:rsid w:val="002324CC"/>
    <w:rsid w:val="00232B94"/>
    <w:rsid w:val="00233168"/>
    <w:rsid w:val="00233824"/>
    <w:rsid w:val="002346AB"/>
    <w:rsid w:val="00235304"/>
    <w:rsid w:val="00235AEE"/>
    <w:rsid w:val="00235DF3"/>
    <w:rsid w:val="00236036"/>
    <w:rsid w:val="00236246"/>
    <w:rsid w:val="0023644B"/>
    <w:rsid w:val="00236BD5"/>
    <w:rsid w:val="00237661"/>
    <w:rsid w:val="00237B62"/>
    <w:rsid w:val="00240522"/>
    <w:rsid w:val="00240714"/>
    <w:rsid w:val="002418AB"/>
    <w:rsid w:val="00241940"/>
    <w:rsid w:val="00241AE0"/>
    <w:rsid w:val="00241F38"/>
    <w:rsid w:val="00243249"/>
    <w:rsid w:val="00243B98"/>
    <w:rsid w:val="00244103"/>
    <w:rsid w:val="002457B3"/>
    <w:rsid w:val="00247744"/>
    <w:rsid w:val="00250AFD"/>
    <w:rsid w:val="0025188F"/>
    <w:rsid w:val="0025280B"/>
    <w:rsid w:val="002528AB"/>
    <w:rsid w:val="00252EB0"/>
    <w:rsid w:val="002536C0"/>
    <w:rsid w:val="00253A0E"/>
    <w:rsid w:val="00254759"/>
    <w:rsid w:val="002557E1"/>
    <w:rsid w:val="00255972"/>
    <w:rsid w:val="002563F6"/>
    <w:rsid w:val="0025739A"/>
    <w:rsid w:val="002605D5"/>
    <w:rsid w:val="00261446"/>
    <w:rsid w:val="002618FA"/>
    <w:rsid w:val="00261D61"/>
    <w:rsid w:val="00262961"/>
    <w:rsid w:val="0026298E"/>
    <w:rsid w:val="00262D1E"/>
    <w:rsid w:val="00262D2A"/>
    <w:rsid w:val="002633D0"/>
    <w:rsid w:val="00263755"/>
    <w:rsid w:val="002639C3"/>
    <w:rsid w:val="00263B0E"/>
    <w:rsid w:val="0026414E"/>
    <w:rsid w:val="00264E48"/>
    <w:rsid w:val="00265810"/>
    <w:rsid w:val="00265C48"/>
    <w:rsid w:val="00266B51"/>
    <w:rsid w:val="00266DC6"/>
    <w:rsid w:val="0026769E"/>
    <w:rsid w:val="00267B01"/>
    <w:rsid w:val="00267E39"/>
    <w:rsid w:val="0027045B"/>
    <w:rsid w:val="00270491"/>
    <w:rsid w:val="00271556"/>
    <w:rsid w:val="0027167D"/>
    <w:rsid w:val="00271EF6"/>
    <w:rsid w:val="00271F16"/>
    <w:rsid w:val="00272320"/>
    <w:rsid w:val="00272930"/>
    <w:rsid w:val="002733EA"/>
    <w:rsid w:val="002734F6"/>
    <w:rsid w:val="0027351E"/>
    <w:rsid w:val="002742A5"/>
    <w:rsid w:val="00274879"/>
    <w:rsid w:val="002752F8"/>
    <w:rsid w:val="00275344"/>
    <w:rsid w:val="0027560E"/>
    <w:rsid w:val="00275AA1"/>
    <w:rsid w:val="00277256"/>
    <w:rsid w:val="00277496"/>
    <w:rsid w:val="002779B7"/>
    <w:rsid w:val="0028115C"/>
    <w:rsid w:val="00281888"/>
    <w:rsid w:val="00281A8E"/>
    <w:rsid w:val="00281B0E"/>
    <w:rsid w:val="00281C6E"/>
    <w:rsid w:val="00282EA4"/>
    <w:rsid w:val="00282F09"/>
    <w:rsid w:val="002833EE"/>
    <w:rsid w:val="002835B7"/>
    <w:rsid w:val="0028363E"/>
    <w:rsid w:val="00284ACD"/>
    <w:rsid w:val="00285A95"/>
    <w:rsid w:val="002863DF"/>
    <w:rsid w:val="0028681E"/>
    <w:rsid w:val="00287429"/>
    <w:rsid w:val="002874D3"/>
    <w:rsid w:val="00287596"/>
    <w:rsid w:val="00287AA2"/>
    <w:rsid w:val="00287E81"/>
    <w:rsid w:val="00287FF2"/>
    <w:rsid w:val="00290198"/>
    <w:rsid w:val="00290666"/>
    <w:rsid w:val="00290680"/>
    <w:rsid w:val="00290683"/>
    <w:rsid w:val="002908D4"/>
    <w:rsid w:val="0029136F"/>
    <w:rsid w:val="002913BE"/>
    <w:rsid w:val="002916D5"/>
    <w:rsid w:val="00291D6A"/>
    <w:rsid w:val="002921D0"/>
    <w:rsid w:val="002927A3"/>
    <w:rsid w:val="0029293D"/>
    <w:rsid w:val="002929D7"/>
    <w:rsid w:val="00293550"/>
    <w:rsid w:val="00293A47"/>
    <w:rsid w:val="00293BC3"/>
    <w:rsid w:val="00293EEB"/>
    <w:rsid w:val="002947A6"/>
    <w:rsid w:val="00294A75"/>
    <w:rsid w:val="00294F5C"/>
    <w:rsid w:val="00295184"/>
    <w:rsid w:val="0029630C"/>
    <w:rsid w:val="002969B4"/>
    <w:rsid w:val="00296F30"/>
    <w:rsid w:val="0029741A"/>
    <w:rsid w:val="002A0179"/>
    <w:rsid w:val="002A0510"/>
    <w:rsid w:val="002A0685"/>
    <w:rsid w:val="002A150B"/>
    <w:rsid w:val="002A165B"/>
    <w:rsid w:val="002A2F59"/>
    <w:rsid w:val="002A3225"/>
    <w:rsid w:val="002A3958"/>
    <w:rsid w:val="002A3A53"/>
    <w:rsid w:val="002A4485"/>
    <w:rsid w:val="002A4733"/>
    <w:rsid w:val="002A4F2A"/>
    <w:rsid w:val="002A59E8"/>
    <w:rsid w:val="002A6422"/>
    <w:rsid w:val="002A700F"/>
    <w:rsid w:val="002B07AF"/>
    <w:rsid w:val="002B0A99"/>
    <w:rsid w:val="002B1119"/>
    <w:rsid w:val="002B1A70"/>
    <w:rsid w:val="002B27FE"/>
    <w:rsid w:val="002B2C15"/>
    <w:rsid w:val="002B2CDB"/>
    <w:rsid w:val="002B2F2E"/>
    <w:rsid w:val="002B311A"/>
    <w:rsid w:val="002B3844"/>
    <w:rsid w:val="002B3F7A"/>
    <w:rsid w:val="002B4645"/>
    <w:rsid w:val="002B5614"/>
    <w:rsid w:val="002B6EBD"/>
    <w:rsid w:val="002B746F"/>
    <w:rsid w:val="002B7701"/>
    <w:rsid w:val="002B7F20"/>
    <w:rsid w:val="002C0542"/>
    <w:rsid w:val="002C0862"/>
    <w:rsid w:val="002C0DDE"/>
    <w:rsid w:val="002C1068"/>
    <w:rsid w:val="002C1BDE"/>
    <w:rsid w:val="002C1BF9"/>
    <w:rsid w:val="002C233F"/>
    <w:rsid w:val="002C358C"/>
    <w:rsid w:val="002C37B0"/>
    <w:rsid w:val="002C3845"/>
    <w:rsid w:val="002C3CB4"/>
    <w:rsid w:val="002C5277"/>
    <w:rsid w:val="002C6332"/>
    <w:rsid w:val="002C6683"/>
    <w:rsid w:val="002C6DE9"/>
    <w:rsid w:val="002C77EC"/>
    <w:rsid w:val="002C781A"/>
    <w:rsid w:val="002D0750"/>
    <w:rsid w:val="002D0FA2"/>
    <w:rsid w:val="002D1634"/>
    <w:rsid w:val="002D2447"/>
    <w:rsid w:val="002D3DFE"/>
    <w:rsid w:val="002D3EC7"/>
    <w:rsid w:val="002D475E"/>
    <w:rsid w:val="002D4B62"/>
    <w:rsid w:val="002D51B8"/>
    <w:rsid w:val="002D628E"/>
    <w:rsid w:val="002D732C"/>
    <w:rsid w:val="002D768F"/>
    <w:rsid w:val="002E0049"/>
    <w:rsid w:val="002E035D"/>
    <w:rsid w:val="002E0AA5"/>
    <w:rsid w:val="002E1327"/>
    <w:rsid w:val="002E1C39"/>
    <w:rsid w:val="002E2099"/>
    <w:rsid w:val="002E2B9D"/>
    <w:rsid w:val="002E3C61"/>
    <w:rsid w:val="002E3F67"/>
    <w:rsid w:val="002E3FE5"/>
    <w:rsid w:val="002E441E"/>
    <w:rsid w:val="002E46AE"/>
    <w:rsid w:val="002E50D5"/>
    <w:rsid w:val="002E5A6D"/>
    <w:rsid w:val="002E5F18"/>
    <w:rsid w:val="002E7290"/>
    <w:rsid w:val="002E7540"/>
    <w:rsid w:val="002F069C"/>
    <w:rsid w:val="002F1AF8"/>
    <w:rsid w:val="002F252C"/>
    <w:rsid w:val="002F27A0"/>
    <w:rsid w:val="002F2D85"/>
    <w:rsid w:val="002F34EB"/>
    <w:rsid w:val="002F36A9"/>
    <w:rsid w:val="002F3720"/>
    <w:rsid w:val="002F3B28"/>
    <w:rsid w:val="002F3D79"/>
    <w:rsid w:val="002F405B"/>
    <w:rsid w:val="002F5364"/>
    <w:rsid w:val="002F6347"/>
    <w:rsid w:val="002F641B"/>
    <w:rsid w:val="002F7041"/>
    <w:rsid w:val="002F7A20"/>
    <w:rsid w:val="00301AB8"/>
    <w:rsid w:val="0030305C"/>
    <w:rsid w:val="00304811"/>
    <w:rsid w:val="0030493D"/>
    <w:rsid w:val="00305068"/>
    <w:rsid w:val="00306968"/>
    <w:rsid w:val="003077B7"/>
    <w:rsid w:val="00307869"/>
    <w:rsid w:val="003103B2"/>
    <w:rsid w:val="00311062"/>
    <w:rsid w:val="0031117D"/>
    <w:rsid w:val="00311997"/>
    <w:rsid w:val="003121BA"/>
    <w:rsid w:val="0031285A"/>
    <w:rsid w:val="00312AFE"/>
    <w:rsid w:val="00313F55"/>
    <w:rsid w:val="00314388"/>
    <w:rsid w:val="00314CCE"/>
    <w:rsid w:val="0031516F"/>
    <w:rsid w:val="00315299"/>
    <w:rsid w:val="00317B14"/>
    <w:rsid w:val="00320239"/>
    <w:rsid w:val="0032027F"/>
    <w:rsid w:val="00320511"/>
    <w:rsid w:val="00320ADC"/>
    <w:rsid w:val="003218C2"/>
    <w:rsid w:val="00321926"/>
    <w:rsid w:val="00321ADF"/>
    <w:rsid w:val="003225B0"/>
    <w:rsid w:val="0032264E"/>
    <w:rsid w:val="00322744"/>
    <w:rsid w:val="003228F9"/>
    <w:rsid w:val="00322923"/>
    <w:rsid w:val="003232E0"/>
    <w:rsid w:val="003234B3"/>
    <w:rsid w:val="00323758"/>
    <w:rsid w:val="00323CA8"/>
    <w:rsid w:val="00323D9C"/>
    <w:rsid w:val="00324B0C"/>
    <w:rsid w:val="00326A1B"/>
    <w:rsid w:val="00326EC5"/>
    <w:rsid w:val="00326F19"/>
    <w:rsid w:val="00327E59"/>
    <w:rsid w:val="003308DB"/>
    <w:rsid w:val="00330D8F"/>
    <w:rsid w:val="0033133D"/>
    <w:rsid w:val="00331C9D"/>
    <w:rsid w:val="00332033"/>
    <w:rsid w:val="003326A6"/>
    <w:rsid w:val="00334C05"/>
    <w:rsid w:val="00335676"/>
    <w:rsid w:val="00336090"/>
    <w:rsid w:val="003360FF"/>
    <w:rsid w:val="00336E14"/>
    <w:rsid w:val="003373E9"/>
    <w:rsid w:val="00337613"/>
    <w:rsid w:val="00337AB5"/>
    <w:rsid w:val="00340B4C"/>
    <w:rsid w:val="00340B63"/>
    <w:rsid w:val="00341158"/>
    <w:rsid w:val="0034125F"/>
    <w:rsid w:val="0034210C"/>
    <w:rsid w:val="00342515"/>
    <w:rsid w:val="00342897"/>
    <w:rsid w:val="0034344F"/>
    <w:rsid w:val="00343A4D"/>
    <w:rsid w:val="00344487"/>
    <w:rsid w:val="0034473E"/>
    <w:rsid w:val="00344DF6"/>
    <w:rsid w:val="003459ED"/>
    <w:rsid w:val="00345E2D"/>
    <w:rsid w:val="00346684"/>
    <w:rsid w:val="003473FC"/>
    <w:rsid w:val="003478C9"/>
    <w:rsid w:val="00347A03"/>
    <w:rsid w:val="0035088C"/>
    <w:rsid w:val="0035165C"/>
    <w:rsid w:val="00351C42"/>
    <w:rsid w:val="00351CF6"/>
    <w:rsid w:val="00352B99"/>
    <w:rsid w:val="00354418"/>
    <w:rsid w:val="00354851"/>
    <w:rsid w:val="00354A90"/>
    <w:rsid w:val="00354B1B"/>
    <w:rsid w:val="00354DBE"/>
    <w:rsid w:val="003554A2"/>
    <w:rsid w:val="003557A9"/>
    <w:rsid w:val="00356556"/>
    <w:rsid w:val="00357173"/>
    <w:rsid w:val="0035785D"/>
    <w:rsid w:val="003579B0"/>
    <w:rsid w:val="00360480"/>
    <w:rsid w:val="0036073F"/>
    <w:rsid w:val="00360866"/>
    <w:rsid w:val="0036245A"/>
    <w:rsid w:val="00362E34"/>
    <w:rsid w:val="00363E65"/>
    <w:rsid w:val="00365132"/>
    <w:rsid w:val="00365F6B"/>
    <w:rsid w:val="00366DCF"/>
    <w:rsid w:val="00367656"/>
    <w:rsid w:val="00367D1E"/>
    <w:rsid w:val="00367F93"/>
    <w:rsid w:val="003702A7"/>
    <w:rsid w:val="0037061A"/>
    <w:rsid w:val="003709B4"/>
    <w:rsid w:val="00370A5F"/>
    <w:rsid w:val="0037208E"/>
    <w:rsid w:val="003727F0"/>
    <w:rsid w:val="0037313F"/>
    <w:rsid w:val="00373D7D"/>
    <w:rsid w:val="0037424C"/>
    <w:rsid w:val="003749C2"/>
    <w:rsid w:val="00375A56"/>
    <w:rsid w:val="00375BC1"/>
    <w:rsid w:val="00376983"/>
    <w:rsid w:val="00376AC0"/>
    <w:rsid w:val="00376BCD"/>
    <w:rsid w:val="0037761C"/>
    <w:rsid w:val="00377A6A"/>
    <w:rsid w:val="00377E6F"/>
    <w:rsid w:val="00380C70"/>
    <w:rsid w:val="00380DC7"/>
    <w:rsid w:val="00380EA7"/>
    <w:rsid w:val="003815A8"/>
    <w:rsid w:val="003817C6"/>
    <w:rsid w:val="00381B5D"/>
    <w:rsid w:val="00382A68"/>
    <w:rsid w:val="00382AF8"/>
    <w:rsid w:val="00383906"/>
    <w:rsid w:val="00384369"/>
    <w:rsid w:val="0038495D"/>
    <w:rsid w:val="00384EA5"/>
    <w:rsid w:val="0038567C"/>
    <w:rsid w:val="00385B1E"/>
    <w:rsid w:val="0038698D"/>
    <w:rsid w:val="00387BF5"/>
    <w:rsid w:val="00387D95"/>
    <w:rsid w:val="003900AB"/>
    <w:rsid w:val="003910D1"/>
    <w:rsid w:val="0039151B"/>
    <w:rsid w:val="00391A14"/>
    <w:rsid w:val="0039241E"/>
    <w:rsid w:val="00392B22"/>
    <w:rsid w:val="00392E51"/>
    <w:rsid w:val="00392FBA"/>
    <w:rsid w:val="00393D28"/>
    <w:rsid w:val="00394FF0"/>
    <w:rsid w:val="00396076"/>
    <w:rsid w:val="00396212"/>
    <w:rsid w:val="003962A2"/>
    <w:rsid w:val="00396B9D"/>
    <w:rsid w:val="003976B2"/>
    <w:rsid w:val="00397B58"/>
    <w:rsid w:val="003A029B"/>
    <w:rsid w:val="003A2E4D"/>
    <w:rsid w:val="003A3010"/>
    <w:rsid w:val="003A315E"/>
    <w:rsid w:val="003A357D"/>
    <w:rsid w:val="003A36CF"/>
    <w:rsid w:val="003A390D"/>
    <w:rsid w:val="003A3D96"/>
    <w:rsid w:val="003A4108"/>
    <w:rsid w:val="003A412C"/>
    <w:rsid w:val="003A4657"/>
    <w:rsid w:val="003A4EB2"/>
    <w:rsid w:val="003A518B"/>
    <w:rsid w:val="003A5A16"/>
    <w:rsid w:val="003A678E"/>
    <w:rsid w:val="003A703B"/>
    <w:rsid w:val="003A7389"/>
    <w:rsid w:val="003A79A7"/>
    <w:rsid w:val="003B0275"/>
    <w:rsid w:val="003B071C"/>
    <w:rsid w:val="003B0ABA"/>
    <w:rsid w:val="003B0C89"/>
    <w:rsid w:val="003B0D5D"/>
    <w:rsid w:val="003B194A"/>
    <w:rsid w:val="003B19A7"/>
    <w:rsid w:val="003B20D8"/>
    <w:rsid w:val="003B2839"/>
    <w:rsid w:val="003B3C3C"/>
    <w:rsid w:val="003B3E4D"/>
    <w:rsid w:val="003B3FDD"/>
    <w:rsid w:val="003B49C8"/>
    <w:rsid w:val="003B597D"/>
    <w:rsid w:val="003B6384"/>
    <w:rsid w:val="003B63AA"/>
    <w:rsid w:val="003B649E"/>
    <w:rsid w:val="003B74F0"/>
    <w:rsid w:val="003B795F"/>
    <w:rsid w:val="003B7D29"/>
    <w:rsid w:val="003B7EE8"/>
    <w:rsid w:val="003C0533"/>
    <w:rsid w:val="003C0890"/>
    <w:rsid w:val="003C0D80"/>
    <w:rsid w:val="003C0FB3"/>
    <w:rsid w:val="003C1973"/>
    <w:rsid w:val="003C1BD0"/>
    <w:rsid w:val="003C31A7"/>
    <w:rsid w:val="003C3ED0"/>
    <w:rsid w:val="003C427F"/>
    <w:rsid w:val="003C4C72"/>
    <w:rsid w:val="003C4CAE"/>
    <w:rsid w:val="003C50C7"/>
    <w:rsid w:val="003C6094"/>
    <w:rsid w:val="003C61C7"/>
    <w:rsid w:val="003C657E"/>
    <w:rsid w:val="003C65AF"/>
    <w:rsid w:val="003C7081"/>
    <w:rsid w:val="003C7128"/>
    <w:rsid w:val="003C7748"/>
    <w:rsid w:val="003C79B6"/>
    <w:rsid w:val="003D00C7"/>
    <w:rsid w:val="003D0BF5"/>
    <w:rsid w:val="003D13CA"/>
    <w:rsid w:val="003D19FB"/>
    <w:rsid w:val="003D1A72"/>
    <w:rsid w:val="003D21FF"/>
    <w:rsid w:val="003D2337"/>
    <w:rsid w:val="003D238A"/>
    <w:rsid w:val="003D2930"/>
    <w:rsid w:val="003D2BF2"/>
    <w:rsid w:val="003D2E28"/>
    <w:rsid w:val="003D3A41"/>
    <w:rsid w:val="003D3A50"/>
    <w:rsid w:val="003D46C6"/>
    <w:rsid w:val="003E048A"/>
    <w:rsid w:val="003E09A6"/>
    <w:rsid w:val="003E1EB8"/>
    <w:rsid w:val="003E2069"/>
    <w:rsid w:val="003E2C26"/>
    <w:rsid w:val="003E3005"/>
    <w:rsid w:val="003E3888"/>
    <w:rsid w:val="003E39A6"/>
    <w:rsid w:val="003E3ECC"/>
    <w:rsid w:val="003E45C3"/>
    <w:rsid w:val="003E5876"/>
    <w:rsid w:val="003E5A29"/>
    <w:rsid w:val="003E5D4D"/>
    <w:rsid w:val="003E5D73"/>
    <w:rsid w:val="003E5F0C"/>
    <w:rsid w:val="003E6A55"/>
    <w:rsid w:val="003E6CC0"/>
    <w:rsid w:val="003E7213"/>
    <w:rsid w:val="003E7289"/>
    <w:rsid w:val="003F0CF0"/>
    <w:rsid w:val="003F1AA4"/>
    <w:rsid w:val="003F1B7F"/>
    <w:rsid w:val="003F31EA"/>
    <w:rsid w:val="003F33EB"/>
    <w:rsid w:val="003F36AF"/>
    <w:rsid w:val="003F39CC"/>
    <w:rsid w:val="003F44E5"/>
    <w:rsid w:val="003F533F"/>
    <w:rsid w:val="003F59ED"/>
    <w:rsid w:val="003F66D8"/>
    <w:rsid w:val="003F6C8D"/>
    <w:rsid w:val="003F72C3"/>
    <w:rsid w:val="003F7552"/>
    <w:rsid w:val="003F7E0D"/>
    <w:rsid w:val="003F7FA3"/>
    <w:rsid w:val="0040006A"/>
    <w:rsid w:val="00400257"/>
    <w:rsid w:val="004002A2"/>
    <w:rsid w:val="00400A1A"/>
    <w:rsid w:val="00400BAD"/>
    <w:rsid w:val="00400E54"/>
    <w:rsid w:val="00401D63"/>
    <w:rsid w:val="00402F46"/>
    <w:rsid w:val="004030EF"/>
    <w:rsid w:val="0040356A"/>
    <w:rsid w:val="0040381A"/>
    <w:rsid w:val="00403F22"/>
    <w:rsid w:val="00405293"/>
    <w:rsid w:val="00405615"/>
    <w:rsid w:val="00405A04"/>
    <w:rsid w:val="00405CD3"/>
    <w:rsid w:val="0040644A"/>
    <w:rsid w:val="004067B9"/>
    <w:rsid w:val="00406A1F"/>
    <w:rsid w:val="00407619"/>
    <w:rsid w:val="00407801"/>
    <w:rsid w:val="0040785F"/>
    <w:rsid w:val="00407D92"/>
    <w:rsid w:val="00410302"/>
    <w:rsid w:val="0041082C"/>
    <w:rsid w:val="00411131"/>
    <w:rsid w:val="00411997"/>
    <w:rsid w:val="00411E66"/>
    <w:rsid w:val="00412331"/>
    <w:rsid w:val="0041245B"/>
    <w:rsid w:val="00413375"/>
    <w:rsid w:val="00413E9A"/>
    <w:rsid w:val="00414378"/>
    <w:rsid w:val="00414481"/>
    <w:rsid w:val="00414AEA"/>
    <w:rsid w:val="00414B2C"/>
    <w:rsid w:val="00414D0A"/>
    <w:rsid w:val="004157D9"/>
    <w:rsid w:val="004161F5"/>
    <w:rsid w:val="004166D6"/>
    <w:rsid w:val="00416B34"/>
    <w:rsid w:val="00417141"/>
    <w:rsid w:val="004171DC"/>
    <w:rsid w:val="004173A9"/>
    <w:rsid w:val="00417727"/>
    <w:rsid w:val="004205B0"/>
    <w:rsid w:val="00421112"/>
    <w:rsid w:val="00421ED3"/>
    <w:rsid w:val="0042222E"/>
    <w:rsid w:val="004222F1"/>
    <w:rsid w:val="004238C8"/>
    <w:rsid w:val="00423EF6"/>
    <w:rsid w:val="00423F61"/>
    <w:rsid w:val="00424304"/>
    <w:rsid w:val="00424B0F"/>
    <w:rsid w:val="00424C21"/>
    <w:rsid w:val="00424D27"/>
    <w:rsid w:val="00424DFD"/>
    <w:rsid w:val="004254F5"/>
    <w:rsid w:val="0042685F"/>
    <w:rsid w:val="00426DFB"/>
    <w:rsid w:val="00427BF5"/>
    <w:rsid w:val="00427E29"/>
    <w:rsid w:val="00430126"/>
    <w:rsid w:val="00430CAB"/>
    <w:rsid w:val="00432256"/>
    <w:rsid w:val="004325E0"/>
    <w:rsid w:val="0043293D"/>
    <w:rsid w:val="004329B5"/>
    <w:rsid w:val="0043308D"/>
    <w:rsid w:val="004336A0"/>
    <w:rsid w:val="0043407C"/>
    <w:rsid w:val="00434AFB"/>
    <w:rsid w:val="00434B4D"/>
    <w:rsid w:val="00434C32"/>
    <w:rsid w:val="00434D36"/>
    <w:rsid w:val="00435634"/>
    <w:rsid w:val="00435DB9"/>
    <w:rsid w:val="00435F44"/>
    <w:rsid w:val="004361EB"/>
    <w:rsid w:val="00436264"/>
    <w:rsid w:val="004372E5"/>
    <w:rsid w:val="00441CEA"/>
    <w:rsid w:val="00442DCD"/>
    <w:rsid w:val="00442E5D"/>
    <w:rsid w:val="00443475"/>
    <w:rsid w:val="00444AD0"/>
    <w:rsid w:val="004455F4"/>
    <w:rsid w:val="004462B2"/>
    <w:rsid w:val="00446691"/>
    <w:rsid w:val="004468CF"/>
    <w:rsid w:val="00447175"/>
    <w:rsid w:val="00447A0C"/>
    <w:rsid w:val="00447D60"/>
    <w:rsid w:val="0045082B"/>
    <w:rsid w:val="00452066"/>
    <w:rsid w:val="0045337C"/>
    <w:rsid w:val="00453823"/>
    <w:rsid w:val="00453B1B"/>
    <w:rsid w:val="004546B9"/>
    <w:rsid w:val="0045601B"/>
    <w:rsid w:val="0045665B"/>
    <w:rsid w:val="00456CD7"/>
    <w:rsid w:val="00460B81"/>
    <w:rsid w:val="004620BC"/>
    <w:rsid w:val="00463F50"/>
    <w:rsid w:val="00464045"/>
    <w:rsid w:val="00465639"/>
    <w:rsid w:val="00465EA3"/>
    <w:rsid w:val="00466520"/>
    <w:rsid w:val="00466879"/>
    <w:rsid w:val="00466ECC"/>
    <w:rsid w:val="0046754B"/>
    <w:rsid w:val="004708D9"/>
    <w:rsid w:val="00470CC6"/>
    <w:rsid w:val="0047119C"/>
    <w:rsid w:val="004718CD"/>
    <w:rsid w:val="00471DB1"/>
    <w:rsid w:val="004723E7"/>
    <w:rsid w:val="00472452"/>
    <w:rsid w:val="00472579"/>
    <w:rsid w:val="00472662"/>
    <w:rsid w:val="00473268"/>
    <w:rsid w:val="00474755"/>
    <w:rsid w:val="00474AD7"/>
    <w:rsid w:val="00475101"/>
    <w:rsid w:val="00475342"/>
    <w:rsid w:val="00475925"/>
    <w:rsid w:val="004759A8"/>
    <w:rsid w:val="004760D4"/>
    <w:rsid w:val="00476D9F"/>
    <w:rsid w:val="00477240"/>
    <w:rsid w:val="0047798A"/>
    <w:rsid w:val="00477D55"/>
    <w:rsid w:val="00477EFB"/>
    <w:rsid w:val="00480C52"/>
    <w:rsid w:val="0048165B"/>
    <w:rsid w:val="00482B3B"/>
    <w:rsid w:val="004837AF"/>
    <w:rsid w:val="00483CCB"/>
    <w:rsid w:val="00483EE6"/>
    <w:rsid w:val="0048546B"/>
    <w:rsid w:val="004856EF"/>
    <w:rsid w:val="00485C8E"/>
    <w:rsid w:val="00485EED"/>
    <w:rsid w:val="00487069"/>
    <w:rsid w:val="004879B8"/>
    <w:rsid w:val="00490516"/>
    <w:rsid w:val="004907A6"/>
    <w:rsid w:val="004907D8"/>
    <w:rsid w:val="00490F0D"/>
    <w:rsid w:val="00491603"/>
    <w:rsid w:val="00492093"/>
    <w:rsid w:val="0049328D"/>
    <w:rsid w:val="004934AD"/>
    <w:rsid w:val="00493A02"/>
    <w:rsid w:val="00493FB7"/>
    <w:rsid w:val="004940F3"/>
    <w:rsid w:val="004943A9"/>
    <w:rsid w:val="00494A33"/>
    <w:rsid w:val="00494FE7"/>
    <w:rsid w:val="00495656"/>
    <w:rsid w:val="004958A1"/>
    <w:rsid w:val="0049704C"/>
    <w:rsid w:val="0049788F"/>
    <w:rsid w:val="00497E91"/>
    <w:rsid w:val="004A03E1"/>
    <w:rsid w:val="004A068C"/>
    <w:rsid w:val="004A0B2E"/>
    <w:rsid w:val="004A0BE6"/>
    <w:rsid w:val="004A0F2D"/>
    <w:rsid w:val="004A0FB9"/>
    <w:rsid w:val="004A1024"/>
    <w:rsid w:val="004A1096"/>
    <w:rsid w:val="004A15E3"/>
    <w:rsid w:val="004A209C"/>
    <w:rsid w:val="004A2A2E"/>
    <w:rsid w:val="004A2B04"/>
    <w:rsid w:val="004A30B9"/>
    <w:rsid w:val="004A3106"/>
    <w:rsid w:val="004A33B0"/>
    <w:rsid w:val="004A3BA8"/>
    <w:rsid w:val="004A3F9A"/>
    <w:rsid w:val="004A49D3"/>
    <w:rsid w:val="004A4BCD"/>
    <w:rsid w:val="004A513A"/>
    <w:rsid w:val="004A5A14"/>
    <w:rsid w:val="004A5C78"/>
    <w:rsid w:val="004A60C3"/>
    <w:rsid w:val="004A63C1"/>
    <w:rsid w:val="004B001A"/>
    <w:rsid w:val="004B04EF"/>
    <w:rsid w:val="004B05F8"/>
    <w:rsid w:val="004B07FF"/>
    <w:rsid w:val="004B0D49"/>
    <w:rsid w:val="004B14ED"/>
    <w:rsid w:val="004B272A"/>
    <w:rsid w:val="004B3604"/>
    <w:rsid w:val="004B3D34"/>
    <w:rsid w:val="004B3FBE"/>
    <w:rsid w:val="004B53A6"/>
    <w:rsid w:val="004B586A"/>
    <w:rsid w:val="004B594E"/>
    <w:rsid w:val="004B5D6E"/>
    <w:rsid w:val="004B60A7"/>
    <w:rsid w:val="004B6D4E"/>
    <w:rsid w:val="004B7370"/>
    <w:rsid w:val="004B7387"/>
    <w:rsid w:val="004B79C2"/>
    <w:rsid w:val="004B7F22"/>
    <w:rsid w:val="004C00D8"/>
    <w:rsid w:val="004C04FB"/>
    <w:rsid w:val="004C0751"/>
    <w:rsid w:val="004C1817"/>
    <w:rsid w:val="004C1979"/>
    <w:rsid w:val="004C1C10"/>
    <w:rsid w:val="004C1D66"/>
    <w:rsid w:val="004C2228"/>
    <w:rsid w:val="004C3882"/>
    <w:rsid w:val="004C3CEB"/>
    <w:rsid w:val="004C3D89"/>
    <w:rsid w:val="004C47B9"/>
    <w:rsid w:val="004C4C2C"/>
    <w:rsid w:val="004C50E9"/>
    <w:rsid w:val="004C54A6"/>
    <w:rsid w:val="004C5C6F"/>
    <w:rsid w:val="004C604C"/>
    <w:rsid w:val="004C69AF"/>
    <w:rsid w:val="004C6B12"/>
    <w:rsid w:val="004C70FF"/>
    <w:rsid w:val="004C770C"/>
    <w:rsid w:val="004C7AF7"/>
    <w:rsid w:val="004C7BA8"/>
    <w:rsid w:val="004D118C"/>
    <w:rsid w:val="004D1432"/>
    <w:rsid w:val="004D1852"/>
    <w:rsid w:val="004D2378"/>
    <w:rsid w:val="004D4176"/>
    <w:rsid w:val="004D5298"/>
    <w:rsid w:val="004D53AB"/>
    <w:rsid w:val="004D5919"/>
    <w:rsid w:val="004D5924"/>
    <w:rsid w:val="004D7193"/>
    <w:rsid w:val="004D7470"/>
    <w:rsid w:val="004E0108"/>
    <w:rsid w:val="004E019A"/>
    <w:rsid w:val="004E0AAF"/>
    <w:rsid w:val="004E2684"/>
    <w:rsid w:val="004E2892"/>
    <w:rsid w:val="004E2A94"/>
    <w:rsid w:val="004E3511"/>
    <w:rsid w:val="004E359C"/>
    <w:rsid w:val="004E43D9"/>
    <w:rsid w:val="004E4C58"/>
    <w:rsid w:val="004E5183"/>
    <w:rsid w:val="004E5814"/>
    <w:rsid w:val="004E5D8F"/>
    <w:rsid w:val="004E6737"/>
    <w:rsid w:val="004E6E33"/>
    <w:rsid w:val="004E72E2"/>
    <w:rsid w:val="004F02DD"/>
    <w:rsid w:val="004F0F17"/>
    <w:rsid w:val="004F0FF6"/>
    <w:rsid w:val="004F1E8F"/>
    <w:rsid w:val="004F2372"/>
    <w:rsid w:val="004F37FC"/>
    <w:rsid w:val="004F421E"/>
    <w:rsid w:val="004F474F"/>
    <w:rsid w:val="004F52BB"/>
    <w:rsid w:val="004F5348"/>
    <w:rsid w:val="004F576F"/>
    <w:rsid w:val="004F5DD1"/>
    <w:rsid w:val="004F65AC"/>
    <w:rsid w:val="004F73C6"/>
    <w:rsid w:val="0050065A"/>
    <w:rsid w:val="00500938"/>
    <w:rsid w:val="005009E2"/>
    <w:rsid w:val="00500B5F"/>
    <w:rsid w:val="00500C96"/>
    <w:rsid w:val="00500CB9"/>
    <w:rsid w:val="005013D1"/>
    <w:rsid w:val="0050145D"/>
    <w:rsid w:val="00502BAC"/>
    <w:rsid w:val="0050354C"/>
    <w:rsid w:val="005046E0"/>
    <w:rsid w:val="00504CB2"/>
    <w:rsid w:val="00505282"/>
    <w:rsid w:val="00505CCF"/>
    <w:rsid w:val="00505FC4"/>
    <w:rsid w:val="00506894"/>
    <w:rsid w:val="00506FCE"/>
    <w:rsid w:val="005073A9"/>
    <w:rsid w:val="00507637"/>
    <w:rsid w:val="0051041E"/>
    <w:rsid w:val="005106DE"/>
    <w:rsid w:val="005108FF"/>
    <w:rsid w:val="00510A41"/>
    <w:rsid w:val="00510B7E"/>
    <w:rsid w:val="00510D0B"/>
    <w:rsid w:val="0051134B"/>
    <w:rsid w:val="0051134D"/>
    <w:rsid w:val="00511356"/>
    <w:rsid w:val="00511572"/>
    <w:rsid w:val="0051232D"/>
    <w:rsid w:val="0051245A"/>
    <w:rsid w:val="0051276F"/>
    <w:rsid w:val="00512B98"/>
    <w:rsid w:val="00512BD4"/>
    <w:rsid w:val="00512E53"/>
    <w:rsid w:val="00513BA0"/>
    <w:rsid w:val="00514311"/>
    <w:rsid w:val="005149C1"/>
    <w:rsid w:val="005149FD"/>
    <w:rsid w:val="00514AB5"/>
    <w:rsid w:val="00514BE4"/>
    <w:rsid w:val="00514FD5"/>
    <w:rsid w:val="0051503D"/>
    <w:rsid w:val="00515FF6"/>
    <w:rsid w:val="005203E2"/>
    <w:rsid w:val="00520F9E"/>
    <w:rsid w:val="0052229B"/>
    <w:rsid w:val="0052371C"/>
    <w:rsid w:val="00523A8E"/>
    <w:rsid w:val="005242E8"/>
    <w:rsid w:val="005243FE"/>
    <w:rsid w:val="00524C71"/>
    <w:rsid w:val="00524F33"/>
    <w:rsid w:val="00525259"/>
    <w:rsid w:val="00525779"/>
    <w:rsid w:val="00525801"/>
    <w:rsid w:val="00526732"/>
    <w:rsid w:val="005267F6"/>
    <w:rsid w:val="0052688A"/>
    <w:rsid w:val="00526C77"/>
    <w:rsid w:val="00526FBF"/>
    <w:rsid w:val="00530A79"/>
    <w:rsid w:val="00530C3B"/>
    <w:rsid w:val="00531C18"/>
    <w:rsid w:val="0053257A"/>
    <w:rsid w:val="0053355D"/>
    <w:rsid w:val="00533665"/>
    <w:rsid w:val="005340C5"/>
    <w:rsid w:val="005342B7"/>
    <w:rsid w:val="00534589"/>
    <w:rsid w:val="00534BBD"/>
    <w:rsid w:val="00534D54"/>
    <w:rsid w:val="00534F38"/>
    <w:rsid w:val="00535324"/>
    <w:rsid w:val="00535437"/>
    <w:rsid w:val="0053549C"/>
    <w:rsid w:val="00535559"/>
    <w:rsid w:val="00535832"/>
    <w:rsid w:val="005373B3"/>
    <w:rsid w:val="0053774D"/>
    <w:rsid w:val="00537964"/>
    <w:rsid w:val="005379DB"/>
    <w:rsid w:val="005403C0"/>
    <w:rsid w:val="00541394"/>
    <w:rsid w:val="0054257F"/>
    <w:rsid w:val="00542BDB"/>
    <w:rsid w:val="00542FA7"/>
    <w:rsid w:val="005438DF"/>
    <w:rsid w:val="00544607"/>
    <w:rsid w:val="005446F6"/>
    <w:rsid w:val="00545D01"/>
    <w:rsid w:val="00545F27"/>
    <w:rsid w:val="0054710A"/>
    <w:rsid w:val="00547232"/>
    <w:rsid w:val="005476D0"/>
    <w:rsid w:val="00547A8F"/>
    <w:rsid w:val="00547E55"/>
    <w:rsid w:val="00547E6D"/>
    <w:rsid w:val="0055000A"/>
    <w:rsid w:val="0055187D"/>
    <w:rsid w:val="0055189F"/>
    <w:rsid w:val="00551C93"/>
    <w:rsid w:val="00551D71"/>
    <w:rsid w:val="00553481"/>
    <w:rsid w:val="0055354A"/>
    <w:rsid w:val="0055369C"/>
    <w:rsid w:val="005543B7"/>
    <w:rsid w:val="00554730"/>
    <w:rsid w:val="005547C4"/>
    <w:rsid w:val="00555268"/>
    <w:rsid w:val="00555949"/>
    <w:rsid w:val="005561DF"/>
    <w:rsid w:val="005562D5"/>
    <w:rsid w:val="00556B9E"/>
    <w:rsid w:val="0055731C"/>
    <w:rsid w:val="005574D4"/>
    <w:rsid w:val="00557DAD"/>
    <w:rsid w:val="00557ED2"/>
    <w:rsid w:val="0056023E"/>
    <w:rsid w:val="005612ED"/>
    <w:rsid w:val="00561C5F"/>
    <w:rsid w:val="00561E7D"/>
    <w:rsid w:val="005623B7"/>
    <w:rsid w:val="00562719"/>
    <w:rsid w:val="00562E9F"/>
    <w:rsid w:val="0056384C"/>
    <w:rsid w:val="0056451A"/>
    <w:rsid w:val="00564827"/>
    <w:rsid w:val="005650D0"/>
    <w:rsid w:val="00565493"/>
    <w:rsid w:val="0056556E"/>
    <w:rsid w:val="005662E5"/>
    <w:rsid w:val="00566420"/>
    <w:rsid w:val="00566872"/>
    <w:rsid w:val="00566BD6"/>
    <w:rsid w:val="00567AB5"/>
    <w:rsid w:val="00567B29"/>
    <w:rsid w:val="005700CC"/>
    <w:rsid w:val="0057354C"/>
    <w:rsid w:val="00573E28"/>
    <w:rsid w:val="0057436A"/>
    <w:rsid w:val="00574CDD"/>
    <w:rsid w:val="0057561B"/>
    <w:rsid w:val="0057598B"/>
    <w:rsid w:val="005763AB"/>
    <w:rsid w:val="005776B9"/>
    <w:rsid w:val="0058048C"/>
    <w:rsid w:val="0058052D"/>
    <w:rsid w:val="005805F3"/>
    <w:rsid w:val="00580E85"/>
    <w:rsid w:val="00581957"/>
    <w:rsid w:val="0058231A"/>
    <w:rsid w:val="0058264F"/>
    <w:rsid w:val="005832DE"/>
    <w:rsid w:val="005834BB"/>
    <w:rsid w:val="005838D6"/>
    <w:rsid w:val="005840A7"/>
    <w:rsid w:val="0058416D"/>
    <w:rsid w:val="005856D4"/>
    <w:rsid w:val="00586AD6"/>
    <w:rsid w:val="00587307"/>
    <w:rsid w:val="00587F2C"/>
    <w:rsid w:val="0059016C"/>
    <w:rsid w:val="00591765"/>
    <w:rsid w:val="00593CF5"/>
    <w:rsid w:val="005942CC"/>
    <w:rsid w:val="005959FF"/>
    <w:rsid w:val="00595BAF"/>
    <w:rsid w:val="00595ED9"/>
    <w:rsid w:val="00596188"/>
    <w:rsid w:val="00596581"/>
    <w:rsid w:val="00597A30"/>
    <w:rsid w:val="00597C67"/>
    <w:rsid w:val="00597CAD"/>
    <w:rsid w:val="005A05AF"/>
    <w:rsid w:val="005A0CA5"/>
    <w:rsid w:val="005A13EA"/>
    <w:rsid w:val="005A27C2"/>
    <w:rsid w:val="005A29CD"/>
    <w:rsid w:val="005A2C3F"/>
    <w:rsid w:val="005A2E86"/>
    <w:rsid w:val="005A2F19"/>
    <w:rsid w:val="005A322E"/>
    <w:rsid w:val="005A3291"/>
    <w:rsid w:val="005A3860"/>
    <w:rsid w:val="005A39CC"/>
    <w:rsid w:val="005A3EFB"/>
    <w:rsid w:val="005A4358"/>
    <w:rsid w:val="005A474B"/>
    <w:rsid w:val="005A56EE"/>
    <w:rsid w:val="005A61B9"/>
    <w:rsid w:val="005A65C9"/>
    <w:rsid w:val="005B16E7"/>
    <w:rsid w:val="005B184A"/>
    <w:rsid w:val="005B1F32"/>
    <w:rsid w:val="005B22AE"/>
    <w:rsid w:val="005B3E7A"/>
    <w:rsid w:val="005B49FD"/>
    <w:rsid w:val="005B4A25"/>
    <w:rsid w:val="005B5144"/>
    <w:rsid w:val="005B51C8"/>
    <w:rsid w:val="005B525E"/>
    <w:rsid w:val="005B594A"/>
    <w:rsid w:val="005B5DDF"/>
    <w:rsid w:val="005B5ED5"/>
    <w:rsid w:val="005B67BA"/>
    <w:rsid w:val="005B68AA"/>
    <w:rsid w:val="005B6CDB"/>
    <w:rsid w:val="005B7B7C"/>
    <w:rsid w:val="005B7E33"/>
    <w:rsid w:val="005C05B8"/>
    <w:rsid w:val="005C060E"/>
    <w:rsid w:val="005C12F1"/>
    <w:rsid w:val="005C1533"/>
    <w:rsid w:val="005C1662"/>
    <w:rsid w:val="005C1718"/>
    <w:rsid w:val="005C1DAC"/>
    <w:rsid w:val="005C2276"/>
    <w:rsid w:val="005C22E1"/>
    <w:rsid w:val="005C3D96"/>
    <w:rsid w:val="005C4055"/>
    <w:rsid w:val="005C44B2"/>
    <w:rsid w:val="005C4533"/>
    <w:rsid w:val="005C4551"/>
    <w:rsid w:val="005C46E2"/>
    <w:rsid w:val="005C493D"/>
    <w:rsid w:val="005C4CBD"/>
    <w:rsid w:val="005C50ED"/>
    <w:rsid w:val="005C5E4C"/>
    <w:rsid w:val="005C5FDF"/>
    <w:rsid w:val="005C5FFD"/>
    <w:rsid w:val="005C655F"/>
    <w:rsid w:val="005C675A"/>
    <w:rsid w:val="005C6968"/>
    <w:rsid w:val="005D1317"/>
    <w:rsid w:val="005D3447"/>
    <w:rsid w:val="005D36AE"/>
    <w:rsid w:val="005D38E6"/>
    <w:rsid w:val="005D3B7F"/>
    <w:rsid w:val="005D3CE0"/>
    <w:rsid w:val="005D6199"/>
    <w:rsid w:val="005D62FF"/>
    <w:rsid w:val="005D6848"/>
    <w:rsid w:val="005D69AC"/>
    <w:rsid w:val="005D7804"/>
    <w:rsid w:val="005D784E"/>
    <w:rsid w:val="005E004E"/>
    <w:rsid w:val="005E1B38"/>
    <w:rsid w:val="005E22C0"/>
    <w:rsid w:val="005E297A"/>
    <w:rsid w:val="005E2C48"/>
    <w:rsid w:val="005E2DCC"/>
    <w:rsid w:val="005E3325"/>
    <w:rsid w:val="005E384F"/>
    <w:rsid w:val="005E5170"/>
    <w:rsid w:val="005E6157"/>
    <w:rsid w:val="005E6A7C"/>
    <w:rsid w:val="005E6DFF"/>
    <w:rsid w:val="005E739C"/>
    <w:rsid w:val="005E74F6"/>
    <w:rsid w:val="005E7943"/>
    <w:rsid w:val="005F0B1C"/>
    <w:rsid w:val="005F0B9E"/>
    <w:rsid w:val="005F0BBE"/>
    <w:rsid w:val="005F128F"/>
    <w:rsid w:val="005F2978"/>
    <w:rsid w:val="005F2B5C"/>
    <w:rsid w:val="005F3969"/>
    <w:rsid w:val="005F3AA8"/>
    <w:rsid w:val="005F46B5"/>
    <w:rsid w:val="005F4938"/>
    <w:rsid w:val="005F55F9"/>
    <w:rsid w:val="005F6849"/>
    <w:rsid w:val="005F6F4D"/>
    <w:rsid w:val="005F70B8"/>
    <w:rsid w:val="005F749E"/>
    <w:rsid w:val="005F78CF"/>
    <w:rsid w:val="006002AC"/>
    <w:rsid w:val="00601419"/>
    <w:rsid w:val="00603264"/>
    <w:rsid w:val="0060480F"/>
    <w:rsid w:val="00604F59"/>
    <w:rsid w:val="006053C3"/>
    <w:rsid w:val="006053F1"/>
    <w:rsid w:val="006069E5"/>
    <w:rsid w:val="00606F86"/>
    <w:rsid w:val="006077D7"/>
    <w:rsid w:val="00607C4C"/>
    <w:rsid w:val="006101C1"/>
    <w:rsid w:val="0061072F"/>
    <w:rsid w:val="00611F2C"/>
    <w:rsid w:val="0061253F"/>
    <w:rsid w:val="006127BC"/>
    <w:rsid w:val="00612D6C"/>
    <w:rsid w:val="00612E60"/>
    <w:rsid w:val="00613630"/>
    <w:rsid w:val="00613839"/>
    <w:rsid w:val="006149E9"/>
    <w:rsid w:val="00615723"/>
    <w:rsid w:val="00615A14"/>
    <w:rsid w:val="00616C08"/>
    <w:rsid w:val="006174A1"/>
    <w:rsid w:val="006203CA"/>
    <w:rsid w:val="006204E4"/>
    <w:rsid w:val="00621769"/>
    <w:rsid w:val="00622B29"/>
    <w:rsid w:val="00622C6D"/>
    <w:rsid w:val="00622E4E"/>
    <w:rsid w:val="0062342B"/>
    <w:rsid w:val="00624A4F"/>
    <w:rsid w:val="006253D4"/>
    <w:rsid w:val="0062564D"/>
    <w:rsid w:val="00626081"/>
    <w:rsid w:val="006260AB"/>
    <w:rsid w:val="006260D2"/>
    <w:rsid w:val="006262F0"/>
    <w:rsid w:val="00626E75"/>
    <w:rsid w:val="00627283"/>
    <w:rsid w:val="00630530"/>
    <w:rsid w:val="0063091B"/>
    <w:rsid w:val="00630B44"/>
    <w:rsid w:val="0063138D"/>
    <w:rsid w:val="006314A5"/>
    <w:rsid w:val="00631D21"/>
    <w:rsid w:val="006350EF"/>
    <w:rsid w:val="0063566C"/>
    <w:rsid w:val="00636535"/>
    <w:rsid w:val="00637EA4"/>
    <w:rsid w:val="00641139"/>
    <w:rsid w:val="00641794"/>
    <w:rsid w:val="00641B62"/>
    <w:rsid w:val="00642119"/>
    <w:rsid w:val="0064212A"/>
    <w:rsid w:val="00642743"/>
    <w:rsid w:val="00643A81"/>
    <w:rsid w:val="006448E2"/>
    <w:rsid w:val="00645BDB"/>
    <w:rsid w:val="00645DF1"/>
    <w:rsid w:val="0064600B"/>
    <w:rsid w:val="00646158"/>
    <w:rsid w:val="00646485"/>
    <w:rsid w:val="006469DA"/>
    <w:rsid w:val="006475EB"/>
    <w:rsid w:val="00647BEF"/>
    <w:rsid w:val="00647DE1"/>
    <w:rsid w:val="00650218"/>
    <w:rsid w:val="00650E0D"/>
    <w:rsid w:val="00652181"/>
    <w:rsid w:val="00652D1A"/>
    <w:rsid w:val="00652FE0"/>
    <w:rsid w:val="00653060"/>
    <w:rsid w:val="00653140"/>
    <w:rsid w:val="00653426"/>
    <w:rsid w:val="0065432F"/>
    <w:rsid w:val="00654FFB"/>
    <w:rsid w:val="00655ABB"/>
    <w:rsid w:val="00655D8F"/>
    <w:rsid w:val="00656776"/>
    <w:rsid w:val="00656893"/>
    <w:rsid w:val="006577F5"/>
    <w:rsid w:val="006616D5"/>
    <w:rsid w:val="006620D6"/>
    <w:rsid w:val="006624F9"/>
    <w:rsid w:val="00662664"/>
    <w:rsid w:val="00663A3D"/>
    <w:rsid w:val="00663D0A"/>
    <w:rsid w:val="00663E32"/>
    <w:rsid w:val="006640B2"/>
    <w:rsid w:val="00664971"/>
    <w:rsid w:val="00664C5A"/>
    <w:rsid w:val="00665B1D"/>
    <w:rsid w:val="00665E5C"/>
    <w:rsid w:val="00667314"/>
    <w:rsid w:val="0066752B"/>
    <w:rsid w:val="006675D2"/>
    <w:rsid w:val="006708E1"/>
    <w:rsid w:val="00670B0E"/>
    <w:rsid w:val="006714E9"/>
    <w:rsid w:val="006717CD"/>
    <w:rsid w:val="00671AF1"/>
    <w:rsid w:val="0067208C"/>
    <w:rsid w:val="00673400"/>
    <w:rsid w:val="006735CD"/>
    <w:rsid w:val="0067396C"/>
    <w:rsid w:val="00673A1F"/>
    <w:rsid w:val="00673F2E"/>
    <w:rsid w:val="006745D8"/>
    <w:rsid w:val="0067488B"/>
    <w:rsid w:val="00674950"/>
    <w:rsid w:val="00675777"/>
    <w:rsid w:val="00675EC5"/>
    <w:rsid w:val="00676274"/>
    <w:rsid w:val="0067656E"/>
    <w:rsid w:val="00676F6D"/>
    <w:rsid w:val="00680159"/>
    <w:rsid w:val="00680DA9"/>
    <w:rsid w:val="006813BE"/>
    <w:rsid w:val="00681635"/>
    <w:rsid w:val="0068167E"/>
    <w:rsid w:val="006817C3"/>
    <w:rsid w:val="00682ECE"/>
    <w:rsid w:val="00682FB0"/>
    <w:rsid w:val="0068348F"/>
    <w:rsid w:val="0068400A"/>
    <w:rsid w:val="006842A6"/>
    <w:rsid w:val="006844CE"/>
    <w:rsid w:val="00684EFC"/>
    <w:rsid w:val="00685458"/>
    <w:rsid w:val="00685516"/>
    <w:rsid w:val="00685E42"/>
    <w:rsid w:val="0068756D"/>
    <w:rsid w:val="00687B45"/>
    <w:rsid w:val="0069060B"/>
    <w:rsid w:val="00690936"/>
    <w:rsid w:val="006912E4"/>
    <w:rsid w:val="006917BB"/>
    <w:rsid w:val="00691D94"/>
    <w:rsid w:val="0069233B"/>
    <w:rsid w:val="006924B0"/>
    <w:rsid w:val="0069331F"/>
    <w:rsid w:val="00693A21"/>
    <w:rsid w:val="0069487A"/>
    <w:rsid w:val="00694927"/>
    <w:rsid w:val="00694935"/>
    <w:rsid w:val="00695207"/>
    <w:rsid w:val="0069646C"/>
    <w:rsid w:val="006970A1"/>
    <w:rsid w:val="006978BF"/>
    <w:rsid w:val="006A0028"/>
    <w:rsid w:val="006A0091"/>
    <w:rsid w:val="006A1DB0"/>
    <w:rsid w:val="006A3B81"/>
    <w:rsid w:val="006A3BE3"/>
    <w:rsid w:val="006A3E39"/>
    <w:rsid w:val="006A4173"/>
    <w:rsid w:val="006A5068"/>
    <w:rsid w:val="006A6930"/>
    <w:rsid w:val="006A6A43"/>
    <w:rsid w:val="006A6B7E"/>
    <w:rsid w:val="006A7A22"/>
    <w:rsid w:val="006A7AE6"/>
    <w:rsid w:val="006A7E92"/>
    <w:rsid w:val="006B086F"/>
    <w:rsid w:val="006B0EDE"/>
    <w:rsid w:val="006B11B4"/>
    <w:rsid w:val="006B1641"/>
    <w:rsid w:val="006B1ABF"/>
    <w:rsid w:val="006B1D6F"/>
    <w:rsid w:val="006B1D9B"/>
    <w:rsid w:val="006B20A8"/>
    <w:rsid w:val="006B2452"/>
    <w:rsid w:val="006B2A77"/>
    <w:rsid w:val="006B31A1"/>
    <w:rsid w:val="006B3265"/>
    <w:rsid w:val="006B3B22"/>
    <w:rsid w:val="006B4397"/>
    <w:rsid w:val="006B4454"/>
    <w:rsid w:val="006B5562"/>
    <w:rsid w:val="006B6BEA"/>
    <w:rsid w:val="006B75CC"/>
    <w:rsid w:val="006B7786"/>
    <w:rsid w:val="006C0185"/>
    <w:rsid w:val="006C0538"/>
    <w:rsid w:val="006C0B31"/>
    <w:rsid w:val="006C1332"/>
    <w:rsid w:val="006C1D3A"/>
    <w:rsid w:val="006C3248"/>
    <w:rsid w:val="006C36A5"/>
    <w:rsid w:val="006C3732"/>
    <w:rsid w:val="006C3DE5"/>
    <w:rsid w:val="006C43E8"/>
    <w:rsid w:val="006C44B8"/>
    <w:rsid w:val="006C4A45"/>
    <w:rsid w:val="006C5520"/>
    <w:rsid w:val="006C583F"/>
    <w:rsid w:val="006C6036"/>
    <w:rsid w:val="006C61D8"/>
    <w:rsid w:val="006C6507"/>
    <w:rsid w:val="006C71A5"/>
    <w:rsid w:val="006C74C9"/>
    <w:rsid w:val="006C7F05"/>
    <w:rsid w:val="006D00D1"/>
    <w:rsid w:val="006D0BCF"/>
    <w:rsid w:val="006D0BE3"/>
    <w:rsid w:val="006D16C3"/>
    <w:rsid w:val="006D1E10"/>
    <w:rsid w:val="006D1FB6"/>
    <w:rsid w:val="006D2504"/>
    <w:rsid w:val="006D269A"/>
    <w:rsid w:val="006D39E7"/>
    <w:rsid w:val="006D3AF9"/>
    <w:rsid w:val="006D418B"/>
    <w:rsid w:val="006D42DB"/>
    <w:rsid w:val="006D4B85"/>
    <w:rsid w:val="006D57BD"/>
    <w:rsid w:val="006D5884"/>
    <w:rsid w:val="006D623F"/>
    <w:rsid w:val="006D69EF"/>
    <w:rsid w:val="006D6A23"/>
    <w:rsid w:val="006D79C1"/>
    <w:rsid w:val="006E03B1"/>
    <w:rsid w:val="006E0606"/>
    <w:rsid w:val="006E0981"/>
    <w:rsid w:val="006E0B4B"/>
    <w:rsid w:val="006E101E"/>
    <w:rsid w:val="006E1393"/>
    <w:rsid w:val="006E1442"/>
    <w:rsid w:val="006E15BB"/>
    <w:rsid w:val="006E35DA"/>
    <w:rsid w:val="006E36DF"/>
    <w:rsid w:val="006E400B"/>
    <w:rsid w:val="006E43D2"/>
    <w:rsid w:val="006E4EF8"/>
    <w:rsid w:val="006E5E45"/>
    <w:rsid w:val="006E648C"/>
    <w:rsid w:val="006E6B46"/>
    <w:rsid w:val="006E71CE"/>
    <w:rsid w:val="006F06AD"/>
    <w:rsid w:val="006F07E8"/>
    <w:rsid w:val="006F0BBF"/>
    <w:rsid w:val="006F1645"/>
    <w:rsid w:val="006F2781"/>
    <w:rsid w:val="006F2A1C"/>
    <w:rsid w:val="006F2BB1"/>
    <w:rsid w:val="006F4763"/>
    <w:rsid w:val="006F4D7B"/>
    <w:rsid w:val="006F5385"/>
    <w:rsid w:val="006F5A45"/>
    <w:rsid w:val="006F6070"/>
    <w:rsid w:val="006F659F"/>
    <w:rsid w:val="006F71F6"/>
    <w:rsid w:val="006F75C2"/>
    <w:rsid w:val="006F75F0"/>
    <w:rsid w:val="006F788D"/>
    <w:rsid w:val="006F7CDB"/>
    <w:rsid w:val="006F7EF5"/>
    <w:rsid w:val="00700301"/>
    <w:rsid w:val="007007F2"/>
    <w:rsid w:val="007015FA"/>
    <w:rsid w:val="00701A7D"/>
    <w:rsid w:val="00701E1F"/>
    <w:rsid w:val="00701FD5"/>
    <w:rsid w:val="00703889"/>
    <w:rsid w:val="007042C8"/>
    <w:rsid w:val="00704C60"/>
    <w:rsid w:val="00704E56"/>
    <w:rsid w:val="0070597B"/>
    <w:rsid w:val="00705B3E"/>
    <w:rsid w:val="00706D22"/>
    <w:rsid w:val="00707F76"/>
    <w:rsid w:val="007101E2"/>
    <w:rsid w:val="00710456"/>
    <w:rsid w:val="00710642"/>
    <w:rsid w:val="007106C6"/>
    <w:rsid w:val="00710B5C"/>
    <w:rsid w:val="00711148"/>
    <w:rsid w:val="00711476"/>
    <w:rsid w:val="0071222C"/>
    <w:rsid w:val="00712D90"/>
    <w:rsid w:val="00712FD6"/>
    <w:rsid w:val="00713BE2"/>
    <w:rsid w:val="00714101"/>
    <w:rsid w:val="007145DE"/>
    <w:rsid w:val="007151F0"/>
    <w:rsid w:val="00715E3C"/>
    <w:rsid w:val="00716038"/>
    <w:rsid w:val="00716196"/>
    <w:rsid w:val="007161A5"/>
    <w:rsid w:val="007162D2"/>
    <w:rsid w:val="00717B39"/>
    <w:rsid w:val="00717E80"/>
    <w:rsid w:val="007211C4"/>
    <w:rsid w:val="007235AB"/>
    <w:rsid w:val="00724332"/>
    <w:rsid w:val="0072454A"/>
    <w:rsid w:val="00725493"/>
    <w:rsid w:val="007256AC"/>
    <w:rsid w:val="00725DD6"/>
    <w:rsid w:val="007262F6"/>
    <w:rsid w:val="007268F8"/>
    <w:rsid w:val="00726EB5"/>
    <w:rsid w:val="00727EB8"/>
    <w:rsid w:val="007302C7"/>
    <w:rsid w:val="0073106B"/>
    <w:rsid w:val="00732359"/>
    <w:rsid w:val="00733332"/>
    <w:rsid w:val="00733445"/>
    <w:rsid w:val="007335C0"/>
    <w:rsid w:val="00733B99"/>
    <w:rsid w:val="00733BA9"/>
    <w:rsid w:val="0073411E"/>
    <w:rsid w:val="00734A47"/>
    <w:rsid w:val="00734D04"/>
    <w:rsid w:val="0073514D"/>
    <w:rsid w:val="00736425"/>
    <w:rsid w:val="0073673D"/>
    <w:rsid w:val="0073674C"/>
    <w:rsid w:val="00736E28"/>
    <w:rsid w:val="00737424"/>
    <w:rsid w:val="00737AEC"/>
    <w:rsid w:val="00737BD8"/>
    <w:rsid w:val="00737E98"/>
    <w:rsid w:val="007401C4"/>
    <w:rsid w:val="00741234"/>
    <w:rsid w:val="00741667"/>
    <w:rsid w:val="00741D2B"/>
    <w:rsid w:val="00741F0F"/>
    <w:rsid w:val="0074205D"/>
    <w:rsid w:val="007425DC"/>
    <w:rsid w:val="007429C0"/>
    <w:rsid w:val="00743589"/>
    <w:rsid w:val="00743773"/>
    <w:rsid w:val="007440D4"/>
    <w:rsid w:val="00744DE3"/>
    <w:rsid w:val="00744EF4"/>
    <w:rsid w:val="007453F8"/>
    <w:rsid w:val="00746452"/>
    <w:rsid w:val="00746ADB"/>
    <w:rsid w:val="00746CDE"/>
    <w:rsid w:val="00746D49"/>
    <w:rsid w:val="00750060"/>
    <w:rsid w:val="00750269"/>
    <w:rsid w:val="007502EA"/>
    <w:rsid w:val="00750439"/>
    <w:rsid w:val="007519DB"/>
    <w:rsid w:val="00751BDB"/>
    <w:rsid w:val="00751CD2"/>
    <w:rsid w:val="0075251B"/>
    <w:rsid w:val="00752C27"/>
    <w:rsid w:val="00753015"/>
    <w:rsid w:val="0075316E"/>
    <w:rsid w:val="00753221"/>
    <w:rsid w:val="00753FF7"/>
    <w:rsid w:val="0075424D"/>
    <w:rsid w:val="007569DD"/>
    <w:rsid w:val="00756D62"/>
    <w:rsid w:val="00757196"/>
    <w:rsid w:val="00760287"/>
    <w:rsid w:val="00760759"/>
    <w:rsid w:val="00760892"/>
    <w:rsid w:val="00760A41"/>
    <w:rsid w:val="0076143D"/>
    <w:rsid w:val="00761919"/>
    <w:rsid w:val="007619D0"/>
    <w:rsid w:val="00761A25"/>
    <w:rsid w:val="00761BAD"/>
    <w:rsid w:val="0076267D"/>
    <w:rsid w:val="00762916"/>
    <w:rsid w:val="00762C2E"/>
    <w:rsid w:val="00764271"/>
    <w:rsid w:val="00764386"/>
    <w:rsid w:val="007648D8"/>
    <w:rsid w:val="00764EF3"/>
    <w:rsid w:val="00765E5B"/>
    <w:rsid w:val="00765FFB"/>
    <w:rsid w:val="00766E4E"/>
    <w:rsid w:val="00767628"/>
    <w:rsid w:val="00767EB9"/>
    <w:rsid w:val="00770C13"/>
    <w:rsid w:val="00770D65"/>
    <w:rsid w:val="00771178"/>
    <w:rsid w:val="007719E5"/>
    <w:rsid w:val="00771A54"/>
    <w:rsid w:val="00771BCB"/>
    <w:rsid w:val="00772078"/>
    <w:rsid w:val="007723E4"/>
    <w:rsid w:val="007729CD"/>
    <w:rsid w:val="00772B00"/>
    <w:rsid w:val="00772BFD"/>
    <w:rsid w:val="00773BB1"/>
    <w:rsid w:val="00773DB6"/>
    <w:rsid w:val="00774819"/>
    <w:rsid w:val="0077551F"/>
    <w:rsid w:val="00775D42"/>
    <w:rsid w:val="00776357"/>
    <w:rsid w:val="0077659E"/>
    <w:rsid w:val="00776835"/>
    <w:rsid w:val="007768B2"/>
    <w:rsid w:val="00777583"/>
    <w:rsid w:val="00781423"/>
    <w:rsid w:val="007816C5"/>
    <w:rsid w:val="007819D9"/>
    <w:rsid w:val="00783526"/>
    <w:rsid w:val="0078390C"/>
    <w:rsid w:val="00783949"/>
    <w:rsid w:val="00785761"/>
    <w:rsid w:val="00785BE4"/>
    <w:rsid w:val="00787221"/>
    <w:rsid w:val="00787A67"/>
    <w:rsid w:val="0079043F"/>
    <w:rsid w:val="00791034"/>
    <w:rsid w:val="00791352"/>
    <w:rsid w:val="00792887"/>
    <w:rsid w:val="00792B8A"/>
    <w:rsid w:val="00792C5F"/>
    <w:rsid w:val="007933C1"/>
    <w:rsid w:val="0079365C"/>
    <w:rsid w:val="00793A8D"/>
    <w:rsid w:val="00795AB8"/>
    <w:rsid w:val="00795B87"/>
    <w:rsid w:val="00796423"/>
    <w:rsid w:val="00796988"/>
    <w:rsid w:val="00796C0F"/>
    <w:rsid w:val="0079702F"/>
    <w:rsid w:val="00797669"/>
    <w:rsid w:val="007976D3"/>
    <w:rsid w:val="00797BED"/>
    <w:rsid w:val="00797D81"/>
    <w:rsid w:val="007A034C"/>
    <w:rsid w:val="007A0E7C"/>
    <w:rsid w:val="007A159D"/>
    <w:rsid w:val="007A1813"/>
    <w:rsid w:val="007A1C2F"/>
    <w:rsid w:val="007A1C4F"/>
    <w:rsid w:val="007A2147"/>
    <w:rsid w:val="007A252D"/>
    <w:rsid w:val="007A27CC"/>
    <w:rsid w:val="007A3154"/>
    <w:rsid w:val="007A3560"/>
    <w:rsid w:val="007A3F40"/>
    <w:rsid w:val="007A4173"/>
    <w:rsid w:val="007A4513"/>
    <w:rsid w:val="007A47FC"/>
    <w:rsid w:val="007A4A08"/>
    <w:rsid w:val="007A5C74"/>
    <w:rsid w:val="007A762A"/>
    <w:rsid w:val="007A7C8F"/>
    <w:rsid w:val="007A7DF1"/>
    <w:rsid w:val="007A7FFA"/>
    <w:rsid w:val="007B02BF"/>
    <w:rsid w:val="007B0338"/>
    <w:rsid w:val="007B067C"/>
    <w:rsid w:val="007B1066"/>
    <w:rsid w:val="007B1E07"/>
    <w:rsid w:val="007B1E8C"/>
    <w:rsid w:val="007B438F"/>
    <w:rsid w:val="007B5101"/>
    <w:rsid w:val="007B56D7"/>
    <w:rsid w:val="007B5749"/>
    <w:rsid w:val="007B5E83"/>
    <w:rsid w:val="007B620E"/>
    <w:rsid w:val="007B64DA"/>
    <w:rsid w:val="007B64ED"/>
    <w:rsid w:val="007B7360"/>
    <w:rsid w:val="007B74F7"/>
    <w:rsid w:val="007B7756"/>
    <w:rsid w:val="007C014B"/>
    <w:rsid w:val="007C03EE"/>
    <w:rsid w:val="007C122D"/>
    <w:rsid w:val="007C18A2"/>
    <w:rsid w:val="007C1D48"/>
    <w:rsid w:val="007C31C1"/>
    <w:rsid w:val="007C33A0"/>
    <w:rsid w:val="007C3433"/>
    <w:rsid w:val="007C3E99"/>
    <w:rsid w:val="007C3F47"/>
    <w:rsid w:val="007C4099"/>
    <w:rsid w:val="007C41E0"/>
    <w:rsid w:val="007C4E73"/>
    <w:rsid w:val="007C566E"/>
    <w:rsid w:val="007C58E4"/>
    <w:rsid w:val="007C5A2B"/>
    <w:rsid w:val="007C5E24"/>
    <w:rsid w:val="007C64AE"/>
    <w:rsid w:val="007C6B71"/>
    <w:rsid w:val="007C799E"/>
    <w:rsid w:val="007C7B83"/>
    <w:rsid w:val="007D13CD"/>
    <w:rsid w:val="007D1595"/>
    <w:rsid w:val="007D2515"/>
    <w:rsid w:val="007D438F"/>
    <w:rsid w:val="007D5240"/>
    <w:rsid w:val="007D5A0C"/>
    <w:rsid w:val="007D682E"/>
    <w:rsid w:val="007D6A5C"/>
    <w:rsid w:val="007D6CD2"/>
    <w:rsid w:val="007D6DC9"/>
    <w:rsid w:val="007D729C"/>
    <w:rsid w:val="007D7F6C"/>
    <w:rsid w:val="007E0A5E"/>
    <w:rsid w:val="007E24D6"/>
    <w:rsid w:val="007E25B4"/>
    <w:rsid w:val="007E271B"/>
    <w:rsid w:val="007E2EAE"/>
    <w:rsid w:val="007E306E"/>
    <w:rsid w:val="007E31FA"/>
    <w:rsid w:val="007E449B"/>
    <w:rsid w:val="007E4EC8"/>
    <w:rsid w:val="007E547A"/>
    <w:rsid w:val="007E6F8D"/>
    <w:rsid w:val="007E701A"/>
    <w:rsid w:val="007E7BAF"/>
    <w:rsid w:val="007F0C47"/>
    <w:rsid w:val="007F114B"/>
    <w:rsid w:val="007F1629"/>
    <w:rsid w:val="007F352A"/>
    <w:rsid w:val="007F383D"/>
    <w:rsid w:val="007F38DD"/>
    <w:rsid w:val="007F42D2"/>
    <w:rsid w:val="007F45DF"/>
    <w:rsid w:val="007F5795"/>
    <w:rsid w:val="007F5806"/>
    <w:rsid w:val="007F5C2D"/>
    <w:rsid w:val="007F608F"/>
    <w:rsid w:val="007F6B23"/>
    <w:rsid w:val="007F74E5"/>
    <w:rsid w:val="007F75EE"/>
    <w:rsid w:val="0080041C"/>
    <w:rsid w:val="0080054C"/>
    <w:rsid w:val="008005FC"/>
    <w:rsid w:val="008015BF"/>
    <w:rsid w:val="00801675"/>
    <w:rsid w:val="00801A31"/>
    <w:rsid w:val="00801F8E"/>
    <w:rsid w:val="008022CC"/>
    <w:rsid w:val="00802BFF"/>
    <w:rsid w:val="008038EB"/>
    <w:rsid w:val="008040FC"/>
    <w:rsid w:val="00804755"/>
    <w:rsid w:val="0080598F"/>
    <w:rsid w:val="00806587"/>
    <w:rsid w:val="00806714"/>
    <w:rsid w:val="00807439"/>
    <w:rsid w:val="00807F5B"/>
    <w:rsid w:val="0081071C"/>
    <w:rsid w:val="00810E86"/>
    <w:rsid w:val="0081144B"/>
    <w:rsid w:val="00811AF6"/>
    <w:rsid w:val="00813EBC"/>
    <w:rsid w:val="0081467A"/>
    <w:rsid w:val="00814A1E"/>
    <w:rsid w:val="00815B2A"/>
    <w:rsid w:val="008170FD"/>
    <w:rsid w:val="0081717A"/>
    <w:rsid w:val="00817471"/>
    <w:rsid w:val="00817689"/>
    <w:rsid w:val="00817918"/>
    <w:rsid w:val="008200C7"/>
    <w:rsid w:val="00820499"/>
    <w:rsid w:val="00820621"/>
    <w:rsid w:val="00820670"/>
    <w:rsid w:val="00820791"/>
    <w:rsid w:val="00821664"/>
    <w:rsid w:val="00821BEB"/>
    <w:rsid w:val="00823DA7"/>
    <w:rsid w:val="008240B1"/>
    <w:rsid w:val="008241BD"/>
    <w:rsid w:val="00825673"/>
    <w:rsid w:val="0082643E"/>
    <w:rsid w:val="00830A99"/>
    <w:rsid w:val="00830CD1"/>
    <w:rsid w:val="00831323"/>
    <w:rsid w:val="00831363"/>
    <w:rsid w:val="0083171C"/>
    <w:rsid w:val="00832563"/>
    <w:rsid w:val="0083282A"/>
    <w:rsid w:val="00833CE9"/>
    <w:rsid w:val="00834160"/>
    <w:rsid w:val="00834470"/>
    <w:rsid w:val="008348BE"/>
    <w:rsid w:val="00835715"/>
    <w:rsid w:val="00835793"/>
    <w:rsid w:val="00835DC2"/>
    <w:rsid w:val="00835F35"/>
    <w:rsid w:val="008367E2"/>
    <w:rsid w:val="00836984"/>
    <w:rsid w:val="008370F0"/>
    <w:rsid w:val="00837F33"/>
    <w:rsid w:val="00841C36"/>
    <w:rsid w:val="00841E34"/>
    <w:rsid w:val="0084204D"/>
    <w:rsid w:val="008425E7"/>
    <w:rsid w:val="00843923"/>
    <w:rsid w:val="00844771"/>
    <w:rsid w:val="00844BB0"/>
    <w:rsid w:val="00844D2C"/>
    <w:rsid w:val="00844D4A"/>
    <w:rsid w:val="00845B37"/>
    <w:rsid w:val="00845DF5"/>
    <w:rsid w:val="008460C6"/>
    <w:rsid w:val="00847608"/>
    <w:rsid w:val="00847B67"/>
    <w:rsid w:val="00847F86"/>
    <w:rsid w:val="008508EF"/>
    <w:rsid w:val="00850934"/>
    <w:rsid w:val="00850B9B"/>
    <w:rsid w:val="00851791"/>
    <w:rsid w:val="00851A7E"/>
    <w:rsid w:val="0085214F"/>
    <w:rsid w:val="00852360"/>
    <w:rsid w:val="00852A29"/>
    <w:rsid w:val="00855587"/>
    <w:rsid w:val="00856089"/>
    <w:rsid w:val="0085621A"/>
    <w:rsid w:val="00856396"/>
    <w:rsid w:val="008565A0"/>
    <w:rsid w:val="008567FA"/>
    <w:rsid w:val="00856AB1"/>
    <w:rsid w:val="0085706E"/>
    <w:rsid w:val="00857361"/>
    <w:rsid w:val="00857405"/>
    <w:rsid w:val="00857F6E"/>
    <w:rsid w:val="008602FC"/>
    <w:rsid w:val="008607D6"/>
    <w:rsid w:val="0086093E"/>
    <w:rsid w:val="00860A85"/>
    <w:rsid w:val="0086145F"/>
    <w:rsid w:val="008615A5"/>
    <w:rsid w:val="0086160A"/>
    <w:rsid w:val="00861B36"/>
    <w:rsid w:val="00861BE2"/>
    <w:rsid w:val="00861DBE"/>
    <w:rsid w:val="00862354"/>
    <w:rsid w:val="0086278B"/>
    <w:rsid w:val="00862B41"/>
    <w:rsid w:val="00862F74"/>
    <w:rsid w:val="008638DB"/>
    <w:rsid w:val="008641DC"/>
    <w:rsid w:val="008647D7"/>
    <w:rsid w:val="00864869"/>
    <w:rsid w:val="00864CF2"/>
    <w:rsid w:val="00865BDB"/>
    <w:rsid w:val="00866761"/>
    <w:rsid w:val="008667D3"/>
    <w:rsid w:val="0086691C"/>
    <w:rsid w:val="00866BAA"/>
    <w:rsid w:val="00866C1F"/>
    <w:rsid w:val="00866C29"/>
    <w:rsid w:val="00866E5E"/>
    <w:rsid w:val="008670A4"/>
    <w:rsid w:val="0086782A"/>
    <w:rsid w:val="00867E73"/>
    <w:rsid w:val="00870169"/>
    <w:rsid w:val="0087080C"/>
    <w:rsid w:val="00870D44"/>
    <w:rsid w:val="00870E2D"/>
    <w:rsid w:val="00871231"/>
    <w:rsid w:val="00872E67"/>
    <w:rsid w:val="0087381D"/>
    <w:rsid w:val="00873C7A"/>
    <w:rsid w:val="00873EA5"/>
    <w:rsid w:val="00874CAE"/>
    <w:rsid w:val="00874DC1"/>
    <w:rsid w:val="008752EE"/>
    <w:rsid w:val="0087581D"/>
    <w:rsid w:val="00875D0F"/>
    <w:rsid w:val="00876632"/>
    <w:rsid w:val="00876A1B"/>
    <w:rsid w:val="00877929"/>
    <w:rsid w:val="00877ACB"/>
    <w:rsid w:val="00880749"/>
    <w:rsid w:val="00880868"/>
    <w:rsid w:val="00880F34"/>
    <w:rsid w:val="0088115A"/>
    <w:rsid w:val="00882263"/>
    <w:rsid w:val="00882B3B"/>
    <w:rsid w:val="00883006"/>
    <w:rsid w:val="00883B8B"/>
    <w:rsid w:val="00883BD0"/>
    <w:rsid w:val="008844AB"/>
    <w:rsid w:val="00885313"/>
    <w:rsid w:val="00885851"/>
    <w:rsid w:val="00885CAD"/>
    <w:rsid w:val="00890D58"/>
    <w:rsid w:val="00891004"/>
    <w:rsid w:val="00891590"/>
    <w:rsid w:val="00892A56"/>
    <w:rsid w:val="00892C4D"/>
    <w:rsid w:val="00892C5A"/>
    <w:rsid w:val="00892DFC"/>
    <w:rsid w:val="008932AF"/>
    <w:rsid w:val="00893693"/>
    <w:rsid w:val="00893887"/>
    <w:rsid w:val="00894631"/>
    <w:rsid w:val="00894B2B"/>
    <w:rsid w:val="00894FDA"/>
    <w:rsid w:val="00895522"/>
    <w:rsid w:val="00896301"/>
    <w:rsid w:val="0089718D"/>
    <w:rsid w:val="00897222"/>
    <w:rsid w:val="008976A5"/>
    <w:rsid w:val="008A1092"/>
    <w:rsid w:val="008A2134"/>
    <w:rsid w:val="008A267C"/>
    <w:rsid w:val="008A2742"/>
    <w:rsid w:val="008A37AC"/>
    <w:rsid w:val="008A4026"/>
    <w:rsid w:val="008A4499"/>
    <w:rsid w:val="008A4650"/>
    <w:rsid w:val="008A52A1"/>
    <w:rsid w:val="008A5552"/>
    <w:rsid w:val="008A6831"/>
    <w:rsid w:val="008A72A3"/>
    <w:rsid w:val="008B0952"/>
    <w:rsid w:val="008B0F63"/>
    <w:rsid w:val="008B1172"/>
    <w:rsid w:val="008B1D43"/>
    <w:rsid w:val="008B1DB0"/>
    <w:rsid w:val="008B2832"/>
    <w:rsid w:val="008B2C79"/>
    <w:rsid w:val="008B2DE2"/>
    <w:rsid w:val="008B4423"/>
    <w:rsid w:val="008B4A4B"/>
    <w:rsid w:val="008B4E10"/>
    <w:rsid w:val="008B55D7"/>
    <w:rsid w:val="008B56C4"/>
    <w:rsid w:val="008B5850"/>
    <w:rsid w:val="008B5A48"/>
    <w:rsid w:val="008B5BB0"/>
    <w:rsid w:val="008B646E"/>
    <w:rsid w:val="008B6787"/>
    <w:rsid w:val="008B6911"/>
    <w:rsid w:val="008B69A3"/>
    <w:rsid w:val="008B69CF"/>
    <w:rsid w:val="008B6A0C"/>
    <w:rsid w:val="008B6B7B"/>
    <w:rsid w:val="008B6EF7"/>
    <w:rsid w:val="008B7891"/>
    <w:rsid w:val="008B7A8A"/>
    <w:rsid w:val="008B7AA7"/>
    <w:rsid w:val="008C1059"/>
    <w:rsid w:val="008C1458"/>
    <w:rsid w:val="008C1471"/>
    <w:rsid w:val="008C2061"/>
    <w:rsid w:val="008C22F4"/>
    <w:rsid w:val="008C49A3"/>
    <w:rsid w:val="008C52FC"/>
    <w:rsid w:val="008C567D"/>
    <w:rsid w:val="008C5780"/>
    <w:rsid w:val="008C604C"/>
    <w:rsid w:val="008C64B6"/>
    <w:rsid w:val="008C6799"/>
    <w:rsid w:val="008C6C18"/>
    <w:rsid w:val="008C6E4F"/>
    <w:rsid w:val="008D096F"/>
    <w:rsid w:val="008D0B14"/>
    <w:rsid w:val="008D0DC9"/>
    <w:rsid w:val="008D0E92"/>
    <w:rsid w:val="008D12F8"/>
    <w:rsid w:val="008D1BDF"/>
    <w:rsid w:val="008D2231"/>
    <w:rsid w:val="008D240C"/>
    <w:rsid w:val="008D2487"/>
    <w:rsid w:val="008D3D3C"/>
    <w:rsid w:val="008D5D41"/>
    <w:rsid w:val="008D6B75"/>
    <w:rsid w:val="008D727C"/>
    <w:rsid w:val="008D740F"/>
    <w:rsid w:val="008D7BAD"/>
    <w:rsid w:val="008D7C9F"/>
    <w:rsid w:val="008E058D"/>
    <w:rsid w:val="008E153A"/>
    <w:rsid w:val="008E15DB"/>
    <w:rsid w:val="008E1741"/>
    <w:rsid w:val="008E2275"/>
    <w:rsid w:val="008E273D"/>
    <w:rsid w:val="008E2E73"/>
    <w:rsid w:val="008E3C29"/>
    <w:rsid w:val="008E3F3C"/>
    <w:rsid w:val="008E4112"/>
    <w:rsid w:val="008E42DF"/>
    <w:rsid w:val="008E42FF"/>
    <w:rsid w:val="008E5308"/>
    <w:rsid w:val="008E5E25"/>
    <w:rsid w:val="008E6296"/>
    <w:rsid w:val="008E63B9"/>
    <w:rsid w:val="008E75AF"/>
    <w:rsid w:val="008E78AD"/>
    <w:rsid w:val="008F015C"/>
    <w:rsid w:val="008F021B"/>
    <w:rsid w:val="008F0DBD"/>
    <w:rsid w:val="008F159F"/>
    <w:rsid w:val="008F16B9"/>
    <w:rsid w:val="008F2C11"/>
    <w:rsid w:val="008F360B"/>
    <w:rsid w:val="008F3A33"/>
    <w:rsid w:val="008F3A8B"/>
    <w:rsid w:val="008F3B7A"/>
    <w:rsid w:val="008F434C"/>
    <w:rsid w:val="008F45BB"/>
    <w:rsid w:val="008F58F3"/>
    <w:rsid w:val="008F5FE8"/>
    <w:rsid w:val="008F64C2"/>
    <w:rsid w:val="008F6847"/>
    <w:rsid w:val="008F6B7E"/>
    <w:rsid w:val="008F6BDB"/>
    <w:rsid w:val="008F6CBE"/>
    <w:rsid w:val="008F6EDB"/>
    <w:rsid w:val="008F7096"/>
    <w:rsid w:val="008F7196"/>
    <w:rsid w:val="008F73E9"/>
    <w:rsid w:val="008F742F"/>
    <w:rsid w:val="008F75D1"/>
    <w:rsid w:val="008F7B20"/>
    <w:rsid w:val="00900F29"/>
    <w:rsid w:val="00902909"/>
    <w:rsid w:val="00903173"/>
    <w:rsid w:val="0090334C"/>
    <w:rsid w:val="00903707"/>
    <w:rsid w:val="0090398B"/>
    <w:rsid w:val="00904013"/>
    <w:rsid w:val="00904190"/>
    <w:rsid w:val="0090477C"/>
    <w:rsid w:val="00904957"/>
    <w:rsid w:val="00904CF8"/>
    <w:rsid w:val="00905504"/>
    <w:rsid w:val="0090699F"/>
    <w:rsid w:val="0090726F"/>
    <w:rsid w:val="009072D7"/>
    <w:rsid w:val="0090732C"/>
    <w:rsid w:val="009075C3"/>
    <w:rsid w:val="00907C9B"/>
    <w:rsid w:val="00907CD7"/>
    <w:rsid w:val="009107C6"/>
    <w:rsid w:val="00910A12"/>
    <w:rsid w:val="00910EC5"/>
    <w:rsid w:val="00910EE2"/>
    <w:rsid w:val="0091145D"/>
    <w:rsid w:val="00911568"/>
    <w:rsid w:val="0091196B"/>
    <w:rsid w:val="00911A31"/>
    <w:rsid w:val="00911A35"/>
    <w:rsid w:val="009121D5"/>
    <w:rsid w:val="0091286C"/>
    <w:rsid w:val="00913206"/>
    <w:rsid w:val="009133BF"/>
    <w:rsid w:val="00913A04"/>
    <w:rsid w:val="00913BC2"/>
    <w:rsid w:val="0091419F"/>
    <w:rsid w:val="009142F5"/>
    <w:rsid w:val="00914CEA"/>
    <w:rsid w:val="00914ED5"/>
    <w:rsid w:val="00914FA9"/>
    <w:rsid w:val="00915278"/>
    <w:rsid w:val="00915613"/>
    <w:rsid w:val="00915970"/>
    <w:rsid w:val="00915BDC"/>
    <w:rsid w:val="00915D63"/>
    <w:rsid w:val="00916254"/>
    <w:rsid w:val="0091634A"/>
    <w:rsid w:val="0091692A"/>
    <w:rsid w:val="00917792"/>
    <w:rsid w:val="00920500"/>
    <w:rsid w:val="009209F8"/>
    <w:rsid w:val="00921992"/>
    <w:rsid w:val="00922B80"/>
    <w:rsid w:val="00922C2C"/>
    <w:rsid w:val="00923BA8"/>
    <w:rsid w:val="00923CEA"/>
    <w:rsid w:val="00923DE3"/>
    <w:rsid w:val="00924074"/>
    <w:rsid w:val="00924162"/>
    <w:rsid w:val="009242BD"/>
    <w:rsid w:val="00924C94"/>
    <w:rsid w:val="00924D94"/>
    <w:rsid w:val="00925159"/>
    <w:rsid w:val="00925C65"/>
    <w:rsid w:val="00925FAB"/>
    <w:rsid w:val="009263CA"/>
    <w:rsid w:val="00926E52"/>
    <w:rsid w:val="00926ED1"/>
    <w:rsid w:val="0092733D"/>
    <w:rsid w:val="009305E7"/>
    <w:rsid w:val="00930E29"/>
    <w:rsid w:val="00930EA5"/>
    <w:rsid w:val="009312CF"/>
    <w:rsid w:val="0093174A"/>
    <w:rsid w:val="00932100"/>
    <w:rsid w:val="0093278D"/>
    <w:rsid w:val="009329E9"/>
    <w:rsid w:val="00933314"/>
    <w:rsid w:val="00933991"/>
    <w:rsid w:val="00933BD2"/>
    <w:rsid w:val="00933C45"/>
    <w:rsid w:val="00933D19"/>
    <w:rsid w:val="0093407C"/>
    <w:rsid w:val="00934163"/>
    <w:rsid w:val="0093576F"/>
    <w:rsid w:val="00935831"/>
    <w:rsid w:val="009359E1"/>
    <w:rsid w:val="00935C03"/>
    <w:rsid w:val="00936198"/>
    <w:rsid w:val="00936376"/>
    <w:rsid w:val="009363B8"/>
    <w:rsid w:val="00936483"/>
    <w:rsid w:val="0093690E"/>
    <w:rsid w:val="00936D9E"/>
    <w:rsid w:val="00937B7A"/>
    <w:rsid w:val="00937EEC"/>
    <w:rsid w:val="00940678"/>
    <w:rsid w:val="0094130F"/>
    <w:rsid w:val="00941CA4"/>
    <w:rsid w:val="00941CCE"/>
    <w:rsid w:val="0094212E"/>
    <w:rsid w:val="00943024"/>
    <w:rsid w:val="00943B6B"/>
    <w:rsid w:val="00943C36"/>
    <w:rsid w:val="00943E3C"/>
    <w:rsid w:val="009446AD"/>
    <w:rsid w:val="009446DA"/>
    <w:rsid w:val="009447EB"/>
    <w:rsid w:val="00944A08"/>
    <w:rsid w:val="00944FDF"/>
    <w:rsid w:val="00945179"/>
    <w:rsid w:val="00945552"/>
    <w:rsid w:val="00945F1F"/>
    <w:rsid w:val="009461C1"/>
    <w:rsid w:val="009465C9"/>
    <w:rsid w:val="00946D63"/>
    <w:rsid w:val="00950575"/>
    <w:rsid w:val="0095126B"/>
    <w:rsid w:val="00951675"/>
    <w:rsid w:val="00951791"/>
    <w:rsid w:val="00953374"/>
    <w:rsid w:val="00953920"/>
    <w:rsid w:val="00953970"/>
    <w:rsid w:val="00953BB7"/>
    <w:rsid w:val="00953FAD"/>
    <w:rsid w:val="0095420C"/>
    <w:rsid w:val="00954425"/>
    <w:rsid w:val="00954F22"/>
    <w:rsid w:val="0095505A"/>
    <w:rsid w:val="0095570D"/>
    <w:rsid w:val="00955BB3"/>
    <w:rsid w:val="0095645D"/>
    <w:rsid w:val="00957C03"/>
    <w:rsid w:val="00957C88"/>
    <w:rsid w:val="00957F8B"/>
    <w:rsid w:val="0096028E"/>
    <w:rsid w:val="00960605"/>
    <w:rsid w:val="0096073B"/>
    <w:rsid w:val="00960A0F"/>
    <w:rsid w:val="00960D05"/>
    <w:rsid w:val="00961324"/>
    <w:rsid w:val="00961622"/>
    <w:rsid w:val="00961710"/>
    <w:rsid w:val="00962B0A"/>
    <w:rsid w:val="00964A0B"/>
    <w:rsid w:val="0096500B"/>
    <w:rsid w:val="0096554C"/>
    <w:rsid w:val="00965F50"/>
    <w:rsid w:val="00966015"/>
    <w:rsid w:val="009666C3"/>
    <w:rsid w:val="00967A2D"/>
    <w:rsid w:val="00967B7F"/>
    <w:rsid w:val="0097039C"/>
    <w:rsid w:val="0097204D"/>
    <w:rsid w:val="0097214F"/>
    <w:rsid w:val="009721AE"/>
    <w:rsid w:val="009721D8"/>
    <w:rsid w:val="00972224"/>
    <w:rsid w:val="00973147"/>
    <w:rsid w:val="009733BB"/>
    <w:rsid w:val="009739C3"/>
    <w:rsid w:val="009743C3"/>
    <w:rsid w:val="0097489A"/>
    <w:rsid w:val="00974A4F"/>
    <w:rsid w:val="00974CD1"/>
    <w:rsid w:val="00975483"/>
    <w:rsid w:val="00975B8C"/>
    <w:rsid w:val="009769F4"/>
    <w:rsid w:val="00976A84"/>
    <w:rsid w:val="00977906"/>
    <w:rsid w:val="00977DAF"/>
    <w:rsid w:val="00977E8F"/>
    <w:rsid w:val="00977E9C"/>
    <w:rsid w:val="0098000D"/>
    <w:rsid w:val="009800C9"/>
    <w:rsid w:val="00980999"/>
    <w:rsid w:val="00980CF4"/>
    <w:rsid w:val="0098130E"/>
    <w:rsid w:val="00981BBE"/>
    <w:rsid w:val="009825BC"/>
    <w:rsid w:val="009826B4"/>
    <w:rsid w:val="009828A6"/>
    <w:rsid w:val="00982D52"/>
    <w:rsid w:val="00983E59"/>
    <w:rsid w:val="009840EE"/>
    <w:rsid w:val="00984712"/>
    <w:rsid w:val="009847CC"/>
    <w:rsid w:val="00984DF6"/>
    <w:rsid w:val="00985C14"/>
    <w:rsid w:val="00986E88"/>
    <w:rsid w:val="0098780E"/>
    <w:rsid w:val="009878E8"/>
    <w:rsid w:val="00987B3E"/>
    <w:rsid w:val="00987F31"/>
    <w:rsid w:val="0099071D"/>
    <w:rsid w:val="00990809"/>
    <w:rsid w:val="00992672"/>
    <w:rsid w:val="00992B64"/>
    <w:rsid w:val="00992CC7"/>
    <w:rsid w:val="00992D6A"/>
    <w:rsid w:val="009935CF"/>
    <w:rsid w:val="00993767"/>
    <w:rsid w:val="009940D9"/>
    <w:rsid w:val="009950B3"/>
    <w:rsid w:val="00996558"/>
    <w:rsid w:val="00997285"/>
    <w:rsid w:val="00997996"/>
    <w:rsid w:val="009A0BDE"/>
    <w:rsid w:val="009A0F8F"/>
    <w:rsid w:val="009A10F2"/>
    <w:rsid w:val="009A31AA"/>
    <w:rsid w:val="009A320D"/>
    <w:rsid w:val="009A332F"/>
    <w:rsid w:val="009A3D05"/>
    <w:rsid w:val="009A5F7A"/>
    <w:rsid w:val="009A6856"/>
    <w:rsid w:val="009A6C68"/>
    <w:rsid w:val="009B154F"/>
    <w:rsid w:val="009B179C"/>
    <w:rsid w:val="009B22F2"/>
    <w:rsid w:val="009B3F8B"/>
    <w:rsid w:val="009B407C"/>
    <w:rsid w:val="009B45A3"/>
    <w:rsid w:val="009B48C7"/>
    <w:rsid w:val="009B4A6E"/>
    <w:rsid w:val="009B5618"/>
    <w:rsid w:val="009B5916"/>
    <w:rsid w:val="009B5A05"/>
    <w:rsid w:val="009B6D63"/>
    <w:rsid w:val="009B75EC"/>
    <w:rsid w:val="009B7E62"/>
    <w:rsid w:val="009C08F9"/>
    <w:rsid w:val="009C0FB5"/>
    <w:rsid w:val="009C158D"/>
    <w:rsid w:val="009C15DC"/>
    <w:rsid w:val="009C187D"/>
    <w:rsid w:val="009C240F"/>
    <w:rsid w:val="009C267A"/>
    <w:rsid w:val="009C2C08"/>
    <w:rsid w:val="009C3263"/>
    <w:rsid w:val="009C3F3F"/>
    <w:rsid w:val="009C4694"/>
    <w:rsid w:val="009C5C3E"/>
    <w:rsid w:val="009C5C84"/>
    <w:rsid w:val="009C5F19"/>
    <w:rsid w:val="009C66E7"/>
    <w:rsid w:val="009C66EA"/>
    <w:rsid w:val="009C6F0D"/>
    <w:rsid w:val="009D03B9"/>
    <w:rsid w:val="009D0FDD"/>
    <w:rsid w:val="009D10B6"/>
    <w:rsid w:val="009D1173"/>
    <w:rsid w:val="009D3F51"/>
    <w:rsid w:val="009D4098"/>
    <w:rsid w:val="009D4B34"/>
    <w:rsid w:val="009D4BCB"/>
    <w:rsid w:val="009D5A17"/>
    <w:rsid w:val="009D5BA9"/>
    <w:rsid w:val="009D5F90"/>
    <w:rsid w:val="009D6B09"/>
    <w:rsid w:val="009D6B67"/>
    <w:rsid w:val="009D72DA"/>
    <w:rsid w:val="009E056B"/>
    <w:rsid w:val="009E0BBC"/>
    <w:rsid w:val="009E1963"/>
    <w:rsid w:val="009E1A36"/>
    <w:rsid w:val="009E408A"/>
    <w:rsid w:val="009E4675"/>
    <w:rsid w:val="009E4D84"/>
    <w:rsid w:val="009E551E"/>
    <w:rsid w:val="009E60DA"/>
    <w:rsid w:val="009E6AE1"/>
    <w:rsid w:val="009E7356"/>
    <w:rsid w:val="009E7640"/>
    <w:rsid w:val="009E7E10"/>
    <w:rsid w:val="009F0338"/>
    <w:rsid w:val="009F20AE"/>
    <w:rsid w:val="009F22AF"/>
    <w:rsid w:val="009F282C"/>
    <w:rsid w:val="009F2B4C"/>
    <w:rsid w:val="009F30A5"/>
    <w:rsid w:val="009F353E"/>
    <w:rsid w:val="009F3552"/>
    <w:rsid w:val="009F393E"/>
    <w:rsid w:val="009F3AEA"/>
    <w:rsid w:val="009F3B31"/>
    <w:rsid w:val="009F4145"/>
    <w:rsid w:val="009F58FF"/>
    <w:rsid w:val="009F5DD3"/>
    <w:rsid w:val="009F660F"/>
    <w:rsid w:val="009F6CDF"/>
    <w:rsid w:val="009F733E"/>
    <w:rsid w:val="009F7602"/>
    <w:rsid w:val="009F76F6"/>
    <w:rsid w:val="009F7775"/>
    <w:rsid w:val="009F7890"/>
    <w:rsid w:val="009F7986"/>
    <w:rsid w:val="00A0002F"/>
    <w:rsid w:val="00A00A2D"/>
    <w:rsid w:val="00A00BF7"/>
    <w:rsid w:val="00A01388"/>
    <w:rsid w:val="00A014D1"/>
    <w:rsid w:val="00A01783"/>
    <w:rsid w:val="00A017A8"/>
    <w:rsid w:val="00A02C6C"/>
    <w:rsid w:val="00A03651"/>
    <w:rsid w:val="00A04A17"/>
    <w:rsid w:val="00A05039"/>
    <w:rsid w:val="00A051CF"/>
    <w:rsid w:val="00A05209"/>
    <w:rsid w:val="00A05A75"/>
    <w:rsid w:val="00A06547"/>
    <w:rsid w:val="00A06A39"/>
    <w:rsid w:val="00A06F11"/>
    <w:rsid w:val="00A076CD"/>
    <w:rsid w:val="00A07948"/>
    <w:rsid w:val="00A07EE2"/>
    <w:rsid w:val="00A07F12"/>
    <w:rsid w:val="00A104BA"/>
    <w:rsid w:val="00A1102B"/>
    <w:rsid w:val="00A1126C"/>
    <w:rsid w:val="00A11675"/>
    <w:rsid w:val="00A11CB3"/>
    <w:rsid w:val="00A11DFD"/>
    <w:rsid w:val="00A12287"/>
    <w:rsid w:val="00A1259F"/>
    <w:rsid w:val="00A12689"/>
    <w:rsid w:val="00A1295E"/>
    <w:rsid w:val="00A13156"/>
    <w:rsid w:val="00A13AF6"/>
    <w:rsid w:val="00A13C18"/>
    <w:rsid w:val="00A13DC5"/>
    <w:rsid w:val="00A140C7"/>
    <w:rsid w:val="00A15031"/>
    <w:rsid w:val="00A15545"/>
    <w:rsid w:val="00A15AD8"/>
    <w:rsid w:val="00A160DB"/>
    <w:rsid w:val="00A1629C"/>
    <w:rsid w:val="00A17646"/>
    <w:rsid w:val="00A17D52"/>
    <w:rsid w:val="00A20948"/>
    <w:rsid w:val="00A213E9"/>
    <w:rsid w:val="00A21447"/>
    <w:rsid w:val="00A21ECE"/>
    <w:rsid w:val="00A21F19"/>
    <w:rsid w:val="00A220EB"/>
    <w:rsid w:val="00A233AA"/>
    <w:rsid w:val="00A251D9"/>
    <w:rsid w:val="00A2609C"/>
    <w:rsid w:val="00A260F6"/>
    <w:rsid w:val="00A26BBC"/>
    <w:rsid w:val="00A2729D"/>
    <w:rsid w:val="00A30878"/>
    <w:rsid w:val="00A3151E"/>
    <w:rsid w:val="00A31A41"/>
    <w:rsid w:val="00A32BAD"/>
    <w:rsid w:val="00A32CFF"/>
    <w:rsid w:val="00A33005"/>
    <w:rsid w:val="00A330A8"/>
    <w:rsid w:val="00A3313C"/>
    <w:rsid w:val="00A338BB"/>
    <w:rsid w:val="00A33E26"/>
    <w:rsid w:val="00A34639"/>
    <w:rsid w:val="00A348CD"/>
    <w:rsid w:val="00A361D3"/>
    <w:rsid w:val="00A3641C"/>
    <w:rsid w:val="00A36491"/>
    <w:rsid w:val="00A364B1"/>
    <w:rsid w:val="00A3798A"/>
    <w:rsid w:val="00A37A32"/>
    <w:rsid w:val="00A400DF"/>
    <w:rsid w:val="00A4048A"/>
    <w:rsid w:val="00A406E2"/>
    <w:rsid w:val="00A4084E"/>
    <w:rsid w:val="00A41155"/>
    <w:rsid w:val="00A41514"/>
    <w:rsid w:val="00A41C4B"/>
    <w:rsid w:val="00A4248C"/>
    <w:rsid w:val="00A425F4"/>
    <w:rsid w:val="00A42CA1"/>
    <w:rsid w:val="00A42D9D"/>
    <w:rsid w:val="00A43B0B"/>
    <w:rsid w:val="00A43DF7"/>
    <w:rsid w:val="00A449A9"/>
    <w:rsid w:val="00A44F65"/>
    <w:rsid w:val="00A45A0D"/>
    <w:rsid w:val="00A45B35"/>
    <w:rsid w:val="00A4611B"/>
    <w:rsid w:val="00A46691"/>
    <w:rsid w:val="00A46C3C"/>
    <w:rsid w:val="00A505A1"/>
    <w:rsid w:val="00A5168D"/>
    <w:rsid w:val="00A5209B"/>
    <w:rsid w:val="00A5231F"/>
    <w:rsid w:val="00A528BE"/>
    <w:rsid w:val="00A52B1B"/>
    <w:rsid w:val="00A52F78"/>
    <w:rsid w:val="00A531B7"/>
    <w:rsid w:val="00A536E1"/>
    <w:rsid w:val="00A538BC"/>
    <w:rsid w:val="00A53998"/>
    <w:rsid w:val="00A547F4"/>
    <w:rsid w:val="00A54AAB"/>
    <w:rsid w:val="00A5635A"/>
    <w:rsid w:val="00A5658C"/>
    <w:rsid w:val="00A56B53"/>
    <w:rsid w:val="00A56F7A"/>
    <w:rsid w:val="00A570B7"/>
    <w:rsid w:val="00A571B3"/>
    <w:rsid w:val="00A57598"/>
    <w:rsid w:val="00A57A24"/>
    <w:rsid w:val="00A57A75"/>
    <w:rsid w:val="00A57AA7"/>
    <w:rsid w:val="00A57B2A"/>
    <w:rsid w:val="00A57BCE"/>
    <w:rsid w:val="00A60CDE"/>
    <w:rsid w:val="00A61539"/>
    <w:rsid w:val="00A618A4"/>
    <w:rsid w:val="00A61959"/>
    <w:rsid w:val="00A61ACC"/>
    <w:rsid w:val="00A623C1"/>
    <w:rsid w:val="00A62542"/>
    <w:rsid w:val="00A62CC4"/>
    <w:rsid w:val="00A62D3C"/>
    <w:rsid w:val="00A63327"/>
    <w:rsid w:val="00A6394B"/>
    <w:rsid w:val="00A64374"/>
    <w:rsid w:val="00A64507"/>
    <w:rsid w:val="00A64A9E"/>
    <w:rsid w:val="00A651CB"/>
    <w:rsid w:val="00A65ED7"/>
    <w:rsid w:val="00A6644B"/>
    <w:rsid w:val="00A664D2"/>
    <w:rsid w:val="00A67EE7"/>
    <w:rsid w:val="00A7080E"/>
    <w:rsid w:val="00A718FF"/>
    <w:rsid w:val="00A72391"/>
    <w:rsid w:val="00A72A49"/>
    <w:rsid w:val="00A7367E"/>
    <w:rsid w:val="00A73E91"/>
    <w:rsid w:val="00A740E2"/>
    <w:rsid w:val="00A749B2"/>
    <w:rsid w:val="00A75015"/>
    <w:rsid w:val="00A75025"/>
    <w:rsid w:val="00A7534F"/>
    <w:rsid w:val="00A756D6"/>
    <w:rsid w:val="00A76481"/>
    <w:rsid w:val="00A764FB"/>
    <w:rsid w:val="00A7664D"/>
    <w:rsid w:val="00A77B05"/>
    <w:rsid w:val="00A8023D"/>
    <w:rsid w:val="00A8075A"/>
    <w:rsid w:val="00A810C0"/>
    <w:rsid w:val="00A813EB"/>
    <w:rsid w:val="00A81A1C"/>
    <w:rsid w:val="00A827B2"/>
    <w:rsid w:val="00A82A46"/>
    <w:rsid w:val="00A82DA4"/>
    <w:rsid w:val="00A82FE9"/>
    <w:rsid w:val="00A8341D"/>
    <w:rsid w:val="00A836D2"/>
    <w:rsid w:val="00A848F6"/>
    <w:rsid w:val="00A84A61"/>
    <w:rsid w:val="00A85975"/>
    <w:rsid w:val="00A85D2B"/>
    <w:rsid w:val="00A8709E"/>
    <w:rsid w:val="00A870A0"/>
    <w:rsid w:val="00A901E1"/>
    <w:rsid w:val="00A90D4C"/>
    <w:rsid w:val="00A9169D"/>
    <w:rsid w:val="00A91F41"/>
    <w:rsid w:val="00A9270E"/>
    <w:rsid w:val="00A92745"/>
    <w:rsid w:val="00A92B73"/>
    <w:rsid w:val="00A92EBD"/>
    <w:rsid w:val="00A9345C"/>
    <w:rsid w:val="00A94335"/>
    <w:rsid w:val="00A94F11"/>
    <w:rsid w:val="00A95117"/>
    <w:rsid w:val="00A95BF7"/>
    <w:rsid w:val="00A95C64"/>
    <w:rsid w:val="00A95D55"/>
    <w:rsid w:val="00A963BE"/>
    <w:rsid w:val="00A9655B"/>
    <w:rsid w:val="00A96A65"/>
    <w:rsid w:val="00A96B61"/>
    <w:rsid w:val="00A96C6A"/>
    <w:rsid w:val="00A97E8A"/>
    <w:rsid w:val="00A97EF8"/>
    <w:rsid w:val="00AA06EA"/>
    <w:rsid w:val="00AA11E8"/>
    <w:rsid w:val="00AA1397"/>
    <w:rsid w:val="00AA1878"/>
    <w:rsid w:val="00AA1EF4"/>
    <w:rsid w:val="00AA20D7"/>
    <w:rsid w:val="00AA20F9"/>
    <w:rsid w:val="00AA215D"/>
    <w:rsid w:val="00AA251B"/>
    <w:rsid w:val="00AA292F"/>
    <w:rsid w:val="00AA317A"/>
    <w:rsid w:val="00AA3C7D"/>
    <w:rsid w:val="00AA4003"/>
    <w:rsid w:val="00AA4651"/>
    <w:rsid w:val="00AA542F"/>
    <w:rsid w:val="00AA5611"/>
    <w:rsid w:val="00AA6039"/>
    <w:rsid w:val="00AA63F1"/>
    <w:rsid w:val="00AA7027"/>
    <w:rsid w:val="00AA787F"/>
    <w:rsid w:val="00AA7D47"/>
    <w:rsid w:val="00AB07C4"/>
    <w:rsid w:val="00AB094A"/>
    <w:rsid w:val="00AB0C13"/>
    <w:rsid w:val="00AB0F14"/>
    <w:rsid w:val="00AB1F2D"/>
    <w:rsid w:val="00AB2504"/>
    <w:rsid w:val="00AB2548"/>
    <w:rsid w:val="00AB265A"/>
    <w:rsid w:val="00AB3031"/>
    <w:rsid w:val="00AB345B"/>
    <w:rsid w:val="00AB44D2"/>
    <w:rsid w:val="00AB48E7"/>
    <w:rsid w:val="00AB4A9A"/>
    <w:rsid w:val="00AB4D4D"/>
    <w:rsid w:val="00AB67D4"/>
    <w:rsid w:val="00AB7172"/>
    <w:rsid w:val="00AB7700"/>
    <w:rsid w:val="00AC0366"/>
    <w:rsid w:val="00AC12EB"/>
    <w:rsid w:val="00AC1C8A"/>
    <w:rsid w:val="00AC282D"/>
    <w:rsid w:val="00AC3091"/>
    <w:rsid w:val="00AC359E"/>
    <w:rsid w:val="00AC5B4B"/>
    <w:rsid w:val="00AC5D23"/>
    <w:rsid w:val="00AC5EAA"/>
    <w:rsid w:val="00AC633E"/>
    <w:rsid w:val="00AC7660"/>
    <w:rsid w:val="00AC78CE"/>
    <w:rsid w:val="00AC79E4"/>
    <w:rsid w:val="00AD150E"/>
    <w:rsid w:val="00AD2228"/>
    <w:rsid w:val="00AD2339"/>
    <w:rsid w:val="00AD2A22"/>
    <w:rsid w:val="00AD4049"/>
    <w:rsid w:val="00AD42D1"/>
    <w:rsid w:val="00AD4394"/>
    <w:rsid w:val="00AD488A"/>
    <w:rsid w:val="00AD4F76"/>
    <w:rsid w:val="00AD6596"/>
    <w:rsid w:val="00AD6611"/>
    <w:rsid w:val="00AD72F5"/>
    <w:rsid w:val="00AD7953"/>
    <w:rsid w:val="00AD7E11"/>
    <w:rsid w:val="00AE0C36"/>
    <w:rsid w:val="00AE0E37"/>
    <w:rsid w:val="00AE139D"/>
    <w:rsid w:val="00AE2001"/>
    <w:rsid w:val="00AE2F1D"/>
    <w:rsid w:val="00AE2FE7"/>
    <w:rsid w:val="00AE3117"/>
    <w:rsid w:val="00AE3AE7"/>
    <w:rsid w:val="00AE3EE7"/>
    <w:rsid w:val="00AE3FCB"/>
    <w:rsid w:val="00AE4669"/>
    <w:rsid w:val="00AE48C5"/>
    <w:rsid w:val="00AE4ED3"/>
    <w:rsid w:val="00AE504E"/>
    <w:rsid w:val="00AE5A94"/>
    <w:rsid w:val="00AE67B0"/>
    <w:rsid w:val="00AE7537"/>
    <w:rsid w:val="00AE7AEE"/>
    <w:rsid w:val="00AF0E3F"/>
    <w:rsid w:val="00AF0E91"/>
    <w:rsid w:val="00AF1B61"/>
    <w:rsid w:val="00AF20E6"/>
    <w:rsid w:val="00AF2ECB"/>
    <w:rsid w:val="00AF3F16"/>
    <w:rsid w:val="00AF4BA9"/>
    <w:rsid w:val="00AF5281"/>
    <w:rsid w:val="00AF5B80"/>
    <w:rsid w:val="00AF6004"/>
    <w:rsid w:val="00AF76CD"/>
    <w:rsid w:val="00B00881"/>
    <w:rsid w:val="00B009CA"/>
    <w:rsid w:val="00B01114"/>
    <w:rsid w:val="00B01512"/>
    <w:rsid w:val="00B02009"/>
    <w:rsid w:val="00B02689"/>
    <w:rsid w:val="00B02BA5"/>
    <w:rsid w:val="00B02CAE"/>
    <w:rsid w:val="00B034A0"/>
    <w:rsid w:val="00B03879"/>
    <w:rsid w:val="00B03EE7"/>
    <w:rsid w:val="00B05BC1"/>
    <w:rsid w:val="00B05F24"/>
    <w:rsid w:val="00B06103"/>
    <w:rsid w:val="00B0682C"/>
    <w:rsid w:val="00B06FBF"/>
    <w:rsid w:val="00B0747C"/>
    <w:rsid w:val="00B07636"/>
    <w:rsid w:val="00B07FE3"/>
    <w:rsid w:val="00B103CB"/>
    <w:rsid w:val="00B10AD0"/>
    <w:rsid w:val="00B10B37"/>
    <w:rsid w:val="00B115E9"/>
    <w:rsid w:val="00B1216D"/>
    <w:rsid w:val="00B13042"/>
    <w:rsid w:val="00B13296"/>
    <w:rsid w:val="00B132DC"/>
    <w:rsid w:val="00B13CDC"/>
    <w:rsid w:val="00B14AC0"/>
    <w:rsid w:val="00B15121"/>
    <w:rsid w:val="00B17592"/>
    <w:rsid w:val="00B177F4"/>
    <w:rsid w:val="00B17B34"/>
    <w:rsid w:val="00B201AD"/>
    <w:rsid w:val="00B204DD"/>
    <w:rsid w:val="00B20BE4"/>
    <w:rsid w:val="00B211FA"/>
    <w:rsid w:val="00B219BD"/>
    <w:rsid w:val="00B21B53"/>
    <w:rsid w:val="00B222DC"/>
    <w:rsid w:val="00B22954"/>
    <w:rsid w:val="00B22998"/>
    <w:rsid w:val="00B22BC4"/>
    <w:rsid w:val="00B2328B"/>
    <w:rsid w:val="00B23561"/>
    <w:rsid w:val="00B2438F"/>
    <w:rsid w:val="00B24530"/>
    <w:rsid w:val="00B26312"/>
    <w:rsid w:val="00B26C47"/>
    <w:rsid w:val="00B27B31"/>
    <w:rsid w:val="00B27ED0"/>
    <w:rsid w:val="00B30A83"/>
    <w:rsid w:val="00B3107E"/>
    <w:rsid w:val="00B315DB"/>
    <w:rsid w:val="00B3186E"/>
    <w:rsid w:val="00B334B9"/>
    <w:rsid w:val="00B33C53"/>
    <w:rsid w:val="00B33C59"/>
    <w:rsid w:val="00B34566"/>
    <w:rsid w:val="00B34B50"/>
    <w:rsid w:val="00B34D49"/>
    <w:rsid w:val="00B36364"/>
    <w:rsid w:val="00B36C4B"/>
    <w:rsid w:val="00B36FD9"/>
    <w:rsid w:val="00B37639"/>
    <w:rsid w:val="00B37A56"/>
    <w:rsid w:val="00B4010A"/>
    <w:rsid w:val="00B40931"/>
    <w:rsid w:val="00B40EA8"/>
    <w:rsid w:val="00B40F1F"/>
    <w:rsid w:val="00B4101E"/>
    <w:rsid w:val="00B41099"/>
    <w:rsid w:val="00B4247F"/>
    <w:rsid w:val="00B429DC"/>
    <w:rsid w:val="00B43163"/>
    <w:rsid w:val="00B432BF"/>
    <w:rsid w:val="00B44BA6"/>
    <w:rsid w:val="00B45D34"/>
    <w:rsid w:val="00B47B6E"/>
    <w:rsid w:val="00B50037"/>
    <w:rsid w:val="00B50AA1"/>
    <w:rsid w:val="00B51F96"/>
    <w:rsid w:val="00B5214E"/>
    <w:rsid w:val="00B521C4"/>
    <w:rsid w:val="00B52556"/>
    <w:rsid w:val="00B529C0"/>
    <w:rsid w:val="00B52C84"/>
    <w:rsid w:val="00B52E74"/>
    <w:rsid w:val="00B52EF5"/>
    <w:rsid w:val="00B53037"/>
    <w:rsid w:val="00B53200"/>
    <w:rsid w:val="00B53CEE"/>
    <w:rsid w:val="00B53E6C"/>
    <w:rsid w:val="00B53FF3"/>
    <w:rsid w:val="00B54310"/>
    <w:rsid w:val="00B55103"/>
    <w:rsid w:val="00B5544D"/>
    <w:rsid w:val="00B55D70"/>
    <w:rsid w:val="00B55DCC"/>
    <w:rsid w:val="00B56BFD"/>
    <w:rsid w:val="00B56EB5"/>
    <w:rsid w:val="00B5704E"/>
    <w:rsid w:val="00B57386"/>
    <w:rsid w:val="00B57461"/>
    <w:rsid w:val="00B600E1"/>
    <w:rsid w:val="00B604B3"/>
    <w:rsid w:val="00B61D56"/>
    <w:rsid w:val="00B6262B"/>
    <w:rsid w:val="00B62B3F"/>
    <w:rsid w:val="00B62BC5"/>
    <w:rsid w:val="00B62D09"/>
    <w:rsid w:val="00B62D44"/>
    <w:rsid w:val="00B63A23"/>
    <w:rsid w:val="00B64362"/>
    <w:rsid w:val="00B643EA"/>
    <w:rsid w:val="00B64418"/>
    <w:rsid w:val="00B64AB6"/>
    <w:rsid w:val="00B652C0"/>
    <w:rsid w:val="00B6536F"/>
    <w:rsid w:val="00B6538F"/>
    <w:rsid w:val="00B654DD"/>
    <w:rsid w:val="00B65511"/>
    <w:rsid w:val="00B6620A"/>
    <w:rsid w:val="00B66BD1"/>
    <w:rsid w:val="00B66C9E"/>
    <w:rsid w:val="00B66F5B"/>
    <w:rsid w:val="00B70A31"/>
    <w:rsid w:val="00B70C42"/>
    <w:rsid w:val="00B70EDA"/>
    <w:rsid w:val="00B71191"/>
    <w:rsid w:val="00B723BA"/>
    <w:rsid w:val="00B726D2"/>
    <w:rsid w:val="00B73311"/>
    <w:rsid w:val="00B738FA"/>
    <w:rsid w:val="00B73A08"/>
    <w:rsid w:val="00B740A0"/>
    <w:rsid w:val="00B74591"/>
    <w:rsid w:val="00B74EDE"/>
    <w:rsid w:val="00B75279"/>
    <w:rsid w:val="00B756A8"/>
    <w:rsid w:val="00B75B0D"/>
    <w:rsid w:val="00B75B95"/>
    <w:rsid w:val="00B7716E"/>
    <w:rsid w:val="00B77235"/>
    <w:rsid w:val="00B8007A"/>
    <w:rsid w:val="00B8083C"/>
    <w:rsid w:val="00B80B55"/>
    <w:rsid w:val="00B8114F"/>
    <w:rsid w:val="00B81F2F"/>
    <w:rsid w:val="00B825F7"/>
    <w:rsid w:val="00B82941"/>
    <w:rsid w:val="00B82DFD"/>
    <w:rsid w:val="00B82E77"/>
    <w:rsid w:val="00B82F7C"/>
    <w:rsid w:val="00B8490D"/>
    <w:rsid w:val="00B8541F"/>
    <w:rsid w:val="00B857E3"/>
    <w:rsid w:val="00B85857"/>
    <w:rsid w:val="00B8648C"/>
    <w:rsid w:val="00B87A57"/>
    <w:rsid w:val="00B90090"/>
    <w:rsid w:val="00B90733"/>
    <w:rsid w:val="00B90B58"/>
    <w:rsid w:val="00B90B90"/>
    <w:rsid w:val="00B9115F"/>
    <w:rsid w:val="00B9269F"/>
    <w:rsid w:val="00B92C4A"/>
    <w:rsid w:val="00B93BB8"/>
    <w:rsid w:val="00B946B6"/>
    <w:rsid w:val="00B94E08"/>
    <w:rsid w:val="00B95AD8"/>
    <w:rsid w:val="00B95FDD"/>
    <w:rsid w:val="00B96253"/>
    <w:rsid w:val="00B97F7A"/>
    <w:rsid w:val="00BA01B8"/>
    <w:rsid w:val="00BA13CB"/>
    <w:rsid w:val="00BA1819"/>
    <w:rsid w:val="00BA1840"/>
    <w:rsid w:val="00BA3893"/>
    <w:rsid w:val="00BA3B9A"/>
    <w:rsid w:val="00BA3E8F"/>
    <w:rsid w:val="00BA44BE"/>
    <w:rsid w:val="00BA62EF"/>
    <w:rsid w:val="00BA6F92"/>
    <w:rsid w:val="00BB037A"/>
    <w:rsid w:val="00BB03DD"/>
    <w:rsid w:val="00BB045F"/>
    <w:rsid w:val="00BB0AC0"/>
    <w:rsid w:val="00BB0FA4"/>
    <w:rsid w:val="00BB10EE"/>
    <w:rsid w:val="00BB1812"/>
    <w:rsid w:val="00BB1B82"/>
    <w:rsid w:val="00BB291C"/>
    <w:rsid w:val="00BB387B"/>
    <w:rsid w:val="00BB3DA3"/>
    <w:rsid w:val="00BB4449"/>
    <w:rsid w:val="00BB489C"/>
    <w:rsid w:val="00BB493D"/>
    <w:rsid w:val="00BB4DD6"/>
    <w:rsid w:val="00BB573F"/>
    <w:rsid w:val="00BB5BF0"/>
    <w:rsid w:val="00BB63A7"/>
    <w:rsid w:val="00BB6B91"/>
    <w:rsid w:val="00BB6E80"/>
    <w:rsid w:val="00BB737E"/>
    <w:rsid w:val="00BB7799"/>
    <w:rsid w:val="00BB7CFE"/>
    <w:rsid w:val="00BC0108"/>
    <w:rsid w:val="00BC081C"/>
    <w:rsid w:val="00BC2525"/>
    <w:rsid w:val="00BC273E"/>
    <w:rsid w:val="00BC2A03"/>
    <w:rsid w:val="00BC2E13"/>
    <w:rsid w:val="00BC39F8"/>
    <w:rsid w:val="00BC44CF"/>
    <w:rsid w:val="00BC45BF"/>
    <w:rsid w:val="00BC4AB7"/>
    <w:rsid w:val="00BC5261"/>
    <w:rsid w:val="00BC52C5"/>
    <w:rsid w:val="00BC57A3"/>
    <w:rsid w:val="00BC5CF3"/>
    <w:rsid w:val="00BC5D77"/>
    <w:rsid w:val="00BC6144"/>
    <w:rsid w:val="00BC622E"/>
    <w:rsid w:val="00BC6728"/>
    <w:rsid w:val="00BC6938"/>
    <w:rsid w:val="00BC6CBD"/>
    <w:rsid w:val="00BC6D33"/>
    <w:rsid w:val="00BC7092"/>
    <w:rsid w:val="00BC724A"/>
    <w:rsid w:val="00BC78D8"/>
    <w:rsid w:val="00BD0689"/>
    <w:rsid w:val="00BD08E1"/>
    <w:rsid w:val="00BD0A3E"/>
    <w:rsid w:val="00BD124C"/>
    <w:rsid w:val="00BD1C10"/>
    <w:rsid w:val="00BD2FC6"/>
    <w:rsid w:val="00BD2FD5"/>
    <w:rsid w:val="00BD336A"/>
    <w:rsid w:val="00BD34BB"/>
    <w:rsid w:val="00BD3792"/>
    <w:rsid w:val="00BD3A2D"/>
    <w:rsid w:val="00BD3BAC"/>
    <w:rsid w:val="00BD3FAF"/>
    <w:rsid w:val="00BD47AA"/>
    <w:rsid w:val="00BD5110"/>
    <w:rsid w:val="00BD5E64"/>
    <w:rsid w:val="00BD6398"/>
    <w:rsid w:val="00BD6FC1"/>
    <w:rsid w:val="00BD7AB5"/>
    <w:rsid w:val="00BE07BA"/>
    <w:rsid w:val="00BE0EBF"/>
    <w:rsid w:val="00BE2D9E"/>
    <w:rsid w:val="00BE2DB8"/>
    <w:rsid w:val="00BE30D0"/>
    <w:rsid w:val="00BE5147"/>
    <w:rsid w:val="00BE55D0"/>
    <w:rsid w:val="00BE5D83"/>
    <w:rsid w:val="00BE5DBC"/>
    <w:rsid w:val="00BE63FE"/>
    <w:rsid w:val="00BE672E"/>
    <w:rsid w:val="00BE6E66"/>
    <w:rsid w:val="00BE7C48"/>
    <w:rsid w:val="00BE7E11"/>
    <w:rsid w:val="00BF16F6"/>
    <w:rsid w:val="00BF1B1C"/>
    <w:rsid w:val="00BF3116"/>
    <w:rsid w:val="00BF3201"/>
    <w:rsid w:val="00BF3322"/>
    <w:rsid w:val="00BF3839"/>
    <w:rsid w:val="00BF3AC3"/>
    <w:rsid w:val="00BF3D62"/>
    <w:rsid w:val="00BF4C35"/>
    <w:rsid w:val="00BF4F43"/>
    <w:rsid w:val="00BF52D7"/>
    <w:rsid w:val="00BF603D"/>
    <w:rsid w:val="00BF7106"/>
    <w:rsid w:val="00BF7871"/>
    <w:rsid w:val="00C00A22"/>
    <w:rsid w:val="00C00FF3"/>
    <w:rsid w:val="00C015C2"/>
    <w:rsid w:val="00C017E3"/>
    <w:rsid w:val="00C01944"/>
    <w:rsid w:val="00C03557"/>
    <w:rsid w:val="00C03978"/>
    <w:rsid w:val="00C03D69"/>
    <w:rsid w:val="00C04BE3"/>
    <w:rsid w:val="00C04D95"/>
    <w:rsid w:val="00C05469"/>
    <w:rsid w:val="00C05B5E"/>
    <w:rsid w:val="00C05F3B"/>
    <w:rsid w:val="00C06895"/>
    <w:rsid w:val="00C077C7"/>
    <w:rsid w:val="00C1023B"/>
    <w:rsid w:val="00C10A07"/>
    <w:rsid w:val="00C10FE8"/>
    <w:rsid w:val="00C11308"/>
    <w:rsid w:val="00C117C8"/>
    <w:rsid w:val="00C12121"/>
    <w:rsid w:val="00C125BA"/>
    <w:rsid w:val="00C12759"/>
    <w:rsid w:val="00C136FB"/>
    <w:rsid w:val="00C14082"/>
    <w:rsid w:val="00C14213"/>
    <w:rsid w:val="00C15691"/>
    <w:rsid w:val="00C15C6F"/>
    <w:rsid w:val="00C165DA"/>
    <w:rsid w:val="00C16C5B"/>
    <w:rsid w:val="00C203C3"/>
    <w:rsid w:val="00C2059B"/>
    <w:rsid w:val="00C20EA5"/>
    <w:rsid w:val="00C21645"/>
    <w:rsid w:val="00C21E5E"/>
    <w:rsid w:val="00C21F06"/>
    <w:rsid w:val="00C21FC4"/>
    <w:rsid w:val="00C22002"/>
    <w:rsid w:val="00C23ED9"/>
    <w:rsid w:val="00C242C0"/>
    <w:rsid w:val="00C245C0"/>
    <w:rsid w:val="00C24682"/>
    <w:rsid w:val="00C24D3B"/>
    <w:rsid w:val="00C24FEB"/>
    <w:rsid w:val="00C26740"/>
    <w:rsid w:val="00C26D0B"/>
    <w:rsid w:val="00C26FD6"/>
    <w:rsid w:val="00C27813"/>
    <w:rsid w:val="00C27C7C"/>
    <w:rsid w:val="00C3003A"/>
    <w:rsid w:val="00C32147"/>
    <w:rsid w:val="00C329CB"/>
    <w:rsid w:val="00C32F26"/>
    <w:rsid w:val="00C33643"/>
    <w:rsid w:val="00C33900"/>
    <w:rsid w:val="00C33A99"/>
    <w:rsid w:val="00C35C6E"/>
    <w:rsid w:val="00C365D1"/>
    <w:rsid w:val="00C374B2"/>
    <w:rsid w:val="00C378D0"/>
    <w:rsid w:val="00C40DD6"/>
    <w:rsid w:val="00C40DDF"/>
    <w:rsid w:val="00C410D0"/>
    <w:rsid w:val="00C41214"/>
    <w:rsid w:val="00C4175E"/>
    <w:rsid w:val="00C4208B"/>
    <w:rsid w:val="00C42427"/>
    <w:rsid w:val="00C424D5"/>
    <w:rsid w:val="00C426AD"/>
    <w:rsid w:val="00C42C91"/>
    <w:rsid w:val="00C43E9D"/>
    <w:rsid w:val="00C44DF8"/>
    <w:rsid w:val="00C4579E"/>
    <w:rsid w:val="00C466F8"/>
    <w:rsid w:val="00C4696B"/>
    <w:rsid w:val="00C46A32"/>
    <w:rsid w:val="00C46E82"/>
    <w:rsid w:val="00C46FA6"/>
    <w:rsid w:val="00C47C98"/>
    <w:rsid w:val="00C50591"/>
    <w:rsid w:val="00C508AA"/>
    <w:rsid w:val="00C515AA"/>
    <w:rsid w:val="00C51D54"/>
    <w:rsid w:val="00C521C3"/>
    <w:rsid w:val="00C52244"/>
    <w:rsid w:val="00C528D7"/>
    <w:rsid w:val="00C53EED"/>
    <w:rsid w:val="00C5471F"/>
    <w:rsid w:val="00C54C4B"/>
    <w:rsid w:val="00C55629"/>
    <w:rsid w:val="00C557C5"/>
    <w:rsid w:val="00C55AB2"/>
    <w:rsid w:val="00C55B4F"/>
    <w:rsid w:val="00C5620B"/>
    <w:rsid w:val="00C570EF"/>
    <w:rsid w:val="00C574AA"/>
    <w:rsid w:val="00C57B77"/>
    <w:rsid w:val="00C57BBB"/>
    <w:rsid w:val="00C604D3"/>
    <w:rsid w:val="00C60721"/>
    <w:rsid w:val="00C60979"/>
    <w:rsid w:val="00C61304"/>
    <w:rsid w:val="00C614BF"/>
    <w:rsid w:val="00C61A57"/>
    <w:rsid w:val="00C61D84"/>
    <w:rsid w:val="00C6214D"/>
    <w:rsid w:val="00C62750"/>
    <w:rsid w:val="00C62E46"/>
    <w:rsid w:val="00C630DE"/>
    <w:rsid w:val="00C634DD"/>
    <w:rsid w:val="00C635A9"/>
    <w:rsid w:val="00C636B9"/>
    <w:rsid w:val="00C63C76"/>
    <w:rsid w:val="00C63DB0"/>
    <w:rsid w:val="00C63DCB"/>
    <w:rsid w:val="00C64D64"/>
    <w:rsid w:val="00C64E5A"/>
    <w:rsid w:val="00C6525E"/>
    <w:rsid w:val="00C6566F"/>
    <w:rsid w:val="00C670A2"/>
    <w:rsid w:val="00C673B3"/>
    <w:rsid w:val="00C67D0B"/>
    <w:rsid w:val="00C7048A"/>
    <w:rsid w:val="00C70A7E"/>
    <w:rsid w:val="00C70E8A"/>
    <w:rsid w:val="00C71509"/>
    <w:rsid w:val="00C722A3"/>
    <w:rsid w:val="00C72416"/>
    <w:rsid w:val="00C7292E"/>
    <w:rsid w:val="00C7306D"/>
    <w:rsid w:val="00C732A0"/>
    <w:rsid w:val="00C73F81"/>
    <w:rsid w:val="00C7414B"/>
    <w:rsid w:val="00C74322"/>
    <w:rsid w:val="00C74479"/>
    <w:rsid w:val="00C745BC"/>
    <w:rsid w:val="00C7691C"/>
    <w:rsid w:val="00C76CB0"/>
    <w:rsid w:val="00C77664"/>
    <w:rsid w:val="00C80503"/>
    <w:rsid w:val="00C81229"/>
    <w:rsid w:val="00C831FA"/>
    <w:rsid w:val="00C836DB"/>
    <w:rsid w:val="00C83FD5"/>
    <w:rsid w:val="00C84116"/>
    <w:rsid w:val="00C84737"/>
    <w:rsid w:val="00C84AB5"/>
    <w:rsid w:val="00C84BAB"/>
    <w:rsid w:val="00C84CCE"/>
    <w:rsid w:val="00C85FB2"/>
    <w:rsid w:val="00C86830"/>
    <w:rsid w:val="00C87183"/>
    <w:rsid w:val="00C87DEE"/>
    <w:rsid w:val="00C90964"/>
    <w:rsid w:val="00C90DDC"/>
    <w:rsid w:val="00C91278"/>
    <w:rsid w:val="00C919CE"/>
    <w:rsid w:val="00C92596"/>
    <w:rsid w:val="00C92EC4"/>
    <w:rsid w:val="00C9358C"/>
    <w:rsid w:val="00C9377E"/>
    <w:rsid w:val="00C94778"/>
    <w:rsid w:val="00C9663F"/>
    <w:rsid w:val="00C9682F"/>
    <w:rsid w:val="00C96AF9"/>
    <w:rsid w:val="00C970F8"/>
    <w:rsid w:val="00C9712D"/>
    <w:rsid w:val="00C9735E"/>
    <w:rsid w:val="00C97444"/>
    <w:rsid w:val="00C9782B"/>
    <w:rsid w:val="00C97E9D"/>
    <w:rsid w:val="00CA0656"/>
    <w:rsid w:val="00CA07E3"/>
    <w:rsid w:val="00CA0B70"/>
    <w:rsid w:val="00CA0E4E"/>
    <w:rsid w:val="00CA1119"/>
    <w:rsid w:val="00CA11CF"/>
    <w:rsid w:val="00CA16B0"/>
    <w:rsid w:val="00CA17D8"/>
    <w:rsid w:val="00CA1D97"/>
    <w:rsid w:val="00CA1E0D"/>
    <w:rsid w:val="00CA22CD"/>
    <w:rsid w:val="00CA34BF"/>
    <w:rsid w:val="00CA488E"/>
    <w:rsid w:val="00CA4E92"/>
    <w:rsid w:val="00CA537B"/>
    <w:rsid w:val="00CA5976"/>
    <w:rsid w:val="00CA5F8D"/>
    <w:rsid w:val="00CA6630"/>
    <w:rsid w:val="00CA6A35"/>
    <w:rsid w:val="00CA75BB"/>
    <w:rsid w:val="00CA7889"/>
    <w:rsid w:val="00CB0598"/>
    <w:rsid w:val="00CB0718"/>
    <w:rsid w:val="00CB07FD"/>
    <w:rsid w:val="00CB0DFC"/>
    <w:rsid w:val="00CB165F"/>
    <w:rsid w:val="00CB168C"/>
    <w:rsid w:val="00CB1FA9"/>
    <w:rsid w:val="00CB2420"/>
    <w:rsid w:val="00CB2A1A"/>
    <w:rsid w:val="00CB57A9"/>
    <w:rsid w:val="00CB69DD"/>
    <w:rsid w:val="00CB6B31"/>
    <w:rsid w:val="00CB6C0D"/>
    <w:rsid w:val="00CB6DA4"/>
    <w:rsid w:val="00CB70FE"/>
    <w:rsid w:val="00CB7A89"/>
    <w:rsid w:val="00CC0F51"/>
    <w:rsid w:val="00CC10FC"/>
    <w:rsid w:val="00CC1A8C"/>
    <w:rsid w:val="00CC2845"/>
    <w:rsid w:val="00CC291E"/>
    <w:rsid w:val="00CC3743"/>
    <w:rsid w:val="00CC3886"/>
    <w:rsid w:val="00CC3B92"/>
    <w:rsid w:val="00CC3DF1"/>
    <w:rsid w:val="00CC3F3E"/>
    <w:rsid w:val="00CC443B"/>
    <w:rsid w:val="00CC4F2B"/>
    <w:rsid w:val="00CC5B2C"/>
    <w:rsid w:val="00CC5D0C"/>
    <w:rsid w:val="00CC5D8E"/>
    <w:rsid w:val="00CC6564"/>
    <w:rsid w:val="00CC765D"/>
    <w:rsid w:val="00CC777C"/>
    <w:rsid w:val="00CC798D"/>
    <w:rsid w:val="00CC7AEC"/>
    <w:rsid w:val="00CC7B58"/>
    <w:rsid w:val="00CD0038"/>
    <w:rsid w:val="00CD06F0"/>
    <w:rsid w:val="00CD139C"/>
    <w:rsid w:val="00CD19D6"/>
    <w:rsid w:val="00CD2F63"/>
    <w:rsid w:val="00CD3812"/>
    <w:rsid w:val="00CD4C3B"/>
    <w:rsid w:val="00CD5169"/>
    <w:rsid w:val="00CD5268"/>
    <w:rsid w:val="00CD544E"/>
    <w:rsid w:val="00CD615A"/>
    <w:rsid w:val="00CD67A7"/>
    <w:rsid w:val="00CD6EEC"/>
    <w:rsid w:val="00CD7AF4"/>
    <w:rsid w:val="00CE1688"/>
    <w:rsid w:val="00CE1DCD"/>
    <w:rsid w:val="00CE2439"/>
    <w:rsid w:val="00CE4006"/>
    <w:rsid w:val="00CE430D"/>
    <w:rsid w:val="00CE4B45"/>
    <w:rsid w:val="00CE4EF9"/>
    <w:rsid w:val="00CE54A0"/>
    <w:rsid w:val="00CE64A2"/>
    <w:rsid w:val="00CE6C81"/>
    <w:rsid w:val="00CE6C91"/>
    <w:rsid w:val="00CE70B2"/>
    <w:rsid w:val="00CE76FD"/>
    <w:rsid w:val="00CF01E0"/>
    <w:rsid w:val="00CF03C7"/>
    <w:rsid w:val="00CF04AA"/>
    <w:rsid w:val="00CF0896"/>
    <w:rsid w:val="00CF0D31"/>
    <w:rsid w:val="00CF110D"/>
    <w:rsid w:val="00CF23FD"/>
    <w:rsid w:val="00CF2776"/>
    <w:rsid w:val="00CF2A3E"/>
    <w:rsid w:val="00CF2E30"/>
    <w:rsid w:val="00CF3A3B"/>
    <w:rsid w:val="00CF3DBD"/>
    <w:rsid w:val="00CF488A"/>
    <w:rsid w:val="00CF592C"/>
    <w:rsid w:val="00CF5A46"/>
    <w:rsid w:val="00CF5BAD"/>
    <w:rsid w:val="00D00FA4"/>
    <w:rsid w:val="00D02999"/>
    <w:rsid w:val="00D030FD"/>
    <w:rsid w:val="00D04973"/>
    <w:rsid w:val="00D04B55"/>
    <w:rsid w:val="00D05139"/>
    <w:rsid w:val="00D05212"/>
    <w:rsid w:val="00D0528E"/>
    <w:rsid w:val="00D05C10"/>
    <w:rsid w:val="00D06442"/>
    <w:rsid w:val="00D06AA7"/>
    <w:rsid w:val="00D06FFA"/>
    <w:rsid w:val="00D07F89"/>
    <w:rsid w:val="00D107EB"/>
    <w:rsid w:val="00D10826"/>
    <w:rsid w:val="00D110E5"/>
    <w:rsid w:val="00D11243"/>
    <w:rsid w:val="00D112D2"/>
    <w:rsid w:val="00D1164F"/>
    <w:rsid w:val="00D11DC1"/>
    <w:rsid w:val="00D11FD4"/>
    <w:rsid w:val="00D120D9"/>
    <w:rsid w:val="00D128E8"/>
    <w:rsid w:val="00D136AB"/>
    <w:rsid w:val="00D13B1D"/>
    <w:rsid w:val="00D1470D"/>
    <w:rsid w:val="00D1527A"/>
    <w:rsid w:val="00D158D8"/>
    <w:rsid w:val="00D15946"/>
    <w:rsid w:val="00D15A73"/>
    <w:rsid w:val="00D1644D"/>
    <w:rsid w:val="00D16751"/>
    <w:rsid w:val="00D16B20"/>
    <w:rsid w:val="00D16DB8"/>
    <w:rsid w:val="00D174D6"/>
    <w:rsid w:val="00D17990"/>
    <w:rsid w:val="00D17A0E"/>
    <w:rsid w:val="00D2007F"/>
    <w:rsid w:val="00D214FD"/>
    <w:rsid w:val="00D218EF"/>
    <w:rsid w:val="00D21F30"/>
    <w:rsid w:val="00D221A8"/>
    <w:rsid w:val="00D2257A"/>
    <w:rsid w:val="00D2267E"/>
    <w:rsid w:val="00D239C6"/>
    <w:rsid w:val="00D23E2A"/>
    <w:rsid w:val="00D247CE"/>
    <w:rsid w:val="00D24CE1"/>
    <w:rsid w:val="00D24E85"/>
    <w:rsid w:val="00D2693A"/>
    <w:rsid w:val="00D26B3E"/>
    <w:rsid w:val="00D26C6D"/>
    <w:rsid w:val="00D27228"/>
    <w:rsid w:val="00D275A1"/>
    <w:rsid w:val="00D2775D"/>
    <w:rsid w:val="00D27F87"/>
    <w:rsid w:val="00D302EE"/>
    <w:rsid w:val="00D3146B"/>
    <w:rsid w:val="00D316F7"/>
    <w:rsid w:val="00D31946"/>
    <w:rsid w:val="00D31DE0"/>
    <w:rsid w:val="00D31E97"/>
    <w:rsid w:val="00D32453"/>
    <w:rsid w:val="00D32EC3"/>
    <w:rsid w:val="00D33007"/>
    <w:rsid w:val="00D33BC9"/>
    <w:rsid w:val="00D359AB"/>
    <w:rsid w:val="00D35A2F"/>
    <w:rsid w:val="00D367A1"/>
    <w:rsid w:val="00D37A2B"/>
    <w:rsid w:val="00D4063E"/>
    <w:rsid w:val="00D4074B"/>
    <w:rsid w:val="00D40761"/>
    <w:rsid w:val="00D40FAA"/>
    <w:rsid w:val="00D420E1"/>
    <w:rsid w:val="00D42BAD"/>
    <w:rsid w:val="00D4338D"/>
    <w:rsid w:val="00D43625"/>
    <w:rsid w:val="00D43731"/>
    <w:rsid w:val="00D44688"/>
    <w:rsid w:val="00D4600E"/>
    <w:rsid w:val="00D46AFB"/>
    <w:rsid w:val="00D46C6A"/>
    <w:rsid w:val="00D4726E"/>
    <w:rsid w:val="00D516DB"/>
    <w:rsid w:val="00D519E6"/>
    <w:rsid w:val="00D52157"/>
    <w:rsid w:val="00D521F7"/>
    <w:rsid w:val="00D52338"/>
    <w:rsid w:val="00D5241B"/>
    <w:rsid w:val="00D52ADF"/>
    <w:rsid w:val="00D52BB7"/>
    <w:rsid w:val="00D52F2F"/>
    <w:rsid w:val="00D53FFF"/>
    <w:rsid w:val="00D55511"/>
    <w:rsid w:val="00D55AC3"/>
    <w:rsid w:val="00D56CCF"/>
    <w:rsid w:val="00D571FF"/>
    <w:rsid w:val="00D5776B"/>
    <w:rsid w:val="00D57904"/>
    <w:rsid w:val="00D57C57"/>
    <w:rsid w:val="00D57F01"/>
    <w:rsid w:val="00D57F3C"/>
    <w:rsid w:val="00D60243"/>
    <w:rsid w:val="00D60245"/>
    <w:rsid w:val="00D6086B"/>
    <w:rsid w:val="00D60D78"/>
    <w:rsid w:val="00D60E51"/>
    <w:rsid w:val="00D61C1C"/>
    <w:rsid w:val="00D61C8E"/>
    <w:rsid w:val="00D656C2"/>
    <w:rsid w:val="00D66A53"/>
    <w:rsid w:val="00D66B89"/>
    <w:rsid w:val="00D66D22"/>
    <w:rsid w:val="00D66FE7"/>
    <w:rsid w:val="00D706F7"/>
    <w:rsid w:val="00D70AB4"/>
    <w:rsid w:val="00D70D3D"/>
    <w:rsid w:val="00D70DDB"/>
    <w:rsid w:val="00D717D2"/>
    <w:rsid w:val="00D720DA"/>
    <w:rsid w:val="00D72927"/>
    <w:rsid w:val="00D731F3"/>
    <w:rsid w:val="00D7333A"/>
    <w:rsid w:val="00D73341"/>
    <w:rsid w:val="00D73743"/>
    <w:rsid w:val="00D7421B"/>
    <w:rsid w:val="00D7452A"/>
    <w:rsid w:val="00D74569"/>
    <w:rsid w:val="00D74B7C"/>
    <w:rsid w:val="00D76143"/>
    <w:rsid w:val="00D775D6"/>
    <w:rsid w:val="00D77777"/>
    <w:rsid w:val="00D77BC1"/>
    <w:rsid w:val="00D8058E"/>
    <w:rsid w:val="00D80D87"/>
    <w:rsid w:val="00D815A2"/>
    <w:rsid w:val="00D81720"/>
    <w:rsid w:val="00D81947"/>
    <w:rsid w:val="00D819FF"/>
    <w:rsid w:val="00D8270A"/>
    <w:rsid w:val="00D829AA"/>
    <w:rsid w:val="00D82E89"/>
    <w:rsid w:val="00D82FD1"/>
    <w:rsid w:val="00D832DD"/>
    <w:rsid w:val="00D83800"/>
    <w:rsid w:val="00D83AEE"/>
    <w:rsid w:val="00D845A2"/>
    <w:rsid w:val="00D84C39"/>
    <w:rsid w:val="00D854BE"/>
    <w:rsid w:val="00D86368"/>
    <w:rsid w:val="00D866BC"/>
    <w:rsid w:val="00D86F07"/>
    <w:rsid w:val="00D86FFF"/>
    <w:rsid w:val="00D87184"/>
    <w:rsid w:val="00D87A00"/>
    <w:rsid w:val="00D87ECA"/>
    <w:rsid w:val="00D87EFE"/>
    <w:rsid w:val="00D90FBD"/>
    <w:rsid w:val="00D9178C"/>
    <w:rsid w:val="00D91864"/>
    <w:rsid w:val="00D91AB4"/>
    <w:rsid w:val="00D921A2"/>
    <w:rsid w:val="00D92323"/>
    <w:rsid w:val="00D92498"/>
    <w:rsid w:val="00D93B89"/>
    <w:rsid w:val="00D93EB5"/>
    <w:rsid w:val="00D945B4"/>
    <w:rsid w:val="00D962CC"/>
    <w:rsid w:val="00D9656E"/>
    <w:rsid w:val="00D96918"/>
    <w:rsid w:val="00D97306"/>
    <w:rsid w:val="00D97E4E"/>
    <w:rsid w:val="00DA0FC5"/>
    <w:rsid w:val="00DA1216"/>
    <w:rsid w:val="00DA1402"/>
    <w:rsid w:val="00DA1D17"/>
    <w:rsid w:val="00DA2154"/>
    <w:rsid w:val="00DA2EA6"/>
    <w:rsid w:val="00DA3106"/>
    <w:rsid w:val="00DA393D"/>
    <w:rsid w:val="00DA3D69"/>
    <w:rsid w:val="00DA3F52"/>
    <w:rsid w:val="00DA4918"/>
    <w:rsid w:val="00DA4989"/>
    <w:rsid w:val="00DA4B14"/>
    <w:rsid w:val="00DA4C4C"/>
    <w:rsid w:val="00DA54F1"/>
    <w:rsid w:val="00DA57AB"/>
    <w:rsid w:val="00DA6293"/>
    <w:rsid w:val="00DA6322"/>
    <w:rsid w:val="00DA6572"/>
    <w:rsid w:val="00DA6B6F"/>
    <w:rsid w:val="00DA75D7"/>
    <w:rsid w:val="00DA7633"/>
    <w:rsid w:val="00DB00C9"/>
    <w:rsid w:val="00DB039E"/>
    <w:rsid w:val="00DB0CC3"/>
    <w:rsid w:val="00DB17B5"/>
    <w:rsid w:val="00DB1DE7"/>
    <w:rsid w:val="00DB2632"/>
    <w:rsid w:val="00DB30CA"/>
    <w:rsid w:val="00DB35E6"/>
    <w:rsid w:val="00DB409D"/>
    <w:rsid w:val="00DB5385"/>
    <w:rsid w:val="00DB53FB"/>
    <w:rsid w:val="00DB63F6"/>
    <w:rsid w:val="00DB68CB"/>
    <w:rsid w:val="00DB69B1"/>
    <w:rsid w:val="00DB69B7"/>
    <w:rsid w:val="00DB69EF"/>
    <w:rsid w:val="00DB7920"/>
    <w:rsid w:val="00DB7961"/>
    <w:rsid w:val="00DB7E51"/>
    <w:rsid w:val="00DC04A8"/>
    <w:rsid w:val="00DC0992"/>
    <w:rsid w:val="00DC09D3"/>
    <w:rsid w:val="00DC0AD7"/>
    <w:rsid w:val="00DC0D45"/>
    <w:rsid w:val="00DC0FC4"/>
    <w:rsid w:val="00DC106C"/>
    <w:rsid w:val="00DC25B9"/>
    <w:rsid w:val="00DC2CF8"/>
    <w:rsid w:val="00DC440D"/>
    <w:rsid w:val="00DC6A38"/>
    <w:rsid w:val="00DD0081"/>
    <w:rsid w:val="00DD0637"/>
    <w:rsid w:val="00DD0A4E"/>
    <w:rsid w:val="00DD1105"/>
    <w:rsid w:val="00DD12F1"/>
    <w:rsid w:val="00DD157B"/>
    <w:rsid w:val="00DD1CD0"/>
    <w:rsid w:val="00DD1DE8"/>
    <w:rsid w:val="00DD254F"/>
    <w:rsid w:val="00DD2773"/>
    <w:rsid w:val="00DD3147"/>
    <w:rsid w:val="00DD3476"/>
    <w:rsid w:val="00DD447B"/>
    <w:rsid w:val="00DD579D"/>
    <w:rsid w:val="00DD6773"/>
    <w:rsid w:val="00DD6A4C"/>
    <w:rsid w:val="00DD714F"/>
    <w:rsid w:val="00DD7459"/>
    <w:rsid w:val="00DD7AA2"/>
    <w:rsid w:val="00DE030D"/>
    <w:rsid w:val="00DE03D3"/>
    <w:rsid w:val="00DE0617"/>
    <w:rsid w:val="00DE0799"/>
    <w:rsid w:val="00DE0BED"/>
    <w:rsid w:val="00DE0E8E"/>
    <w:rsid w:val="00DE0FCE"/>
    <w:rsid w:val="00DE1356"/>
    <w:rsid w:val="00DE1B3D"/>
    <w:rsid w:val="00DE1D18"/>
    <w:rsid w:val="00DE1E3E"/>
    <w:rsid w:val="00DE22B2"/>
    <w:rsid w:val="00DE2311"/>
    <w:rsid w:val="00DE2A4C"/>
    <w:rsid w:val="00DE2CDC"/>
    <w:rsid w:val="00DE397F"/>
    <w:rsid w:val="00DE4B74"/>
    <w:rsid w:val="00DE5D69"/>
    <w:rsid w:val="00DE5E62"/>
    <w:rsid w:val="00DE66CA"/>
    <w:rsid w:val="00DE71A7"/>
    <w:rsid w:val="00DE77C4"/>
    <w:rsid w:val="00DE79C9"/>
    <w:rsid w:val="00DE7C3D"/>
    <w:rsid w:val="00DF010F"/>
    <w:rsid w:val="00DF04FD"/>
    <w:rsid w:val="00DF0BC8"/>
    <w:rsid w:val="00DF21B8"/>
    <w:rsid w:val="00DF222A"/>
    <w:rsid w:val="00DF223B"/>
    <w:rsid w:val="00DF286C"/>
    <w:rsid w:val="00DF2A6E"/>
    <w:rsid w:val="00DF3252"/>
    <w:rsid w:val="00DF4467"/>
    <w:rsid w:val="00DF496D"/>
    <w:rsid w:val="00DF50C3"/>
    <w:rsid w:val="00DF5BD9"/>
    <w:rsid w:val="00DF5C54"/>
    <w:rsid w:val="00DF6468"/>
    <w:rsid w:val="00DF6C81"/>
    <w:rsid w:val="00DF7086"/>
    <w:rsid w:val="00DF7EBC"/>
    <w:rsid w:val="00E0057B"/>
    <w:rsid w:val="00E01BF4"/>
    <w:rsid w:val="00E029B4"/>
    <w:rsid w:val="00E02C3C"/>
    <w:rsid w:val="00E0332B"/>
    <w:rsid w:val="00E0346E"/>
    <w:rsid w:val="00E0370D"/>
    <w:rsid w:val="00E06A42"/>
    <w:rsid w:val="00E07530"/>
    <w:rsid w:val="00E103A9"/>
    <w:rsid w:val="00E112D2"/>
    <w:rsid w:val="00E12248"/>
    <w:rsid w:val="00E1291F"/>
    <w:rsid w:val="00E12B40"/>
    <w:rsid w:val="00E12B78"/>
    <w:rsid w:val="00E1323F"/>
    <w:rsid w:val="00E138FB"/>
    <w:rsid w:val="00E142D2"/>
    <w:rsid w:val="00E14665"/>
    <w:rsid w:val="00E14B31"/>
    <w:rsid w:val="00E15868"/>
    <w:rsid w:val="00E1605E"/>
    <w:rsid w:val="00E1689A"/>
    <w:rsid w:val="00E178D4"/>
    <w:rsid w:val="00E2019F"/>
    <w:rsid w:val="00E2080D"/>
    <w:rsid w:val="00E20B1A"/>
    <w:rsid w:val="00E20E97"/>
    <w:rsid w:val="00E2107F"/>
    <w:rsid w:val="00E21595"/>
    <w:rsid w:val="00E21669"/>
    <w:rsid w:val="00E22240"/>
    <w:rsid w:val="00E22832"/>
    <w:rsid w:val="00E234AC"/>
    <w:rsid w:val="00E23516"/>
    <w:rsid w:val="00E2448C"/>
    <w:rsid w:val="00E24B59"/>
    <w:rsid w:val="00E25940"/>
    <w:rsid w:val="00E25B34"/>
    <w:rsid w:val="00E26A71"/>
    <w:rsid w:val="00E279C0"/>
    <w:rsid w:val="00E27A73"/>
    <w:rsid w:val="00E27B21"/>
    <w:rsid w:val="00E3007E"/>
    <w:rsid w:val="00E301B4"/>
    <w:rsid w:val="00E30DEE"/>
    <w:rsid w:val="00E31965"/>
    <w:rsid w:val="00E31A42"/>
    <w:rsid w:val="00E32199"/>
    <w:rsid w:val="00E324D7"/>
    <w:rsid w:val="00E32682"/>
    <w:rsid w:val="00E32B54"/>
    <w:rsid w:val="00E335F1"/>
    <w:rsid w:val="00E33DE0"/>
    <w:rsid w:val="00E34F52"/>
    <w:rsid w:val="00E35228"/>
    <w:rsid w:val="00E35CBD"/>
    <w:rsid w:val="00E36845"/>
    <w:rsid w:val="00E36B65"/>
    <w:rsid w:val="00E374F0"/>
    <w:rsid w:val="00E37B2A"/>
    <w:rsid w:val="00E404D2"/>
    <w:rsid w:val="00E408C0"/>
    <w:rsid w:val="00E40AAA"/>
    <w:rsid w:val="00E4112D"/>
    <w:rsid w:val="00E41818"/>
    <w:rsid w:val="00E41D9A"/>
    <w:rsid w:val="00E424A8"/>
    <w:rsid w:val="00E42864"/>
    <w:rsid w:val="00E42A1D"/>
    <w:rsid w:val="00E42FF2"/>
    <w:rsid w:val="00E4318A"/>
    <w:rsid w:val="00E4327E"/>
    <w:rsid w:val="00E4472B"/>
    <w:rsid w:val="00E44FEC"/>
    <w:rsid w:val="00E453CA"/>
    <w:rsid w:val="00E456BF"/>
    <w:rsid w:val="00E45768"/>
    <w:rsid w:val="00E459A5"/>
    <w:rsid w:val="00E459CF"/>
    <w:rsid w:val="00E45B4D"/>
    <w:rsid w:val="00E4664A"/>
    <w:rsid w:val="00E46726"/>
    <w:rsid w:val="00E46EFE"/>
    <w:rsid w:val="00E472F2"/>
    <w:rsid w:val="00E47A80"/>
    <w:rsid w:val="00E47D5B"/>
    <w:rsid w:val="00E5004C"/>
    <w:rsid w:val="00E50E42"/>
    <w:rsid w:val="00E50EBB"/>
    <w:rsid w:val="00E51500"/>
    <w:rsid w:val="00E51D37"/>
    <w:rsid w:val="00E52CA1"/>
    <w:rsid w:val="00E52D35"/>
    <w:rsid w:val="00E52EE7"/>
    <w:rsid w:val="00E5499D"/>
    <w:rsid w:val="00E54B1B"/>
    <w:rsid w:val="00E55711"/>
    <w:rsid w:val="00E558E0"/>
    <w:rsid w:val="00E5653D"/>
    <w:rsid w:val="00E56575"/>
    <w:rsid w:val="00E56B35"/>
    <w:rsid w:val="00E56F45"/>
    <w:rsid w:val="00E5711F"/>
    <w:rsid w:val="00E57217"/>
    <w:rsid w:val="00E573D8"/>
    <w:rsid w:val="00E577AA"/>
    <w:rsid w:val="00E57C71"/>
    <w:rsid w:val="00E60BF2"/>
    <w:rsid w:val="00E6173C"/>
    <w:rsid w:val="00E61CFB"/>
    <w:rsid w:val="00E63399"/>
    <w:rsid w:val="00E6492E"/>
    <w:rsid w:val="00E64E0C"/>
    <w:rsid w:val="00E6538A"/>
    <w:rsid w:val="00E65A3B"/>
    <w:rsid w:val="00E6723B"/>
    <w:rsid w:val="00E67614"/>
    <w:rsid w:val="00E729C7"/>
    <w:rsid w:val="00E72B0B"/>
    <w:rsid w:val="00E7328B"/>
    <w:rsid w:val="00E736E5"/>
    <w:rsid w:val="00E73B8A"/>
    <w:rsid w:val="00E73FAE"/>
    <w:rsid w:val="00E74028"/>
    <w:rsid w:val="00E748CE"/>
    <w:rsid w:val="00E75269"/>
    <w:rsid w:val="00E753F7"/>
    <w:rsid w:val="00E7581B"/>
    <w:rsid w:val="00E75865"/>
    <w:rsid w:val="00E7627A"/>
    <w:rsid w:val="00E76539"/>
    <w:rsid w:val="00E76C48"/>
    <w:rsid w:val="00E76C8B"/>
    <w:rsid w:val="00E775A7"/>
    <w:rsid w:val="00E81079"/>
    <w:rsid w:val="00E810D8"/>
    <w:rsid w:val="00E81EB9"/>
    <w:rsid w:val="00E81ED1"/>
    <w:rsid w:val="00E81FEC"/>
    <w:rsid w:val="00E8228F"/>
    <w:rsid w:val="00E825B9"/>
    <w:rsid w:val="00E82CD4"/>
    <w:rsid w:val="00E83351"/>
    <w:rsid w:val="00E8350F"/>
    <w:rsid w:val="00E84A4C"/>
    <w:rsid w:val="00E84CE8"/>
    <w:rsid w:val="00E85438"/>
    <w:rsid w:val="00E86C78"/>
    <w:rsid w:val="00E8731E"/>
    <w:rsid w:val="00E8770C"/>
    <w:rsid w:val="00E87CD5"/>
    <w:rsid w:val="00E87DA5"/>
    <w:rsid w:val="00E907EB"/>
    <w:rsid w:val="00E908CA"/>
    <w:rsid w:val="00E913B1"/>
    <w:rsid w:val="00E928E1"/>
    <w:rsid w:val="00E92B32"/>
    <w:rsid w:val="00E9306A"/>
    <w:rsid w:val="00E93288"/>
    <w:rsid w:val="00E95B15"/>
    <w:rsid w:val="00E96FA7"/>
    <w:rsid w:val="00E97C45"/>
    <w:rsid w:val="00EA0041"/>
    <w:rsid w:val="00EA0424"/>
    <w:rsid w:val="00EA079D"/>
    <w:rsid w:val="00EA0E0F"/>
    <w:rsid w:val="00EA1417"/>
    <w:rsid w:val="00EA1B10"/>
    <w:rsid w:val="00EA27AD"/>
    <w:rsid w:val="00EA2C21"/>
    <w:rsid w:val="00EA2F46"/>
    <w:rsid w:val="00EA3519"/>
    <w:rsid w:val="00EA363E"/>
    <w:rsid w:val="00EA3C63"/>
    <w:rsid w:val="00EA40ED"/>
    <w:rsid w:val="00EA43E6"/>
    <w:rsid w:val="00EA480B"/>
    <w:rsid w:val="00EA4AA8"/>
    <w:rsid w:val="00EA59E2"/>
    <w:rsid w:val="00EA5BB6"/>
    <w:rsid w:val="00EA5EEC"/>
    <w:rsid w:val="00EA70B5"/>
    <w:rsid w:val="00EA7FCF"/>
    <w:rsid w:val="00EB0284"/>
    <w:rsid w:val="00EB112E"/>
    <w:rsid w:val="00EB151C"/>
    <w:rsid w:val="00EB22A7"/>
    <w:rsid w:val="00EB233E"/>
    <w:rsid w:val="00EB2542"/>
    <w:rsid w:val="00EB3648"/>
    <w:rsid w:val="00EB420F"/>
    <w:rsid w:val="00EB43CC"/>
    <w:rsid w:val="00EB445D"/>
    <w:rsid w:val="00EB46BA"/>
    <w:rsid w:val="00EB51F1"/>
    <w:rsid w:val="00EB569A"/>
    <w:rsid w:val="00EB5B4B"/>
    <w:rsid w:val="00EB60C4"/>
    <w:rsid w:val="00EB680A"/>
    <w:rsid w:val="00EB75AC"/>
    <w:rsid w:val="00EC0524"/>
    <w:rsid w:val="00EC0EF7"/>
    <w:rsid w:val="00EC117E"/>
    <w:rsid w:val="00EC39A5"/>
    <w:rsid w:val="00EC42B1"/>
    <w:rsid w:val="00EC456E"/>
    <w:rsid w:val="00EC4C48"/>
    <w:rsid w:val="00EC51DE"/>
    <w:rsid w:val="00EC550A"/>
    <w:rsid w:val="00EC6C16"/>
    <w:rsid w:val="00EC79E1"/>
    <w:rsid w:val="00EC7A26"/>
    <w:rsid w:val="00EC7FB5"/>
    <w:rsid w:val="00ED09D1"/>
    <w:rsid w:val="00ED1527"/>
    <w:rsid w:val="00ED17FD"/>
    <w:rsid w:val="00ED1B54"/>
    <w:rsid w:val="00ED1F21"/>
    <w:rsid w:val="00ED209B"/>
    <w:rsid w:val="00ED3B24"/>
    <w:rsid w:val="00ED3D01"/>
    <w:rsid w:val="00ED45A0"/>
    <w:rsid w:val="00ED4916"/>
    <w:rsid w:val="00ED590E"/>
    <w:rsid w:val="00ED5B32"/>
    <w:rsid w:val="00ED6F5C"/>
    <w:rsid w:val="00ED79A4"/>
    <w:rsid w:val="00EE0619"/>
    <w:rsid w:val="00EE09BF"/>
    <w:rsid w:val="00EE0DA3"/>
    <w:rsid w:val="00EE0E76"/>
    <w:rsid w:val="00EE14A8"/>
    <w:rsid w:val="00EE192F"/>
    <w:rsid w:val="00EE23B6"/>
    <w:rsid w:val="00EE23BE"/>
    <w:rsid w:val="00EE274D"/>
    <w:rsid w:val="00EE369C"/>
    <w:rsid w:val="00EE3817"/>
    <w:rsid w:val="00EE3951"/>
    <w:rsid w:val="00EE475F"/>
    <w:rsid w:val="00EE5CC7"/>
    <w:rsid w:val="00EE669C"/>
    <w:rsid w:val="00EE742E"/>
    <w:rsid w:val="00EF05BC"/>
    <w:rsid w:val="00EF0971"/>
    <w:rsid w:val="00EF10A7"/>
    <w:rsid w:val="00EF1E13"/>
    <w:rsid w:val="00EF3DE9"/>
    <w:rsid w:val="00EF4695"/>
    <w:rsid w:val="00EF4E71"/>
    <w:rsid w:val="00EF51AE"/>
    <w:rsid w:val="00EF52DA"/>
    <w:rsid w:val="00EF681A"/>
    <w:rsid w:val="00EF68C0"/>
    <w:rsid w:val="00EF69C6"/>
    <w:rsid w:val="00EF738C"/>
    <w:rsid w:val="00EF7622"/>
    <w:rsid w:val="00EF7CE8"/>
    <w:rsid w:val="00F01023"/>
    <w:rsid w:val="00F01D23"/>
    <w:rsid w:val="00F026B5"/>
    <w:rsid w:val="00F03314"/>
    <w:rsid w:val="00F03DD7"/>
    <w:rsid w:val="00F03F99"/>
    <w:rsid w:val="00F04072"/>
    <w:rsid w:val="00F0460A"/>
    <w:rsid w:val="00F04AB6"/>
    <w:rsid w:val="00F05664"/>
    <w:rsid w:val="00F06385"/>
    <w:rsid w:val="00F06F53"/>
    <w:rsid w:val="00F07DAD"/>
    <w:rsid w:val="00F102BD"/>
    <w:rsid w:val="00F1090D"/>
    <w:rsid w:val="00F1124F"/>
    <w:rsid w:val="00F1164A"/>
    <w:rsid w:val="00F11963"/>
    <w:rsid w:val="00F12087"/>
    <w:rsid w:val="00F134BE"/>
    <w:rsid w:val="00F1455A"/>
    <w:rsid w:val="00F16A3F"/>
    <w:rsid w:val="00F17535"/>
    <w:rsid w:val="00F17D06"/>
    <w:rsid w:val="00F205F0"/>
    <w:rsid w:val="00F207BB"/>
    <w:rsid w:val="00F20F6C"/>
    <w:rsid w:val="00F21420"/>
    <w:rsid w:val="00F21793"/>
    <w:rsid w:val="00F219C7"/>
    <w:rsid w:val="00F2361F"/>
    <w:rsid w:val="00F239E1"/>
    <w:rsid w:val="00F25323"/>
    <w:rsid w:val="00F25536"/>
    <w:rsid w:val="00F256DD"/>
    <w:rsid w:val="00F256E6"/>
    <w:rsid w:val="00F258CA"/>
    <w:rsid w:val="00F26AE7"/>
    <w:rsid w:val="00F26F29"/>
    <w:rsid w:val="00F2719C"/>
    <w:rsid w:val="00F27780"/>
    <w:rsid w:val="00F3133A"/>
    <w:rsid w:val="00F31341"/>
    <w:rsid w:val="00F3237E"/>
    <w:rsid w:val="00F333BF"/>
    <w:rsid w:val="00F3373C"/>
    <w:rsid w:val="00F34924"/>
    <w:rsid w:val="00F34934"/>
    <w:rsid w:val="00F34C94"/>
    <w:rsid w:val="00F3536F"/>
    <w:rsid w:val="00F356E9"/>
    <w:rsid w:val="00F3612F"/>
    <w:rsid w:val="00F36C5F"/>
    <w:rsid w:val="00F37A63"/>
    <w:rsid w:val="00F406B7"/>
    <w:rsid w:val="00F40CB6"/>
    <w:rsid w:val="00F40E53"/>
    <w:rsid w:val="00F4132A"/>
    <w:rsid w:val="00F41C7B"/>
    <w:rsid w:val="00F41E64"/>
    <w:rsid w:val="00F420F7"/>
    <w:rsid w:val="00F42412"/>
    <w:rsid w:val="00F4247F"/>
    <w:rsid w:val="00F42F82"/>
    <w:rsid w:val="00F43098"/>
    <w:rsid w:val="00F43C5D"/>
    <w:rsid w:val="00F440D7"/>
    <w:rsid w:val="00F442F6"/>
    <w:rsid w:val="00F4484C"/>
    <w:rsid w:val="00F44B69"/>
    <w:rsid w:val="00F44BBC"/>
    <w:rsid w:val="00F451F0"/>
    <w:rsid w:val="00F462E1"/>
    <w:rsid w:val="00F467BB"/>
    <w:rsid w:val="00F4699A"/>
    <w:rsid w:val="00F50811"/>
    <w:rsid w:val="00F51F4E"/>
    <w:rsid w:val="00F53346"/>
    <w:rsid w:val="00F53555"/>
    <w:rsid w:val="00F5410A"/>
    <w:rsid w:val="00F54415"/>
    <w:rsid w:val="00F5454D"/>
    <w:rsid w:val="00F54928"/>
    <w:rsid w:val="00F54FF5"/>
    <w:rsid w:val="00F554E5"/>
    <w:rsid w:val="00F55B9E"/>
    <w:rsid w:val="00F55C67"/>
    <w:rsid w:val="00F56190"/>
    <w:rsid w:val="00F56622"/>
    <w:rsid w:val="00F570D3"/>
    <w:rsid w:val="00F57227"/>
    <w:rsid w:val="00F57F31"/>
    <w:rsid w:val="00F57F5A"/>
    <w:rsid w:val="00F614BF"/>
    <w:rsid w:val="00F61603"/>
    <w:rsid w:val="00F61DFA"/>
    <w:rsid w:val="00F620A8"/>
    <w:rsid w:val="00F62664"/>
    <w:rsid w:val="00F636AD"/>
    <w:rsid w:val="00F647F1"/>
    <w:rsid w:val="00F655F6"/>
    <w:rsid w:val="00F65BCC"/>
    <w:rsid w:val="00F65F5D"/>
    <w:rsid w:val="00F660AB"/>
    <w:rsid w:val="00F66276"/>
    <w:rsid w:val="00F6702E"/>
    <w:rsid w:val="00F71228"/>
    <w:rsid w:val="00F716FD"/>
    <w:rsid w:val="00F72568"/>
    <w:rsid w:val="00F72923"/>
    <w:rsid w:val="00F72D82"/>
    <w:rsid w:val="00F72FB1"/>
    <w:rsid w:val="00F73759"/>
    <w:rsid w:val="00F73B5D"/>
    <w:rsid w:val="00F743F1"/>
    <w:rsid w:val="00F747F4"/>
    <w:rsid w:val="00F74B94"/>
    <w:rsid w:val="00F74DE0"/>
    <w:rsid w:val="00F74F04"/>
    <w:rsid w:val="00F76CC3"/>
    <w:rsid w:val="00F76F02"/>
    <w:rsid w:val="00F80DD6"/>
    <w:rsid w:val="00F81235"/>
    <w:rsid w:val="00F82189"/>
    <w:rsid w:val="00F82ECC"/>
    <w:rsid w:val="00F83437"/>
    <w:rsid w:val="00F83DAA"/>
    <w:rsid w:val="00F8413A"/>
    <w:rsid w:val="00F8449A"/>
    <w:rsid w:val="00F8504A"/>
    <w:rsid w:val="00F85545"/>
    <w:rsid w:val="00F85D40"/>
    <w:rsid w:val="00F85F1B"/>
    <w:rsid w:val="00F85F8F"/>
    <w:rsid w:val="00F8644E"/>
    <w:rsid w:val="00F86BD5"/>
    <w:rsid w:val="00F873D4"/>
    <w:rsid w:val="00F87B4A"/>
    <w:rsid w:val="00F87C61"/>
    <w:rsid w:val="00F87D6F"/>
    <w:rsid w:val="00F90DB1"/>
    <w:rsid w:val="00F90FFC"/>
    <w:rsid w:val="00F927C6"/>
    <w:rsid w:val="00F927DA"/>
    <w:rsid w:val="00F928F6"/>
    <w:rsid w:val="00F92CA1"/>
    <w:rsid w:val="00F92E89"/>
    <w:rsid w:val="00F92EA1"/>
    <w:rsid w:val="00F92EF5"/>
    <w:rsid w:val="00F9337D"/>
    <w:rsid w:val="00F9365A"/>
    <w:rsid w:val="00F9387A"/>
    <w:rsid w:val="00F93EB1"/>
    <w:rsid w:val="00F940EB"/>
    <w:rsid w:val="00F94196"/>
    <w:rsid w:val="00F94A3A"/>
    <w:rsid w:val="00F94E50"/>
    <w:rsid w:val="00F95010"/>
    <w:rsid w:val="00F96E8F"/>
    <w:rsid w:val="00F97916"/>
    <w:rsid w:val="00F97A8F"/>
    <w:rsid w:val="00FA0A7A"/>
    <w:rsid w:val="00FA0B1F"/>
    <w:rsid w:val="00FA0DE3"/>
    <w:rsid w:val="00FA19A6"/>
    <w:rsid w:val="00FA2356"/>
    <w:rsid w:val="00FA2798"/>
    <w:rsid w:val="00FA2A51"/>
    <w:rsid w:val="00FA2FF6"/>
    <w:rsid w:val="00FA3905"/>
    <w:rsid w:val="00FA4113"/>
    <w:rsid w:val="00FA4DD7"/>
    <w:rsid w:val="00FA50A0"/>
    <w:rsid w:val="00FA54EB"/>
    <w:rsid w:val="00FA69D6"/>
    <w:rsid w:val="00FB0625"/>
    <w:rsid w:val="00FB0C44"/>
    <w:rsid w:val="00FB11EE"/>
    <w:rsid w:val="00FB15C1"/>
    <w:rsid w:val="00FB3B0A"/>
    <w:rsid w:val="00FB4251"/>
    <w:rsid w:val="00FB4348"/>
    <w:rsid w:val="00FB4E90"/>
    <w:rsid w:val="00FB5278"/>
    <w:rsid w:val="00FB5A1C"/>
    <w:rsid w:val="00FB5CBD"/>
    <w:rsid w:val="00FB6047"/>
    <w:rsid w:val="00FB6682"/>
    <w:rsid w:val="00FB6D10"/>
    <w:rsid w:val="00FB6EAF"/>
    <w:rsid w:val="00FB724F"/>
    <w:rsid w:val="00FB7909"/>
    <w:rsid w:val="00FC03E3"/>
    <w:rsid w:val="00FC07B9"/>
    <w:rsid w:val="00FC0A9B"/>
    <w:rsid w:val="00FC0AFF"/>
    <w:rsid w:val="00FC23C2"/>
    <w:rsid w:val="00FC3604"/>
    <w:rsid w:val="00FC3670"/>
    <w:rsid w:val="00FC3887"/>
    <w:rsid w:val="00FC483A"/>
    <w:rsid w:val="00FC4B24"/>
    <w:rsid w:val="00FC4D3A"/>
    <w:rsid w:val="00FC4DCB"/>
    <w:rsid w:val="00FC759F"/>
    <w:rsid w:val="00FC78B6"/>
    <w:rsid w:val="00FC7BB8"/>
    <w:rsid w:val="00FC7D16"/>
    <w:rsid w:val="00FD03C1"/>
    <w:rsid w:val="00FD0B95"/>
    <w:rsid w:val="00FD111F"/>
    <w:rsid w:val="00FD1B72"/>
    <w:rsid w:val="00FD1CE2"/>
    <w:rsid w:val="00FD1F55"/>
    <w:rsid w:val="00FD24DF"/>
    <w:rsid w:val="00FD251D"/>
    <w:rsid w:val="00FD2C86"/>
    <w:rsid w:val="00FD4917"/>
    <w:rsid w:val="00FD499A"/>
    <w:rsid w:val="00FD4B45"/>
    <w:rsid w:val="00FD4B98"/>
    <w:rsid w:val="00FD5197"/>
    <w:rsid w:val="00FD52F4"/>
    <w:rsid w:val="00FD5AF8"/>
    <w:rsid w:val="00FD5EC5"/>
    <w:rsid w:val="00FD6614"/>
    <w:rsid w:val="00FD662B"/>
    <w:rsid w:val="00FD67D0"/>
    <w:rsid w:val="00FD6EF0"/>
    <w:rsid w:val="00FD7260"/>
    <w:rsid w:val="00FD7583"/>
    <w:rsid w:val="00FE0042"/>
    <w:rsid w:val="00FE0418"/>
    <w:rsid w:val="00FE06F9"/>
    <w:rsid w:val="00FE1234"/>
    <w:rsid w:val="00FE2577"/>
    <w:rsid w:val="00FE2BFC"/>
    <w:rsid w:val="00FE2F74"/>
    <w:rsid w:val="00FE3258"/>
    <w:rsid w:val="00FE3488"/>
    <w:rsid w:val="00FE44F8"/>
    <w:rsid w:val="00FE59A4"/>
    <w:rsid w:val="00FE7ABB"/>
    <w:rsid w:val="00FF136C"/>
    <w:rsid w:val="00FF1A52"/>
    <w:rsid w:val="00FF2410"/>
    <w:rsid w:val="00FF2E0A"/>
    <w:rsid w:val="00FF3094"/>
    <w:rsid w:val="00FF3536"/>
    <w:rsid w:val="00FF38B8"/>
    <w:rsid w:val="00FF45FD"/>
    <w:rsid w:val="00FF4DC2"/>
    <w:rsid w:val="00FF530F"/>
    <w:rsid w:val="00FF5C9B"/>
    <w:rsid w:val="00FF5DD7"/>
    <w:rsid w:val="00FF6BA8"/>
    <w:rsid w:val="00FF71CA"/>
    <w:rsid w:val="00FF725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8272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1E3E"/>
    <w:pPr>
      <w:spacing w:after="0" w:line="480" w:lineRule="auto"/>
      <w:ind w:firstLine="706"/>
    </w:pPr>
    <w:rPr>
      <w:rFonts w:ascii="Times New Roman" w:eastAsia="Calibri" w:hAnsi="Times New Roman" w:cs="Times New Roman"/>
      <w:color w:val="000000" w:themeColor="text1"/>
      <w:sz w:val="24"/>
      <w:szCs w:val="24"/>
      <w:shd w:val="clear" w:color="auto" w:fill="FFFFFF"/>
      <w:lang w:val="en-US" w:eastAsia="en-GB"/>
    </w:rPr>
  </w:style>
  <w:style w:type="paragraph" w:styleId="Heading1">
    <w:name w:val="heading 1"/>
    <w:basedOn w:val="Normal"/>
    <w:next w:val="Normal"/>
    <w:link w:val="Heading1Char"/>
    <w:qFormat/>
    <w:rsid w:val="008B6EF7"/>
    <w:pPr>
      <w:spacing w:before="240" w:after="120" w:line="360" w:lineRule="auto"/>
      <w:ind w:firstLine="0"/>
      <w:jc w:val="center"/>
      <w:outlineLvl w:val="0"/>
    </w:pPr>
    <w:rPr>
      <w:b/>
      <w:caps/>
      <w:lang w:val="en-GB"/>
    </w:rPr>
  </w:style>
  <w:style w:type="paragraph" w:styleId="Heading2">
    <w:name w:val="heading 2"/>
    <w:basedOn w:val="Normal"/>
    <w:next w:val="Normal"/>
    <w:link w:val="Heading2Char"/>
    <w:qFormat/>
    <w:rsid w:val="008B6EF7"/>
    <w:pPr>
      <w:spacing w:before="120" w:after="120" w:line="360" w:lineRule="auto"/>
      <w:ind w:firstLine="0"/>
      <w:outlineLvl w:val="1"/>
    </w:pPr>
    <w:rPr>
      <w:b/>
    </w:rPr>
  </w:style>
  <w:style w:type="paragraph" w:styleId="Heading3">
    <w:name w:val="heading 3"/>
    <w:basedOn w:val="Normal"/>
    <w:next w:val="Normal"/>
    <w:link w:val="Heading3Char"/>
    <w:unhideWhenUsed/>
    <w:qFormat/>
    <w:rsid w:val="00DE1E3E"/>
    <w:pPr>
      <w:ind w:firstLine="540"/>
      <w:outlineLvl w:val="2"/>
    </w:pPr>
    <w:rPr>
      <w:b/>
      <w:i/>
      <w:lang w:val="en-GB"/>
    </w:rPr>
  </w:style>
  <w:style w:type="paragraph" w:styleId="Heading4">
    <w:name w:val="heading 4"/>
    <w:basedOn w:val="Normal"/>
    <w:next w:val="Normal"/>
    <w:link w:val="Heading4Char"/>
    <w:rsid w:val="00F74DE0"/>
    <w:pPr>
      <w:keepNext/>
      <w:keepLines/>
      <w:spacing w:before="240" w:after="40"/>
      <w:ind w:firstLine="540"/>
      <w:contextualSpacing/>
      <w:outlineLvl w:val="3"/>
    </w:pPr>
    <w:rPr>
      <w:b/>
      <w:lang w:val="en-GB"/>
    </w:rPr>
  </w:style>
  <w:style w:type="paragraph" w:styleId="Heading5">
    <w:name w:val="heading 5"/>
    <w:basedOn w:val="Normal"/>
    <w:next w:val="Normal"/>
    <w:link w:val="Heading5Char"/>
    <w:rsid w:val="00F74DE0"/>
    <w:pPr>
      <w:keepNext/>
      <w:keepLines/>
      <w:spacing w:before="220" w:after="40"/>
      <w:ind w:firstLine="540"/>
      <w:contextualSpacing/>
      <w:outlineLvl w:val="4"/>
    </w:pPr>
    <w:rPr>
      <w:b/>
      <w:lang w:val="en-GB"/>
    </w:rPr>
  </w:style>
  <w:style w:type="paragraph" w:styleId="Heading6">
    <w:name w:val="heading 6"/>
    <w:basedOn w:val="Normal"/>
    <w:next w:val="Normal"/>
    <w:link w:val="Heading6Char"/>
    <w:rsid w:val="00F74DE0"/>
    <w:pPr>
      <w:keepNext/>
      <w:keepLines/>
      <w:spacing w:before="200" w:after="40"/>
      <w:ind w:firstLine="540"/>
      <w:contextualSpacing/>
      <w:outlineLvl w:val="5"/>
    </w:pPr>
    <w:rPr>
      <w:b/>
      <w:sz w:val="20"/>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B6EF7"/>
    <w:rPr>
      <w:rFonts w:ascii="Times New Roman" w:eastAsia="Calibri" w:hAnsi="Times New Roman" w:cs="Times New Roman"/>
      <w:b/>
      <w:caps/>
      <w:color w:val="000000" w:themeColor="text1"/>
      <w:sz w:val="24"/>
      <w:szCs w:val="24"/>
      <w:lang w:val="en-GB" w:eastAsia="en-GB"/>
    </w:rPr>
  </w:style>
  <w:style w:type="character" w:customStyle="1" w:styleId="Heading2Char">
    <w:name w:val="Heading 2 Char"/>
    <w:basedOn w:val="DefaultParagraphFont"/>
    <w:link w:val="Heading2"/>
    <w:rsid w:val="008B6EF7"/>
    <w:rPr>
      <w:rFonts w:ascii="Times New Roman" w:eastAsia="Calibri" w:hAnsi="Times New Roman" w:cs="Times New Roman"/>
      <w:b/>
      <w:color w:val="000000" w:themeColor="text1"/>
      <w:sz w:val="24"/>
      <w:szCs w:val="24"/>
      <w:lang w:val="en-US" w:eastAsia="en-GB"/>
    </w:rPr>
  </w:style>
  <w:style w:type="character" w:customStyle="1" w:styleId="Heading3Char">
    <w:name w:val="Heading 3 Char"/>
    <w:basedOn w:val="DefaultParagraphFont"/>
    <w:link w:val="Heading3"/>
    <w:rsid w:val="00DE1E3E"/>
    <w:rPr>
      <w:rFonts w:ascii="Times New Roman" w:eastAsia="Calibri" w:hAnsi="Times New Roman" w:cs="Times New Roman"/>
      <w:b/>
      <w:i/>
      <w:sz w:val="24"/>
      <w:szCs w:val="24"/>
      <w:lang w:val="en-GB" w:eastAsia="en-GB"/>
    </w:rPr>
  </w:style>
  <w:style w:type="character" w:customStyle="1" w:styleId="Heading4Char">
    <w:name w:val="Heading 4 Char"/>
    <w:basedOn w:val="DefaultParagraphFont"/>
    <w:link w:val="Heading4"/>
    <w:rsid w:val="00F74DE0"/>
    <w:rPr>
      <w:rFonts w:ascii="Times New Roman" w:eastAsia="Calibri" w:hAnsi="Times New Roman" w:cs="Times New Roman"/>
      <w:b/>
      <w:sz w:val="24"/>
      <w:szCs w:val="24"/>
      <w:lang w:val="en-GB" w:eastAsia="en-GB"/>
    </w:rPr>
  </w:style>
  <w:style w:type="character" w:customStyle="1" w:styleId="Heading5Char">
    <w:name w:val="Heading 5 Char"/>
    <w:basedOn w:val="DefaultParagraphFont"/>
    <w:link w:val="Heading5"/>
    <w:rsid w:val="00F74DE0"/>
    <w:rPr>
      <w:rFonts w:ascii="Times New Roman" w:eastAsia="Calibri" w:hAnsi="Times New Roman" w:cs="Times New Roman"/>
      <w:b/>
      <w:sz w:val="24"/>
      <w:szCs w:val="24"/>
      <w:lang w:val="en-GB" w:eastAsia="en-GB"/>
    </w:rPr>
  </w:style>
  <w:style w:type="character" w:customStyle="1" w:styleId="Heading6Char">
    <w:name w:val="Heading 6 Char"/>
    <w:basedOn w:val="DefaultParagraphFont"/>
    <w:link w:val="Heading6"/>
    <w:rsid w:val="00F74DE0"/>
    <w:rPr>
      <w:rFonts w:ascii="Times New Roman" w:eastAsia="Calibri" w:hAnsi="Times New Roman" w:cs="Times New Roman"/>
      <w:b/>
      <w:sz w:val="20"/>
      <w:szCs w:val="20"/>
      <w:lang w:val="en-GB" w:eastAsia="en-GB"/>
    </w:rPr>
  </w:style>
  <w:style w:type="character" w:styleId="Emphasis">
    <w:name w:val="Emphasis"/>
    <w:aliases w:val="Hypothesis"/>
    <w:uiPriority w:val="20"/>
    <w:qFormat/>
    <w:rsid w:val="00F74DE0"/>
    <w:rPr>
      <w:i/>
    </w:rPr>
  </w:style>
  <w:style w:type="character" w:styleId="FootnoteReference">
    <w:name w:val="footnote reference"/>
    <w:basedOn w:val="DefaultParagraphFont"/>
    <w:uiPriority w:val="99"/>
    <w:semiHidden/>
    <w:unhideWhenUsed/>
    <w:rsid w:val="00F74DE0"/>
    <w:rPr>
      <w:vertAlign w:val="superscript"/>
    </w:rPr>
  </w:style>
  <w:style w:type="paragraph" w:styleId="Title">
    <w:name w:val="Title"/>
    <w:basedOn w:val="Normal"/>
    <w:next w:val="Normal"/>
    <w:link w:val="TitleChar"/>
    <w:rsid w:val="00F74DE0"/>
    <w:pPr>
      <w:keepNext/>
      <w:keepLines/>
      <w:spacing w:before="480" w:after="120"/>
      <w:ind w:firstLine="540"/>
      <w:contextualSpacing/>
    </w:pPr>
    <w:rPr>
      <w:b/>
      <w:sz w:val="72"/>
      <w:szCs w:val="72"/>
      <w:lang w:val="en-GB"/>
    </w:rPr>
  </w:style>
  <w:style w:type="character" w:customStyle="1" w:styleId="TitleChar">
    <w:name w:val="Title Char"/>
    <w:basedOn w:val="DefaultParagraphFont"/>
    <w:link w:val="Title"/>
    <w:rsid w:val="00F74DE0"/>
    <w:rPr>
      <w:rFonts w:ascii="Times New Roman" w:eastAsia="Calibri" w:hAnsi="Times New Roman" w:cs="Times New Roman"/>
      <w:b/>
      <w:sz w:val="72"/>
      <w:szCs w:val="72"/>
      <w:lang w:val="en-GB" w:eastAsia="en-GB"/>
    </w:rPr>
  </w:style>
  <w:style w:type="paragraph" w:styleId="Subtitle">
    <w:name w:val="Subtitle"/>
    <w:basedOn w:val="Normal"/>
    <w:next w:val="Normal"/>
    <w:link w:val="SubtitleChar"/>
    <w:rsid w:val="00F74DE0"/>
    <w:pPr>
      <w:keepNext/>
      <w:keepLines/>
      <w:spacing w:before="360" w:after="80"/>
      <w:ind w:firstLine="540"/>
      <w:contextualSpacing/>
    </w:pPr>
    <w:rPr>
      <w:rFonts w:ascii="Georgia" w:eastAsia="Georgia" w:hAnsi="Georgia" w:cs="Georgia"/>
      <w:i/>
      <w:color w:val="666666"/>
      <w:sz w:val="48"/>
      <w:szCs w:val="48"/>
      <w:lang w:val="en-GB"/>
    </w:rPr>
  </w:style>
  <w:style w:type="character" w:customStyle="1" w:styleId="SubtitleChar">
    <w:name w:val="Subtitle Char"/>
    <w:basedOn w:val="DefaultParagraphFont"/>
    <w:link w:val="Subtitle"/>
    <w:rsid w:val="00F74DE0"/>
    <w:rPr>
      <w:rFonts w:ascii="Georgia" w:eastAsia="Georgia" w:hAnsi="Georgia" w:cs="Georgia"/>
      <w:i/>
      <w:color w:val="666666"/>
      <w:sz w:val="48"/>
      <w:szCs w:val="48"/>
      <w:lang w:val="en-GB" w:eastAsia="en-GB"/>
    </w:rPr>
  </w:style>
  <w:style w:type="paragraph" w:styleId="CommentText">
    <w:name w:val="annotation text"/>
    <w:basedOn w:val="Normal"/>
    <w:link w:val="CommentTextChar"/>
    <w:uiPriority w:val="99"/>
    <w:unhideWhenUsed/>
    <w:rsid w:val="00B95FDD"/>
    <w:pPr>
      <w:ind w:firstLine="540"/>
    </w:pPr>
    <w:rPr>
      <w:lang w:val="it-IT"/>
    </w:rPr>
  </w:style>
  <w:style w:type="character" w:customStyle="1" w:styleId="CommentTextChar">
    <w:name w:val="Comment Text Char"/>
    <w:basedOn w:val="DefaultParagraphFont"/>
    <w:link w:val="CommentText"/>
    <w:uiPriority w:val="99"/>
    <w:rsid w:val="00B95FDD"/>
    <w:rPr>
      <w:rFonts w:ascii="Times New Roman" w:eastAsia="Calibri" w:hAnsi="Times New Roman" w:cs="Times New Roman"/>
      <w:sz w:val="24"/>
      <w:szCs w:val="24"/>
      <w:lang w:val="en-US" w:eastAsia="en-GB"/>
    </w:rPr>
  </w:style>
  <w:style w:type="character" w:styleId="CommentReference">
    <w:name w:val="annotation reference"/>
    <w:basedOn w:val="DefaultParagraphFont"/>
    <w:uiPriority w:val="99"/>
    <w:semiHidden/>
    <w:unhideWhenUsed/>
    <w:rsid w:val="00F74DE0"/>
    <w:rPr>
      <w:sz w:val="18"/>
      <w:szCs w:val="18"/>
    </w:rPr>
  </w:style>
  <w:style w:type="paragraph" w:styleId="BalloonText">
    <w:name w:val="Balloon Text"/>
    <w:basedOn w:val="Normal"/>
    <w:link w:val="BalloonTextChar"/>
    <w:uiPriority w:val="99"/>
    <w:semiHidden/>
    <w:unhideWhenUsed/>
    <w:rsid w:val="00F74DE0"/>
    <w:pPr>
      <w:ind w:firstLine="540"/>
    </w:pPr>
    <w:rPr>
      <w:sz w:val="20"/>
      <w:szCs w:val="18"/>
      <w:lang w:val="en-GB"/>
    </w:rPr>
  </w:style>
  <w:style w:type="character" w:customStyle="1" w:styleId="BalloonTextChar">
    <w:name w:val="Balloon Text Char"/>
    <w:basedOn w:val="DefaultParagraphFont"/>
    <w:link w:val="BalloonText"/>
    <w:uiPriority w:val="99"/>
    <w:semiHidden/>
    <w:rsid w:val="00F74DE0"/>
    <w:rPr>
      <w:rFonts w:ascii="Times New Roman" w:eastAsia="Calibri" w:hAnsi="Times New Roman" w:cs="Times New Roman"/>
      <w:sz w:val="20"/>
      <w:szCs w:val="18"/>
      <w:lang w:val="en-GB" w:eastAsia="en-GB"/>
    </w:rPr>
  </w:style>
  <w:style w:type="paragraph" w:styleId="CommentSubject">
    <w:name w:val="annotation subject"/>
    <w:basedOn w:val="CommentText"/>
    <w:next w:val="CommentText"/>
    <w:link w:val="CommentSubjectChar"/>
    <w:uiPriority w:val="99"/>
    <w:semiHidden/>
    <w:unhideWhenUsed/>
    <w:rsid w:val="00F74DE0"/>
    <w:rPr>
      <w:b/>
      <w:bCs/>
      <w:sz w:val="20"/>
      <w:szCs w:val="20"/>
    </w:rPr>
  </w:style>
  <w:style w:type="character" w:customStyle="1" w:styleId="CommentSubjectChar">
    <w:name w:val="Comment Subject Char"/>
    <w:basedOn w:val="CommentTextChar"/>
    <w:link w:val="CommentSubject"/>
    <w:uiPriority w:val="99"/>
    <w:semiHidden/>
    <w:rsid w:val="00F74DE0"/>
    <w:rPr>
      <w:rFonts w:ascii="Times New Roman" w:eastAsia="Calibri" w:hAnsi="Times New Roman" w:cs="Times New Roman"/>
      <w:b/>
      <w:bCs/>
      <w:sz w:val="20"/>
      <w:szCs w:val="20"/>
      <w:lang w:val="en-GB" w:eastAsia="en-GB"/>
    </w:rPr>
  </w:style>
  <w:style w:type="paragraph" w:styleId="ListParagraph">
    <w:name w:val="List Paragraph"/>
    <w:basedOn w:val="Normal"/>
    <w:uiPriority w:val="34"/>
    <w:rsid w:val="00F74DE0"/>
    <w:pPr>
      <w:ind w:left="720" w:firstLine="540"/>
      <w:contextualSpacing/>
    </w:pPr>
    <w:rPr>
      <w:lang w:val="en-GB"/>
    </w:rPr>
  </w:style>
  <w:style w:type="paragraph" w:styleId="Footer">
    <w:name w:val="footer"/>
    <w:basedOn w:val="Normal"/>
    <w:link w:val="FooterChar"/>
    <w:uiPriority w:val="99"/>
    <w:unhideWhenUsed/>
    <w:rsid w:val="00F74DE0"/>
    <w:pPr>
      <w:tabs>
        <w:tab w:val="center" w:pos="4819"/>
        <w:tab w:val="right" w:pos="9638"/>
      </w:tabs>
      <w:ind w:firstLine="540"/>
    </w:pPr>
    <w:rPr>
      <w:lang w:val="en-GB"/>
    </w:rPr>
  </w:style>
  <w:style w:type="character" w:customStyle="1" w:styleId="FooterChar">
    <w:name w:val="Footer Char"/>
    <w:basedOn w:val="DefaultParagraphFont"/>
    <w:link w:val="Footer"/>
    <w:uiPriority w:val="99"/>
    <w:rsid w:val="00F74DE0"/>
    <w:rPr>
      <w:rFonts w:ascii="Times New Roman" w:eastAsia="Calibri" w:hAnsi="Times New Roman" w:cs="Times New Roman"/>
      <w:sz w:val="24"/>
      <w:szCs w:val="24"/>
      <w:lang w:val="en-GB" w:eastAsia="en-GB"/>
    </w:rPr>
  </w:style>
  <w:style w:type="character" w:styleId="PageNumber">
    <w:name w:val="page number"/>
    <w:basedOn w:val="DefaultParagraphFont"/>
    <w:uiPriority w:val="99"/>
    <w:semiHidden/>
    <w:unhideWhenUsed/>
    <w:rsid w:val="00F74DE0"/>
  </w:style>
  <w:style w:type="paragraph" w:styleId="Caption">
    <w:name w:val="caption"/>
    <w:basedOn w:val="Normal"/>
    <w:next w:val="Normal"/>
    <w:uiPriority w:val="35"/>
    <w:unhideWhenUsed/>
    <w:rsid w:val="00F74DE0"/>
    <w:pPr>
      <w:spacing w:after="200"/>
      <w:ind w:firstLine="540"/>
    </w:pPr>
    <w:rPr>
      <w:i/>
      <w:iCs/>
      <w:color w:val="44546A" w:themeColor="text2"/>
      <w:sz w:val="18"/>
      <w:szCs w:val="18"/>
      <w:lang w:val="en-GB"/>
    </w:rPr>
  </w:style>
  <w:style w:type="table" w:styleId="TableGrid">
    <w:name w:val="Table Grid"/>
    <w:basedOn w:val="TableNormal"/>
    <w:uiPriority w:val="39"/>
    <w:rsid w:val="00F74DE0"/>
    <w:pPr>
      <w:widowControl w:val="0"/>
      <w:spacing w:after="0" w:line="240" w:lineRule="auto"/>
    </w:pPr>
    <w:rPr>
      <w:rFonts w:ascii="Calibri" w:eastAsia="Calibri" w:hAnsi="Calibri" w:cs="Calibri"/>
      <w:color w:val="000000"/>
      <w:sz w:val="24"/>
      <w:szCs w:val="24"/>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aliases w:val="Text"/>
    <w:basedOn w:val="Normal"/>
    <w:uiPriority w:val="1"/>
    <w:rsid w:val="00F74DE0"/>
    <w:pPr>
      <w:ind w:firstLine="720"/>
    </w:pPr>
    <w:rPr>
      <w:lang w:val="en-GB"/>
    </w:rPr>
  </w:style>
  <w:style w:type="character" w:styleId="Hyperlink">
    <w:name w:val="Hyperlink"/>
    <w:basedOn w:val="DefaultParagraphFont"/>
    <w:uiPriority w:val="99"/>
    <w:unhideWhenUsed/>
    <w:rsid w:val="00F74DE0"/>
    <w:rPr>
      <w:color w:val="0000FF"/>
      <w:u w:val="single"/>
    </w:rPr>
  </w:style>
  <w:style w:type="paragraph" w:styleId="Revision">
    <w:name w:val="Revision"/>
    <w:hidden/>
    <w:uiPriority w:val="99"/>
    <w:semiHidden/>
    <w:rsid w:val="00F74DE0"/>
    <w:pPr>
      <w:spacing w:after="0" w:line="240" w:lineRule="auto"/>
    </w:pPr>
    <w:rPr>
      <w:rFonts w:ascii="Times New Roman" w:eastAsia="Calibri" w:hAnsi="Times New Roman" w:cs="Times New Roman"/>
      <w:sz w:val="24"/>
      <w:szCs w:val="24"/>
      <w:lang w:val="en-GB" w:eastAsia="en-GB"/>
    </w:rPr>
  </w:style>
  <w:style w:type="paragraph" w:styleId="Header">
    <w:name w:val="header"/>
    <w:basedOn w:val="Normal"/>
    <w:link w:val="HeaderChar"/>
    <w:uiPriority w:val="99"/>
    <w:unhideWhenUsed/>
    <w:rsid w:val="00F74DE0"/>
    <w:pPr>
      <w:tabs>
        <w:tab w:val="center" w:pos="4819"/>
        <w:tab w:val="right" w:pos="9638"/>
      </w:tabs>
      <w:ind w:firstLine="540"/>
    </w:pPr>
    <w:rPr>
      <w:lang w:val="en-GB"/>
    </w:rPr>
  </w:style>
  <w:style w:type="character" w:customStyle="1" w:styleId="HeaderChar">
    <w:name w:val="Header Char"/>
    <w:basedOn w:val="DefaultParagraphFont"/>
    <w:link w:val="Header"/>
    <w:uiPriority w:val="99"/>
    <w:rsid w:val="00F74DE0"/>
    <w:rPr>
      <w:rFonts w:ascii="Times New Roman" w:eastAsia="Calibri" w:hAnsi="Times New Roman" w:cs="Times New Roman"/>
      <w:sz w:val="24"/>
      <w:szCs w:val="24"/>
      <w:lang w:val="en-GB" w:eastAsia="en-GB"/>
    </w:rPr>
  </w:style>
  <w:style w:type="paragraph" w:styleId="DocumentMap">
    <w:name w:val="Document Map"/>
    <w:basedOn w:val="Normal"/>
    <w:link w:val="DocumentMapChar"/>
    <w:uiPriority w:val="99"/>
    <w:semiHidden/>
    <w:unhideWhenUsed/>
    <w:rsid w:val="00F74DE0"/>
    <w:rPr>
      <w:lang w:val="it-IT"/>
    </w:rPr>
  </w:style>
  <w:style w:type="character" w:customStyle="1" w:styleId="DocumentMapChar">
    <w:name w:val="Document Map Char"/>
    <w:basedOn w:val="DefaultParagraphFont"/>
    <w:link w:val="DocumentMap"/>
    <w:uiPriority w:val="99"/>
    <w:semiHidden/>
    <w:rsid w:val="00F74DE0"/>
    <w:rPr>
      <w:rFonts w:ascii="Times New Roman" w:eastAsia="Calibri" w:hAnsi="Times New Roman" w:cs="Times New Roman"/>
      <w:sz w:val="24"/>
      <w:szCs w:val="24"/>
      <w:lang w:val="en-GB" w:eastAsia="en-GB"/>
    </w:rPr>
  </w:style>
  <w:style w:type="character" w:styleId="FollowedHyperlink">
    <w:name w:val="FollowedHyperlink"/>
    <w:basedOn w:val="DefaultParagraphFont"/>
    <w:uiPriority w:val="99"/>
    <w:semiHidden/>
    <w:unhideWhenUsed/>
    <w:rsid w:val="00F74DE0"/>
    <w:rPr>
      <w:color w:val="954F72" w:themeColor="followedHyperlink"/>
      <w:u w:val="single"/>
    </w:rPr>
  </w:style>
  <w:style w:type="paragraph" w:styleId="FootnoteText">
    <w:name w:val="footnote text"/>
    <w:basedOn w:val="Normal"/>
    <w:link w:val="FootnoteTextChar"/>
    <w:uiPriority w:val="99"/>
    <w:unhideWhenUsed/>
    <w:rsid w:val="00F74DE0"/>
    <w:pPr>
      <w:ind w:firstLine="540"/>
    </w:pPr>
    <w:rPr>
      <w:sz w:val="20"/>
      <w:szCs w:val="20"/>
      <w:lang w:val="en-GB"/>
    </w:rPr>
  </w:style>
  <w:style w:type="character" w:customStyle="1" w:styleId="FootnoteTextChar">
    <w:name w:val="Footnote Text Char"/>
    <w:basedOn w:val="DefaultParagraphFont"/>
    <w:link w:val="FootnoteText"/>
    <w:uiPriority w:val="99"/>
    <w:rsid w:val="00F74DE0"/>
    <w:rPr>
      <w:rFonts w:ascii="Times New Roman" w:eastAsia="Calibri" w:hAnsi="Times New Roman" w:cs="Times New Roman"/>
      <w:sz w:val="20"/>
      <w:szCs w:val="20"/>
      <w:lang w:val="en-GB" w:eastAsia="en-GB"/>
    </w:rPr>
  </w:style>
  <w:style w:type="character" w:customStyle="1" w:styleId="UnresolvedMention1">
    <w:name w:val="Unresolved Mention1"/>
    <w:basedOn w:val="DefaultParagraphFont"/>
    <w:uiPriority w:val="99"/>
    <w:semiHidden/>
    <w:unhideWhenUsed/>
    <w:rsid w:val="007302C7"/>
    <w:rPr>
      <w:color w:val="605E5C"/>
      <w:shd w:val="clear" w:color="auto" w:fill="E1DFDD"/>
    </w:rPr>
  </w:style>
  <w:style w:type="character" w:styleId="EndnoteReference">
    <w:name w:val="endnote reference"/>
    <w:basedOn w:val="DefaultParagraphFont"/>
    <w:uiPriority w:val="99"/>
    <w:semiHidden/>
    <w:unhideWhenUsed/>
    <w:rsid w:val="00673400"/>
    <w:rPr>
      <w:vertAlign w:val="superscript"/>
    </w:rPr>
  </w:style>
  <w:style w:type="paragraph" w:customStyle="1" w:styleId="Tables">
    <w:name w:val="Tables"/>
    <w:basedOn w:val="Normal"/>
    <w:link w:val="TablesChar"/>
    <w:qFormat/>
    <w:rsid w:val="001F626A"/>
    <w:pPr>
      <w:widowControl w:val="0"/>
      <w:spacing w:line="240" w:lineRule="auto"/>
      <w:ind w:firstLine="0"/>
      <w:jc w:val="center"/>
    </w:pPr>
    <w:rPr>
      <w:sz w:val="20"/>
      <w:lang w:val="it-IT"/>
    </w:rPr>
  </w:style>
  <w:style w:type="character" w:customStyle="1" w:styleId="TablesChar">
    <w:name w:val="Tables Char"/>
    <w:basedOn w:val="DefaultParagraphFont"/>
    <w:link w:val="Tables"/>
    <w:rsid w:val="001F626A"/>
    <w:rPr>
      <w:rFonts w:ascii="Times New Roman" w:eastAsia="Calibri" w:hAnsi="Times New Roman" w:cs="Times New Roman"/>
      <w:color w:val="000000" w:themeColor="text1"/>
      <w:sz w:val="20"/>
      <w:szCs w:val="24"/>
      <w:lang w:val="it-IT" w:eastAsia="en-GB"/>
    </w:rPr>
  </w:style>
  <w:style w:type="paragraph" w:styleId="NormalWeb">
    <w:name w:val="Normal (Web)"/>
    <w:basedOn w:val="Normal"/>
    <w:uiPriority w:val="99"/>
    <w:unhideWhenUsed/>
    <w:rsid w:val="006F1645"/>
    <w:pPr>
      <w:spacing w:before="100" w:beforeAutospacing="1" w:after="100" w:afterAutospacing="1"/>
    </w:pPr>
    <w:rPr>
      <w:rFonts w:eastAsiaTheme="minorHAnsi"/>
      <w:lang w:val="en-GB"/>
    </w:rPr>
  </w:style>
  <w:style w:type="paragraph" w:customStyle="1" w:styleId="Footnote">
    <w:name w:val="Footnote"/>
    <w:basedOn w:val="FootnoteText"/>
    <w:link w:val="FootnoteChar"/>
    <w:qFormat/>
    <w:rsid w:val="00F26AE7"/>
    <w:pPr>
      <w:spacing w:line="240" w:lineRule="auto"/>
    </w:pPr>
  </w:style>
  <w:style w:type="character" w:customStyle="1" w:styleId="FootnoteChar">
    <w:name w:val="Footnote Char"/>
    <w:basedOn w:val="FootnoteTextChar"/>
    <w:link w:val="Footnote"/>
    <w:rsid w:val="00F26AE7"/>
    <w:rPr>
      <w:rFonts w:ascii="Times New Roman" w:eastAsia="Calibri" w:hAnsi="Times New Roman" w:cs="Times New Roman"/>
      <w:color w:val="000000" w:themeColor="text1"/>
      <w:sz w:val="20"/>
      <w:szCs w:val="20"/>
      <w:lang w:val="en-GB" w:eastAsia="en-GB"/>
    </w:rPr>
  </w:style>
  <w:style w:type="paragraph" w:customStyle="1" w:styleId="Table">
    <w:name w:val="Table"/>
    <w:basedOn w:val="Tables"/>
    <w:link w:val="TableChar"/>
    <w:qFormat/>
    <w:rsid w:val="003A678E"/>
    <w:pPr>
      <w:contextualSpacing/>
    </w:pPr>
    <w:rPr>
      <w:szCs w:val="20"/>
      <w:lang w:val="en-GB"/>
    </w:rPr>
  </w:style>
  <w:style w:type="character" w:customStyle="1" w:styleId="TableChar">
    <w:name w:val="Table Char"/>
    <w:basedOn w:val="TablesChar"/>
    <w:link w:val="Table"/>
    <w:rsid w:val="003A678E"/>
    <w:rPr>
      <w:rFonts w:ascii="Times New Roman" w:eastAsia="Times New Roman" w:hAnsi="Times New Roman" w:cs="Times New Roman"/>
      <w:color w:val="000000"/>
      <w:sz w:val="20"/>
      <w:szCs w:val="20"/>
      <w:lang w:val="en-GB" w:eastAsia="en-GB"/>
    </w:rPr>
  </w:style>
  <w:style w:type="character" w:customStyle="1" w:styleId="UnresolvedMention2">
    <w:name w:val="Unresolved Mention2"/>
    <w:basedOn w:val="DefaultParagraphFont"/>
    <w:uiPriority w:val="99"/>
    <w:semiHidden/>
    <w:unhideWhenUsed/>
    <w:rsid w:val="003A029B"/>
    <w:rPr>
      <w:color w:val="605E5C"/>
      <w:shd w:val="clear" w:color="auto" w:fill="E1DFDD"/>
    </w:rPr>
  </w:style>
  <w:style w:type="character" w:customStyle="1" w:styleId="UnresolvedMention3">
    <w:name w:val="Unresolved Mention3"/>
    <w:basedOn w:val="DefaultParagraphFont"/>
    <w:uiPriority w:val="99"/>
    <w:semiHidden/>
    <w:unhideWhenUsed/>
    <w:rsid w:val="007401C4"/>
    <w:rPr>
      <w:color w:val="605E5C"/>
      <w:shd w:val="clear" w:color="auto" w:fill="E1DFDD"/>
    </w:rPr>
  </w:style>
  <w:style w:type="character" w:styleId="Strong">
    <w:name w:val="Strong"/>
    <w:basedOn w:val="DefaultParagraphFont"/>
    <w:uiPriority w:val="22"/>
    <w:qFormat/>
    <w:rsid w:val="008E42DF"/>
    <w:rPr>
      <w:b/>
      <w:bCs/>
    </w:rPr>
  </w:style>
  <w:style w:type="character" w:customStyle="1" w:styleId="UnresolvedMention4">
    <w:name w:val="Unresolved Mention4"/>
    <w:basedOn w:val="DefaultParagraphFont"/>
    <w:uiPriority w:val="99"/>
    <w:semiHidden/>
    <w:unhideWhenUsed/>
    <w:rsid w:val="00D775D6"/>
    <w:rPr>
      <w:color w:val="605E5C"/>
      <w:shd w:val="clear" w:color="auto" w:fill="E1DFDD"/>
    </w:rPr>
  </w:style>
  <w:style w:type="character" w:customStyle="1" w:styleId="apple-converted-space">
    <w:name w:val="apple-converted-space"/>
    <w:basedOn w:val="DefaultParagraphFont"/>
    <w:rsid w:val="003C0D80"/>
  </w:style>
  <w:style w:type="character" w:customStyle="1" w:styleId="UnresolvedMention5">
    <w:name w:val="Unresolved Mention5"/>
    <w:basedOn w:val="DefaultParagraphFont"/>
    <w:uiPriority w:val="99"/>
    <w:semiHidden/>
    <w:unhideWhenUsed/>
    <w:rsid w:val="00D107EB"/>
    <w:rPr>
      <w:color w:val="605E5C"/>
      <w:shd w:val="clear" w:color="auto" w:fill="E1DFDD"/>
    </w:rPr>
  </w:style>
  <w:style w:type="character" w:styleId="UnresolvedMention">
    <w:name w:val="Unresolved Mention"/>
    <w:basedOn w:val="DefaultParagraphFont"/>
    <w:uiPriority w:val="99"/>
    <w:semiHidden/>
    <w:unhideWhenUsed/>
    <w:rsid w:val="00074D7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056922">
      <w:bodyDiv w:val="1"/>
      <w:marLeft w:val="0"/>
      <w:marRight w:val="0"/>
      <w:marTop w:val="0"/>
      <w:marBottom w:val="0"/>
      <w:divBdr>
        <w:top w:val="none" w:sz="0" w:space="0" w:color="auto"/>
        <w:left w:val="none" w:sz="0" w:space="0" w:color="auto"/>
        <w:bottom w:val="none" w:sz="0" w:space="0" w:color="auto"/>
        <w:right w:val="none" w:sz="0" w:space="0" w:color="auto"/>
      </w:divBdr>
    </w:div>
    <w:div w:id="75055699">
      <w:bodyDiv w:val="1"/>
      <w:marLeft w:val="0"/>
      <w:marRight w:val="0"/>
      <w:marTop w:val="0"/>
      <w:marBottom w:val="0"/>
      <w:divBdr>
        <w:top w:val="none" w:sz="0" w:space="0" w:color="auto"/>
        <w:left w:val="none" w:sz="0" w:space="0" w:color="auto"/>
        <w:bottom w:val="none" w:sz="0" w:space="0" w:color="auto"/>
        <w:right w:val="none" w:sz="0" w:space="0" w:color="auto"/>
      </w:divBdr>
    </w:div>
    <w:div w:id="150417164">
      <w:bodyDiv w:val="1"/>
      <w:marLeft w:val="0"/>
      <w:marRight w:val="0"/>
      <w:marTop w:val="0"/>
      <w:marBottom w:val="0"/>
      <w:divBdr>
        <w:top w:val="none" w:sz="0" w:space="0" w:color="auto"/>
        <w:left w:val="none" w:sz="0" w:space="0" w:color="auto"/>
        <w:bottom w:val="none" w:sz="0" w:space="0" w:color="auto"/>
        <w:right w:val="none" w:sz="0" w:space="0" w:color="auto"/>
      </w:divBdr>
    </w:div>
    <w:div w:id="158159969">
      <w:bodyDiv w:val="1"/>
      <w:marLeft w:val="0"/>
      <w:marRight w:val="0"/>
      <w:marTop w:val="0"/>
      <w:marBottom w:val="0"/>
      <w:divBdr>
        <w:top w:val="none" w:sz="0" w:space="0" w:color="auto"/>
        <w:left w:val="none" w:sz="0" w:space="0" w:color="auto"/>
        <w:bottom w:val="none" w:sz="0" w:space="0" w:color="auto"/>
        <w:right w:val="none" w:sz="0" w:space="0" w:color="auto"/>
      </w:divBdr>
    </w:div>
    <w:div w:id="214660788">
      <w:bodyDiv w:val="1"/>
      <w:marLeft w:val="0"/>
      <w:marRight w:val="0"/>
      <w:marTop w:val="0"/>
      <w:marBottom w:val="0"/>
      <w:divBdr>
        <w:top w:val="none" w:sz="0" w:space="0" w:color="auto"/>
        <w:left w:val="none" w:sz="0" w:space="0" w:color="auto"/>
        <w:bottom w:val="none" w:sz="0" w:space="0" w:color="auto"/>
        <w:right w:val="none" w:sz="0" w:space="0" w:color="auto"/>
      </w:divBdr>
    </w:div>
    <w:div w:id="226769621">
      <w:bodyDiv w:val="1"/>
      <w:marLeft w:val="0"/>
      <w:marRight w:val="0"/>
      <w:marTop w:val="0"/>
      <w:marBottom w:val="0"/>
      <w:divBdr>
        <w:top w:val="none" w:sz="0" w:space="0" w:color="auto"/>
        <w:left w:val="none" w:sz="0" w:space="0" w:color="auto"/>
        <w:bottom w:val="none" w:sz="0" w:space="0" w:color="auto"/>
        <w:right w:val="none" w:sz="0" w:space="0" w:color="auto"/>
      </w:divBdr>
    </w:div>
    <w:div w:id="255133314">
      <w:bodyDiv w:val="1"/>
      <w:marLeft w:val="0"/>
      <w:marRight w:val="0"/>
      <w:marTop w:val="0"/>
      <w:marBottom w:val="0"/>
      <w:divBdr>
        <w:top w:val="none" w:sz="0" w:space="0" w:color="auto"/>
        <w:left w:val="none" w:sz="0" w:space="0" w:color="auto"/>
        <w:bottom w:val="none" w:sz="0" w:space="0" w:color="auto"/>
        <w:right w:val="none" w:sz="0" w:space="0" w:color="auto"/>
      </w:divBdr>
    </w:div>
    <w:div w:id="258756886">
      <w:bodyDiv w:val="1"/>
      <w:marLeft w:val="0"/>
      <w:marRight w:val="0"/>
      <w:marTop w:val="0"/>
      <w:marBottom w:val="0"/>
      <w:divBdr>
        <w:top w:val="none" w:sz="0" w:space="0" w:color="auto"/>
        <w:left w:val="none" w:sz="0" w:space="0" w:color="auto"/>
        <w:bottom w:val="none" w:sz="0" w:space="0" w:color="auto"/>
        <w:right w:val="none" w:sz="0" w:space="0" w:color="auto"/>
      </w:divBdr>
    </w:div>
    <w:div w:id="268586114">
      <w:bodyDiv w:val="1"/>
      <w:marLeft w:val="0"/>
      <w:marRight w:val="0"/>
      <w:marTop w:val="0"/>
      <w:marBottom w:val="0"/>
      <w:divBdr>
        <w:top w:val="none" w:sz="0" w:space="0" w:color="auto"/>
        <w:left w:val="none" w:sz="0" w:space="0" w:color="auto"/>
        <w:bottom w:val="none" w:sz="0" w:space="0" w:color="auto"/>
        <w:right w:val="none" w:sz="0" w:space="0" w:color="auto"/>
      </w:divBdr>
    </w:div>
    <w:div w:id="269438826">
      <w:bodyDiv w:val="1"/>
      <w:marLeft w:val="0"/>
      <w:marRight w:val="0"/>
      <w:marTop w:val="0"/>
      <w:marBottom w:val="0"/>
      <w:divBdr>
        <w:top w:val="none" w:sz="0" w:space="0" w:color="auto"/>
        <w:left w:val="none" w:sz="0" w:space="0" w:color="auto"/>
        <w:bottom w:val="none" w:sz="0" w:space="0" w:color="auto"/>
        <w:right w:val="none" w:sz="0" w:space="0" w:color="auto"/>
      </w:divBdr>
    </w:div>
    <w:div w:id="284040337">
      <w:bodyDiv w:val="1"/>
      <w:marLeft w:val="0"/>
      <w:marRight w:val="0"/>
      <w:marTop w:val="0"/>
      <w:marBottom w:val="0"/>
      <w:divBdr>
        <w:top w:val="none" w:sz="0" w:space="0" w:color="auto"/>
        <w:left w:val="none" w:sz="0" w:space="0" w:color="auto"/>
        <w:bottom w:val="none" w:sz="0" w:space="0" w:color="auto"/>
        <w:right w:val="none" w:sz="0" w:space="0" w:color="auto"/>
      </w:divBdr>
    </w:div>
    <w:div w:id="301471397">
      <w:bodyDiv w:val="1"/>
      <w:marLeft w:val="0"/>
      <w:marRight w:val="0"/>
      <w:marTop w:val="0"/>
      <w:marBottom w:val="0"/>
      <w:divBdr>
        <w:top w:val="none" w:sz="0" w:space="0" w:color="auto"/>
        <w:left w:val="none" w:sz="0" w:space="0" w:color="auto"/>
        <w:bottom w:val="none" w:sz="0" w:space="0" w:color="auto"/>
        <w:right w:val="none" w:sz="0" w:space="0" w:color="auto"/>
      </w:divBdr>
    </w:div>
    <w:div w:id="356199245">
      <w:bodyDiv w:val="1"/>
      <w:marLeft w:val="0"/>
      <w:marRight w:val="0"/>
      <w:marTop w:val="0"/>
      <w:marBottom w:val="0"/>
      <w:divBdr>
        <w:top w:val="none" w:sz="0" w:space="0" w:color="auto"/>
        <w:left w:val="none" w:sz="0" w:space="0" w:color="auto"/>
        <w:bottom w:val="none" w:sz="0" w:space="0" w:color="auto"/>
        <w:right w:val="none" w:sz="0" w:space="0" w:color="auto"/>
      </w:divBdr>
    </w:div>
    <w:div w:id="370768728">
      <w:bodyDiv w:val="1"/>
      <w:marLeft w:val="0"/>
      <w:marRight w:val="0"/>
      <w:marTop w:val="0"/>
      <w:marBottom w:val="0"/>
      <w:divBdr>
        <w:top w:val="none" w:sz="0" w:space="0" w:color="auto"/>
        <w:left w:val="none" w:sz="0" w:space="0" w:color="auto"/>
        <w:bottom w:val="none" w:sz="0" w:space="0" w:color="auto"/>
        <w:right w:val="none" w:sz="0" w:space="0" w:color="auto"/>
      </w:divBdr>
    </w:div>
    <w:div w:id="381563805">
      <w:bodyDiv w:val="1"/>
      <w:marLeft w:val="0"/>
      <w:marRight w:val="0"/>
      <w:marTop w:val="0"/>
      <w:marBottom w:val="0"/>
      <w:divBdr>
        <w:top w:val="none" w:sz="0" w:space="0" w:color="auto"/>
        <w:left w:val="none" w:sz="0" w:space="0" w:color="auto"/>
        <w:bottom w:val="none" w:sz="0" w:space="0" w:color="auto"/>
        <w:right w:val="none" w:sz="0" w:space="0" w:color="auto"/>
      </w:divBdr>
    </w:div>
    <w:div w:id="383871850">
      <w:bodyDiv w:val="1"/>
      <w:marLeft w:val="0"/>
      <w:marRight w:val="0"/>
      <w:marTop w:val="0"/>
      <w:marBottom w:val="0"/>
      <w:divBdr>
        <w:top w:val="none" w:sz="0" w:space="0" w:color="auto"/>
        <w:left w:val="none" w:sz="0" w:space="0" w:color="auto"/>
        <w:bottom w:val="none" w:sz="0" w:space="0" w:color="auto"/>
        <w:right w:val="none" w:sz="0" w:space="0" w:color="auto"/>
      </w:divBdr>
    </w:div>
    <w:div w:id="387647734">
      <w:bodyDiv w:val="1"/>
      <w:marLeft w:val="0"/>
      <w:marRight w:val="0"/>
      <w:marTop w:val="0"/>
      <w:marBottom w:val="0"/>
      <w:divBdr>
        <w:top w:val="none" w:sz="0" w:space="0" w:color="auto"/>
        <w:left w:val="none" w:sz="0" w:space="0" w:color="auto"/>
        <w:bottom w:val="none" w:sz="0" w:space="0" w:color="auto"/>
        <w:right w:val="none" w:sz="0" w:space="0" w:color="auto"/>
      </w:divBdr>
    </w:div>
    <w:div w:id="402877080">
      <w:bodyDiv w:val="1"/>
      <w:marLeft w:val="0"/>
      <w:marRight w:val="0"/>
      <w:marTop w:val="0"/>
      <w:marBottom w:val="0"/>
      <w:divBdr>
        <w:top w:val="none" w:sz="0" w:space="0" w:color="auto"/>
        <w:left w:val="none" w:sz="0" w:space="0" w:color="auto"/>
        <w:bottom w:val="none" w:sz="0" w:space="0" w:color="auto"/>
        <w:right w:val="none" w:sz="0" w:space="0" w:color="auto"/>
      </w:divBdr>
    </w:div>
    <w:div w:id="406616688">
      <w:bodyDiv w:val="1"/>
      <w:marLeft w:val="0"/>
      <w:marRight w:val="0"/>
      <w:marTop w:val="0"/>
      <w:marBottom w:val="0"/>
      <w:divBdr>
        <w:top w:val="none" w:sz="0" w:space="0" w:color="auto"/>
        <w:left w:val="none" w:sz="0" w:space="0" w:color="auto"/>
        <w:bottom w:val="none" w:sz="0" w:space="0" w:color="auto"/>
        <w:right w:val="none" w:sz="0" w:space="0" w:color="auto"/>
      </w:divBdr>
    </w:div>
    <w:div w:id="438112264">
      <w:bodyDiv w:val="1"/>
      <w:marLeft w:val="0"/>
      <w:marRight w:val="0"/>
      <w:marTop w:val="0"/>
      <w:marBottom w:val="0"/>
      <w:divBdr>
        <w:top w:val="none" w:sz="0" w:space="0" w:color="auto"/>
        <w:left w:val="none" w:sz="0" w:space="0" w:color="auto"/>
        <w:bottom w:val="none" w:sz="0" w:space="0" w:color="auto"/>
        <w:right w:val="none" w:sz="0" w:space="0" w:color="auto"/>
      </w:divBdr>
    </w:div>
    <w:div w:id="441269900">
      <w:bodyDiv w:val="1"/>
      <w:marLeft w:val="0"/>
      <w:marRight w:val="0"/>
      <w:marTop w:val="0"/>
      <w:marBottom w:val="0"/>
      <w:divBdr>
        <w:top w:val="none" w:sz="0" w:space="0" w:color="auto"/>
        <w:left w:val="none" w:sz="0" w:space="0" w:color="auto"/>
        <w:bottom w:val="none" w:sz="0" w:space="0" w:color="auto"/>
        <w:right w:val="none" w:sz="0" w:space="0" w:color="auto"/>
      </w:divBdr>
    </w:div>
    <w:div w:id="454257263">
      <w:bodyDiv w:val="1"/>
      <w:marLeft w:val="0"/>
      <w:marRight w:val="0"/>
      <w:marTop w:val="0"/>
      <w:marBottom w:val="0"/>
      <w:divBdr>
        <w:top w:val="none" w:sz="0" w:space="0" w:color="auto"/>
        <w:left w:val="none" w:sz="0" w:space="0" w:color="auto"/>
        <w:bottom w:val="none" w:sz="0" w:space="0" w:color="auto"/>
        <w:right w:val="none" w:sz="0" w:space="0" w:color="auto"/>
      </w:divBdr>
    </w:div>
    <w:div w:id="455485218">
      <w:bodyDiv w:val="1"/>
      <w:marLeft w:val="0"/>
      <w:marRight w:val="0"/>
      <w:marTop w:val="0"/>
      <w:marBottom w:val="0"/>
      <w:divBdr>
        <w:top w:val="none" w:sz="0" w:space="0" w:color="auto"/>
        <w:left w:val="none" w:sz="0" w:space="0" w:color="auto"/>
        <w:bottom w:val="none" w:sz="0" w:space="0" w:color="auto"/>
        <w:right w:val="none" w:sz="0" w:space="0" w:color="auto"/>
      </w:divBdr>
    </w:div>
    <w:div w:id="460928538">
      <w:bodyDiv w:val="1"/>
      <w:marLeft w:val="0"/>
      <w:marRight w:val="0"/>
      <w:marTop w:val="0"/>
      <w:marBottom w:val="0"/>
      <w:divBdr>
        <w:top w:val="none" w:sz="0" w:space="0" w:color="auto"/>
        <w:left w:val="none" w:sz="0" w:space="0" w:color="auto"/>
        <w:bottom w:val="none" w:sz="0" w:space="0" w:color="auto"/>
        <w:right w:val="none" w:sz="0" w:space="0" w:color="auto"/>
      </w:divBdr>
    </w:div>
    <w:div w:id="481698149">
      <w:bodyDiv w:val="1"/>
      <w:marLeft w:val="0"/>
      <w:marRight w:val="0"/>
      <w:marTop w:val="0"/>
      <w:marBottom w:val="0"/>
      <w:divBdr>
        <w:top w:val="none" w:sz="0" w:space="0" w:color="auto"/>
        <w:left w:val="none" w:sz="0" w:space="0" w:color="auto"/>
        <w:bottom w:val="none" w:sz="0" w:space="0" w:color="auto"/>
        <w:right w:val="none" w:sz="0" w:space="0" w:color="auto"/>
      </w:divBdr>
    </w:div>
    <w:div w:id="487746157">
      <w:bodyDiv w:val="1"/>
      <w:marLeft w:val="0"/>
      <w:marRight w:val="0"/>
      <w:marTop w:val="0"/>
      <w:marBottom w:val="0"/>
      <w:divBdr>
        <w:top w:val="none" w:sz="0" w:space="0" w:color="auto"/>
        <w:left w:val="none" w:sz="0" w:space="0" w:color="auto"/>
        <w:bottom w:val="none" w:sz="0" w:space="0" w:color="auto"/>
        <w:right w:val="none" w:sz="0" w:space="0" w:color="auto"/>
      </w:divBdr>
    </w:div>
    <w:div w:id="492066231">
      <w:bodyDiv w:val="1"/>
      <w:marLeft w:val="0"/>
      <w:marRight w:val="0"/>
      <w:marTop w:val="0"/>
      <w:marBottom w:val="0"/>
      <w:divBdr>
        <w:top w:val="none" w:sz="0" w:space="0" w:color="auto"/>
        <w:left w:val="none" w:sz="0" w:space="0" w:color="auto"/>
        <w:bottom w:val="none" w:sz="0" w:space="0" w:color="auto"/>
        <w:right w:val="none" w:sz="0" w:space="0" w:color="auto"/>
      </w:divBdr>
    </w:div>
    <w:div w:id="510492099">
      <w:bodyDiv w:val="1"/>
      <w:marLeft w:val="0"/>
      <w:marRight w:val="0"/>
      <w:marTop w:val="0"/>
      <w:marBottom w:val="0"/>
      <w:divBdr>
        <w:top w:val="none" w:sz="0" w:space="0" w:color="auto"/>
        <w:left w:val="none" w:sz="0" w:space="0" w:color="auto"/>
        <w:bottom w:val="none" w:sz="0" w:space="0" w:color="auto"/>
        <w:right w:val="none" w:sz="0" w:space="0" w:color="auto"/>
      </w:divBdr>
    </w:div>
    <w:div w:id="536353601">
      <w:bodyDiv w:val="1"/>
      <w:marLeft w:val="0"/>
      <w:marRight w:val="0"/>
      <w:marTop w:val="0"/>
      <w:marBottom w:val="0"/>
      <w:divBdr>
        <w:top w:val="none" w:sz="0" w:space="0" w:color="auto"/>
        <w:left w:val="none" w:sz="0" w:space="0" w:color="auto"/>
        <w:bottom w:val="none" w:sz="0" w:space="0" w:color="auto"/>
        <w:right w:val="none" w:sz="0" w:space="0" w:color="auto"/>
      </w:divBdr>
    </w:div>
    <w:div w:id="572592523">
      <w:bodyDiv w:val="1"/>
      <w:marLeft w:val="0"/>
      <w:marRight w:val="0"/>
      <w:marTop w:val="0"/>
      <w:marBottom w:val="0"/>
      <w:divBdr>
        <w:top w:val="none" w:sz="0" w:space="0" w:color="auto"/>
        <w:left w:val="none" w:sz="0" w:space="0" w:color="auto"/>
        <w:bottom w:val="none" w:sz="0" w:space="0" w:color="auto"/>
        <w:right w:val="none" w:sz="0" w:space="0" w:color="auto"/>
      </w:divBdr>
    </w:div>
    <w:div w:id="578101262">
      <w:bodyDiv w:val="1"/>
      <w:marLeft w:val="0"/>
      <w:marRight w:val="0"/>
      <w:marTop w:val="0"/>
      <w:marBottom w:val="0"/>
      <w:divBdr>
        <w:top w:val="none" w:sz="0" w:space="0" w:color="auto"/>
        <w:left w:val="none" w:sz="0" w:space="0" w:color="auto"/>
        <w:bottom w:val="none" w:sz="0" w:space="0" w:color="auto"/>
        <w:right w:val="none" w:sz="0" w:space="0" w:color="auto"/>
      </w:divBdr>
      <w:divsChild>
        <w:div w:id="1591427144">
          <w:marLeft w:val="0"/>
          <w:marRight w:val="0"/>
          <w:marTop w:val="0"/>
          <w:marBottom w:val="0"/>
          <w:divBdr>
            <w:top w:val="none" w:sz="0" w:space="0" w:color="auto"/>
            <w:left w:val="none" w:sz="0" w:space="0" w:color="auto"/>
            <w:bottom w:val="none" w:sz="0" w:space="0" w:color="auto"/>
            <w:right w:val="none" w:sz="0" w:space="0" w:color="auto"/>
          </w:divBdr>
          <w:divsChild>
            <w:div w:id="962030515">
              <w:marLeft w:val="0"/>
              <w:marRight w:val="0"/>
              <w:marTop w:val="0"/>
              <w:marBottom w:val="0"/>
              <w:divBdr>
                <w:top w:val="none" w:sz="0" w:space="0" w:color="auto"/>
                <w:left w:val="none" w:sz="0" w:space="0" w:color="auto"/>
                <w:bottom w:val="none" w:sz="0" w:space="0" w:color="auto"/>
                <w:right w:val="none" w:sz="0" w:space="0" w:color="auto"/>
              </w:divBdr>
              <w:divsChild>
                <w:div w:id="1382634086">
                  <w:marLeft w:val="0"/>
                  <w:marRight w:val="0"/>
                  <w:marTop w:val="0"/>
                  <w:marBottom w:val="0"/>
                  <w:divBdr>
                    <w:top w:val="none" w:sz="0" w:space="0" w:color="auto"/>
                    <w:left w:val="none" w:sz="0" w:space="0" w:color="auto"/>
                    <w:bottom w:val="none" w:sz="0" w:space="0" w:color="auto"/>
                    <w:right w:val="none" w:sz="0" w:space="0" w:color="auto"/>
                  </w:divBdr>
                  <w:divsChild>
                    <w:div w:id="1408266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5554383">
      <w:bodyDiv w:val="1"/>
      <w:marLeft w:val="0"/>
      <w:marRight w:val="0"/>
      <w:marTop w:val="0"/>
      <w:marBottom w:val="0"/>
      <w:divBdr>
        <w:top w:val="none" w:sz="0" w:space="0" w:color="auto"/>
        <w:left w:val="none" w:sz="0" w:space="0" w:color="auto"/>
        <w:bottom w:val="none" w:sz="0" w:space="0" w:color="auto"/>
        <w:right w:val="none" w:sz="0" w:space="0" w:color="auto"/>
      </w:divBdr>
    </w:div>
    <w:div w:id="624698186">
      <w:bodyDiv w:val="1"/>
      <w:marLeft w:val="0"/>
      <w:marRight w:val="0"/>
      <w:marTop w:val="0"/>
      <w:marBottom w:val="0"/>
      <w:divBdr>
        <w:top w:val="none" w:sz="0" w:space="0" w:color="auto"/>
        <w:left w:val="none" w:sz="0" w:space="0" w:color="auto"/>
        <w:bottom w:val="none" w:sz="0" w:space="0" w:color="auto"/>
        <w:right w:val="none" w:sz="0" w:space="0" w:color="auto"/>
      </w:divBdr>
    </w:div>
    <w:div w:id="627200316">
      <w:bodyDiv w:val="1"/>
      <w:marLeft w:val="0"/>
      <w:marRight w:val="0"/>
      <w:marTop w:val="0"/>
      <w:marBottom w:val="0"/>
      <w:divBdr>
        <w:top w:val="none" w:sz="0" w:space="0" w:color="auto"/>
        <w:left w:val="none" w:sz="0" w:space="0" w:color="auto"/>
        <w:bottom w:val="none" w:sz="0" w:space="0" w:color="auto"/>
        <w:right w:val="none" w:sz="0" w:space="0" w:color="auto"/>
      </w:divBdr>
    </w:div>
    <w:div w:id="640354945">
      <w:bodyDiv w:val="1"/>
      <w:marLeft w:val="0"/>
      <w:marRight w:val="0"/>
      <w:marTop w:val="0"/>
      <w:marBottom w:val="0"/>
      <w:divBdr>
        <w:top w:val="none" w:sz="0" w:space="0" w:color="auto"/>
        <w:left w:val="none" w:sz="0" w:space="0" w:color="auto"/>
        <w:bottom w:val="none" w:sz="0" w:space="0" w:color="auto"/>
        <w:right w:val="none" w:sz="0" w:space="0" w:color="auto"/>
      </w:divBdr>
    </w:div>
    <w:div w:id="722750973">
      <w:bodyDiv w:val="1"/>
      <w:marLeft w:val="0"/>
      <w:marRight w:val="0"/>
      <w:marTop w:val="0"/>
      <w:marBottom w:val="0"/>
      <w:divBdr>
        <w:top w:val="none" w:sz="0" w:space="0" w:color="auto"/>
        <w:left w:val="none" w:sz="0" w:space="0" w:color="auto"/>
        <w:bottom w:val="none" w:sz="0" w:space="0" w:color="auto"/>
        <w:right w:val="none" w:sz="0" w:space="0" w:color="auto"/>
      </w:divBdr>
    </w:div>
    <w:div w:id="725303090">
      <w:bodyDiv w:val="1"/>
      <w:marLeft w:val="0"/>
      <w:marRight w:val="0"/>
      <w:marTop w:val="0"/>
      <w:marBottom w:val="0"/>
      <w:divBdr>
        <w:top w:val="none" w:sz="0" w:space="0" w:color="auto"/>
        <w:left w:val="none" w:sz="0" w:space="0" w:color="auto"/>
        <w:bottom w:val="none" w:sz="0" w:space="0" w:color="auto"/>
        <w:right w:val="none" w:sz="0" w:space="0" w:color="auto"/>
      </w:divBdr>
    </w:div>
    <w:div w:id="730540252">
      <w:bodyDiv w:val="1"/>
      <w:marLeft w:val="0"/>
      <w:marRight w:val="0"/>
      <w:marTop w:val="0"/>
      <w:marBottom w:val="0"/>
      <w:divBdr>
        <w:top w:val="none" w:sz="0" w:space="0" w:color="auto"/>
        <w:left w:val="none" w:sz="0" w:space="0" w:color="auto"/>
        <w:bottom w:val="none" w:sz="0" w:space="0" w:color="auto"/>
        <w:right w:val="none" w:sz="0" w:space="0" w:color="auto"/>
      </w:divBdr>
    </w:div>
    <w:div w:id="733741912">
      <w:bodyDiv w:val="1"/>
      <w:marLeft w:val="0"/>
      <w:marRight w:val="0"/>
      <w:marTop w:val="0"/>
      <w:marBottom w:val="0"/>
      <w:divBdr>
        <w:top w:val="none" w:sz="0" w:space="0" w:color="auto"/>
        <w:left w:val="none" w:sz="0" w:space="0" w:color="auto"/>
        <w:bottom w:val="none" w:sz="0" w:space="0" w:color="auto"/>
        <w:right w:val="none" w:sz="0" w:space="0" w:color="auto"/>
      </w:divBdr>
    </w:div>
    <w:div w:id="742994904">
      <w:bodyDiv w:val="1"/>
      <w:marLeft w:val="0"/>
      <w:marRight w:val="0"/>
      <w:marTop w:val="0"/>
      <w:marBottom w:val="0"/>
      <w:divBdr>
        <w:top w:val="none" w:sz="0" w:space="0" w:color="auto"/>
        <w:left w:val="none" w:sz="0" w:space="0" w:color="auto"/>
        <w:bottom w:val="none" w:sz="0" w:space="0" w:color="auto"/>
        <w:right w:val="none" w:sz="0" w:space="0" w:color="auto"/>
      </w:divBdr>
    </w:div>
    <w:div w:id="744423618">
      <w:bodyDiv w:val="1"/>
      <w:marLeft w:val="0"/>
      <w:marRight w:val="0"/>
      <w:marTop w:val="0"/>
      <w:marBottom w:val="0"/>
      <w:divBdr>
        <w:top w:val="none" w:sz="0" w:space="0" w:color="auto"/>
        <w:left w:val="none" w:sz="0" w:space="0" w:color="auto"/>
        <w:bottom w:val="none" w:sz="0" w:space="0" w:color="auto"/>
        <w:right w:val="none" w:sz="0" w:space="0" w:color="auto"/>
      </w:divBdr>
    </w:div>
    <w:div w:id="746270492">
      <w:bodyDiv w:val="1"/>
      <w:marLeft w:val="0"/>
      <w:marRight w:val="0"/>
      <w:marTop w:val="0"/>
      <w:marBottom w:val="0"/>
      <w:divBdr>
        <w:top w:val="none" w:sz="0" w:space="0" w:color="auto"/>
        <w:left w:val="none" w:sz="0" w:space="0" w:color="auto"/>
        <w:bottom w:val="none" w:sz="0" w:space="0" w:color="auto"/>
        <w:right w:val="none" w:sz="0" w:space="0" w:color="auto"/>
      </w:divBdr>
    </w:div>
    <w:div w:id="800657620">
      <w:bodyDiv w:val="1"/>
      <w:marLeft w:val="0"/>
      <w:marRight w:val="0"/>
      <w:marTop w:val="0"/>
      <w:marBottom w:val="0"/>
      <w:divBdr>
        <w:top w:val="none" w:sz="0" w:space="0" w:color="auto"/>
        <w:left w:val="none" w:sz="0" w:space="0" w:color="auto"/>
        <w:bottom w:val="none" w:sz="0" w:space="0" w:color="auto"/>
        <w:right w:val="none" w:sz="0" w:space="0" w:color="auto"/>
      </w:divBdr>
    </w:div>
    <w:div w:id="810052846">
      <w:bodyDiv w:val="1"/>
      <w:marLeft w:val="0"/>
      <w:marRight w:val="0"/>
      <w:marTop w:val="0"/>
      <w:marBottom w:val="0"/>
      <w:divBdr>
        <w:top w:val="none" w:sz="0" w:space="0" w:color="auto"/>
        <w:left w:val="none" w:sz="0" w:space="0" w:color="auto"/>
        <w:bottom w:val="none" w:sz="0" w:space="0" w:color="auto"/>
        <w:right w:val="none" w:sz="0" w:space="0" w:color="auto"/>
      </w:divBdr>
    </w:div>
    <w:div w:id="849492179">
      <w:bodyDiv w:val="1"/>
      <w:marLeft w:val="0"/>
      <w:marRight w:val="0"/>
      <w:marTop w:val="0"/>
      <w:marBottom w:val="0"/>
      <w:divBdr>
        <w:top w:val="none" w:sz="0" w:space="0" w:color="auto"/>
        <w:left w:val="none" w:sz="0" w:space="0" w:color="auto"/>
        <w:bottom w:val="none" w:sz="0" w:space="0" w:color="auto"/>
        <w:right w:val="none" w:sz="0" w:space="0" w:color="auto"/>
      </w:divBdr>
    </w:div>
    <w:div w:id="852450721">
      <w:bodyDiv w:val="1"/>
      <w:marLeft w:val="0"/>
      <w:marRight w:val="0"/>
      <w:marTop w:val="0"/>
      <w:marBottom w:val="0"/>
      <w:divBdr>
        <w:top w:val="none" w:sz="0" w:space="0" w:color="auto"/>
        <w:left w:val="none" w:sz="0" w:space="0" w:color="auto"/>
        <w:bottom w:val="none" w:sz="0" w:space="0" w:color="auto"/>
        <w:right w:val="none" w:sz="0" w:space="0" w:color="auto"/>
      </w:divBdr>
    </w:div>
    <w:div w:id="860238663">
      <w:bodyDiv w:val="1"/>
      <w:marLeft w:val="0"/>
      <w:marRight w:val="0"/>
      <w:marTop w:val="0"/>
      <w:marBottom w:val="0"/>
      <w:divBdr>
        <w:top w:val="none" w:sz="0" w:space="0" w:color="auto"/>
        <w:left w:val="none" w:sz="0" w:space="0" w:color="auto"/>
        <w:bottom w:val="none" w:sz="0" w:space="0" w:color="auto"/>
        <w:right w:val="none" w:sz="0" w:space="0" w:color="auto"/>
      </w:divBdr>
    </w:div>
    <w:div w:id="876967649">
      <w:bodyDiv w:val="1"/>
      <w:marLeft w:val="0"/>
      <w:marRight w:val="0"/>
      <w:marTop w:val="0"/>
      <w:marBottom w:val="0"/>
      <w:divBdr>
        <w:top w:val="none" w:sz="0" w:space="0" w:color="auto"/>
        <w:left w:val="none" w:sz="0" w:space="0" w:color="auto"/>
        <w:bottom w:val="none" w:sz="0" w:space="0" w:color="auto"/>
        <w:right w:val="none" w:sz="0" w:space="0" w:color="auto"/>
      </w:divBdr>
    </w:div>
    <w:div w:id="901327060">
      <w:bodyDiv w:val="1"/>
      <w:marLeft w:val="0"/>
      <w:marRight w:val="0"/>
      <w:marTop w:val="0"/>
      <w:marBottom w:val="0"/>
      <w:divBdr>
        <w:top w:val="none" w:sz="0" w:space="0" w:color="auto"/>
        <w:left w:val="none" w:sz="0" w:space="0" w:color="auto"/>
        <w:bottom w:val="none" w:sz="0" w:space="0" w:color="auto"/>
        <w:right w:val="none" w:sz="0" w:space="0" w:color="auto"/>
      </w:divBdr>
    </w:div>
    <w:div w:id="927350058">
      <w:bodyDiv w:val="1"/>
      <w:marLeft w:val="0"/>
      <w:marRight w:val="0"/>
      <w:marTop w:val="0"/>
      <w:marBottom w:val="0"/>
      <w:divBdr>
        <w:top w:val="none" w:sz="0" w:space="0" w:color="auto"/>
        <w:left w:val="none" w:sz="0" w:space="0" w:color="auto"/>
        <w:bottom w:val="none" w:sz="0" w:space="0" w:color="auto"/>
        <w:right w:val="none" w:sz="0" w:space="0" w:color="auto"/>
      </w:divBdr>
    </w:div>
    <w:div w:id="954214645">
      <w:bodyDiv w:val="1"/>
      <w:marLeft w:val="0"/>
      <w:marRight w:val="0"/>
      <w:marTop w:val="0"/>
      <w:marBottom w:val="0"/>
      <w:divBdr>
        <w:top w:val="none" w:sz="0" w:space="0" w:color="auto"/>
        <w:left w:val="none" w:sz="0" w:space="0" w:color="auto"/>
        <w:bottom w:val="none" w:sz="0" w:space="0" w:color="auto"/>
        <w:right w:val="none" w:sz="0" w:space="0" w:color="auto"/>
      </w:divBdr>
      <w:divsChild>
        <w:div w:id="1838957874">
          <w:marLeft w:val="446"/>
          <w:marRight w:val="0"/>
          <w:marTop w:val="0"/>
          <w:marBottom w:val="0"/>
          <w:divBdr>
            <w:top w:val="none" w:sz="0" w:space="0" w:color="auto"/>
            <w:left w:val="none" w:sz="0" w:space="0" w:color="auto"/>
            <w:bottom w:val="none" w:sz="0" w:space="0" w:color="auto"/>
            <w:right w:val="none" w:sz="0" w:space="0" w:color="auto"/>
          </w:divBdr>
        </w:div>
        <w:div w:id="2121562965">
          <w:marLeft w:val="446"/>
          <w:marRight w:val="0"/>
          <w:marTop w:val="0"/>
          <w:marBottom w:val="0"/>
          <w:divBdr>
            <w:top w:val="none" w:sz="0" w:space="0" w:color="auto"/>
            <w:left w:val="none" w:sz="0" w:space="0" w:color="auto"/>
            <w:bottom w:val="none" w:sz="0" w:space="0" w:color="auto"/>
            <w:right w:val="none" w:sz="0" w:space="0" w:color="auto"/>
          </w:divBdr>
        </w:div>
      </w:divsChild>
    </w:div>
    <w:div w:id="992828483">
      <w:bodyDiv w:val="1"/>
      <w:marLeft w:val="0"/>
      <w:marRight w:val="0"/>
      <w:marTop w:val="0"/>
      <w:marBottom w:val="0"/>
      <w:divBdr>
        <w:top w:val="none" w:sz="0" w:space="0" w:color="auto"/>
        <w:left w:val="none" w:sz="0" w:space="0" w:color="auto"/>
        <w:bottom w:val="none" w:sz="0" w:space="0" w:color="auto"/>
        <w:right w:val="none" w:sz="0" w:space="0" w:color="auto"/>
      </w:divBdr>
    </w:div>
    <w:div w:id="997458382">
      <w:bodyDiv w:val="1"/>
      <w:marLeft w:val="0"/>
      <w:marRight w:val="0"/>
      <w:marTop w:val="0"/>
      <w:marBottom w:val="0"/>
      <w:divBdr>
        <w:top w:val="none" w:sz="0" w:space="0" w:color="auto"/>
        <w:left w:val="none" w:sz="0" w:space="0" w:color="auto"/>
        <w:bottom w:val="none" w:sz="0" w:space="0" w:color="auto"/>
        <w:right w:val="none" w:sz="0" w:space="0" w:color="auto"/>
      </w:divBdr>
      <w:divsChild>
        <w:div w:id="966082723">
          <w:marLeft w:val="0"/>
          <w:marRight w:val="0"/>
          <w:marTop w:val="0"/>
          <w:marBottom w:val="0"/>
          <w:divBdr>
            <w:top w:val="none" w:sz="0" w:space="0" w:color="auto"/>
            <w:left w:val="none" w:sz="0" w:space="0" w:color="auto"/>
            <w:bottom w:val="none" w:sz="0" w:space="0" w:color="auto"/>
            <w:right w:val="none" w:sz="0" w:space="0" w:color="auto"/>
          </w:divBdr>
          <w:divsChild>
            <w:div w:id="433668169">
              <w:marLeft w:val="0"/>
              <w:marRight w:val="0"/>
              <w:marTop w:val="0"/>
              <w:marBottom w:val="0"/>
              <w:divBdr>
                <w:top w:val="none" w:sz="0" w:space="0" w:color="auto"/>
                <w:left w:val="none" w:sz="0" w:space="0" w:color="auto"/>
                <w:bottom w:val="none" w:sz="0" w:space="0" w:color="auto"/>
                <w:right w:val="none" w:sz="0" w:space="0" w:color="auto"/>
              </w:divBdr>
              <w:divsChild>
                <w:div w:id="604970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8386184">
      <w:bodyDiv w:val="1"/>
      <w:marLeft w:val="0"/>
      <w:marRight w:val="0"/>
      <w:marTop w:val="0"/>
      <w:marBottom w:val="0"/>
      <w:divBdr>
        <w:top w:val="none" w:sz="0" w:space="0" w:color="auto"/>
        <w:left w:val="none" w:sz="0" w:space="0" w:color="auto"/>
        <w:bottom w:val="none" w:sz="0" w:space="0" w:color="auto"/>
        <w:right w:val="none" w:sz="0" w:space="0" w:color="auto"/>
      </w:divBdr>
      <w:divsChild>
        <w:div w:id="1188060051">
          <w:marLeft w:val="0"/>
          <w:marRight w:val="0"/>
          <w:marTop w:val="0"/>
          <w:marBottom w:val="0"/>
          <w:divBdr>
            <w:top w:val="none" w:sz="0" w:space="0" w:color="auto"/>
            <w:left w:val="none" w:sz="0" w:space="0" w:color="auto"/>
            <w:bottom w:val="none" w:sz="0" w:space="0" w:color="auto"/>
            <w:right w:val="none" w:sz="0" w:space="0" w:color="auto"/>
          </w:divBdr>
          <w:divsChild>
            <w:div w:id="2024433816">
              <w:marLeft w:val="0"/>
              <w:marRight w:val="0"/>
              <w:marTop w:val="0"/>
              <w:marBottom w:val="0"/>
              <w:divBdr>
                <w:top w:val="none" w:sz="0" w:space="0" w:color="auto"/>
                <w:left w:val="none" w:sz="0" w:space="0" w:color="auto"/>
                <w:bottom w:val="none" w:sz="0" w:space="0" w:color="auto"/>
                <w:right w:val="none" w:sz="0" w:space="0" w:color="auto"/>
              </w:divBdr>
              <w:divsChild>
                <w:div w:id="1309212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4283216">
      <w:bodyDiv w:val="1"/>
      <w:marLeft w:val="0"/>
      <w:marRight w:val="0"/>
      <w:marTop w:val="0"/>
      <w:marBottom w:val="0"/>
      <w:divBdr>
        <w:top w:val="none" w:sz="0" w:space="0" w:color="auto"/>
        <w:left w:val="none" w:sz="0" w:space="0" w:color="auto"/>
        <w:bottom w:val="none" w:sz="0" w:space="0" w:color="auto"/>
        <w:right w:val="none" w:sz="0" w:space="0" w:color="auto"/>
      </w:divBdr>
    </w:div>
    <w:div w:id="1026062643">
      <w:bodyDiv w:val="1"/>
      <w:marLeft w:val="0"/>
      <w:marRight w:val="0"/>
      <w:marTop w:val="0"/>
      <w:marBottom w:val="0"/>
      <w:divBdr>
        <w:top w:val="none" w:sz="0" w:space="0" w:color="auto"/>
        <w:left w:val="none" w:sz="0" w:space="0" w:color="auto"/>
        <w:bottom w:val="none" w:sz="0" w:space="0" w:color="auto"/>
        <w:right w:val="none" w:sz="0" w:space="0" w:color="auto"/>
      </w:divBdr>
    </w:div>
    <w:div w:id="1050225692">
      <w:bodyDiv w:val="1"/>
      <w:marLeft w:val="0"/>
      <w:marRight w:val="0"/>
      <w:marTop w:val="0"/>
      <w:marBottom w:val="0"/>
      <w:divBdr>
        <w:top w:val="none" w:sz="0" w:space="0" w:color="auto"/>
        <w:left w:val="none" w:sz="0" w:space="0" w:color="auto"/>
        <w:bottom w:val="none" w:sz="0" w:space="0" w:color="auto"/>
        <w:right w:val="none" w:sz="0" w:space="0" w:color="auto"/>
      </w:divBdr>
    </w:div>
    <w:div w:id="1102846438">
      <w:bodyDiv w:val="1"/>
      <w:marLeft w:val="0"/>
      <w:marRight w:val="0"/>
      <w:marTop w:val="0"/>
      <w:marBottom w:val="0"/>
      <w:divBdr>
        <w:top w:val="none" w:sz="0" w:space="0" w:color="auto"/>
        <w:left w:val="none" w:sz="0" w:space="0" w:color="auto"/>
        <w:bottom w:val="none" w:sz="0" w:space="0" w:color="auto"/>
        <w:right w:val="none" w:sz="0" w:space="0" w:color="auto"/>
      </w:divBdr>
    </w:div>
    <w:div w:id="1111051670">
      <w:bodyDiv w:val="1"/>
      <w:marLeft w:val="0"/>
      <w:marRight w:val="0"/>
      <w:marTop w:val="0"/>
      <w:marBottom w:val="0"/>
      <w:divBdr>
        <w:top w:val="none" w:sz="0" w:space="0" w:color="auto"/>
        <w:left w:val="none" w:sz="0" w:space="0" w:color="auto"/>
        <w:bottom w:val="none" w:sz="0" w:space="0" w:color="auto"/>
        <w:right w:val="none" w:sz="0" w:space="0" w:color="auto"/>
      </w:divBdr>
    </w:div>
    <w:div w:id="1132089737">
      <w:bodyDiv w:val="1"/>
      <w:marLeft w:val="0"/>
      <w:marRight w:val="0"/>
      <w:marTop w:val="0"/>
      <w:marBottom w:val="0"/>
      <w:divBdr>
        <w:top w:val="none" w:sz="0" w:space="0" w:color="auto"/>
        <w:left w:val="none" w:sz="0" w:space="0" w:color="auto"/>
        <w:bottom w:val="none" w:sz="0" w:space="0" w:color="auto"/>
        <w:right w:val="none" w:sz="0" w:space="0" w:color="auto"/>
      </w:divBdr>
    </w:div>
    <w:div w:id="1132358241">
      <w:bodyDiv w:val="1"/>
      <w:marLeft w:val="0"/>
      <w:marRight w:val="0"/>
      <w:marTop w:val="0"/>
      <w:marBottom w:val="0"/>
      <w:divBdr>
        <w:top w:val="none" w:sz="0" w:space="0" w:color="auto"/>
        <w:left w:val="none" w:sz="0" w:space="0" w:color="auto"/>
        <w:bottom w:val="none" w:sz="0" w:space="0" w:color="auto"/>
        <w:right w:val="none" w:sz="0" w:space="0" w:color="auto"/>
      </w:divBdr>
    </w:div>
    <w:div w:id="1138257544">
      <w:bodyDiv w:val="1"/>
      <w:marLeft w:val="0"/>
      <w:marRight w:val="0"/>
      <w:marTop w:val="0"/>
      <w:marBottom w:val="0"/>
      <w:divBdr>
        <w:top w:val="none" w:sz="0" w:space="0" w:color="auto"/>
        <w:left w:val="none" w:sz="0" w:space="0" w:color="auto"/>
        <w:bottom w:val="none" w:sz="0" w:space="0" w:color="auto"/>
        <w:right w:val="none" w:sz="0" w:space="0" w:color="auto"/>
      </w:divBdr>
      <w:divsChild>
        <w:div w:id="898056428">
          <w:marLeft w:val="0"/>
          <w:marRight w:val="0"/>
          <w:marTop w:val="0"/>
          <w:marBottom w:val="0"/>
          <w:divBdr>
            <w:top w:val="none" w:sz="0" w:space="0" w:color="auto"/>
            <w:left w:val="none" w:sz="0" w:space="0" w:color="auto"/>
            <w:bottom w:val="none" w:sz="0" w:space="0" w:color="auto"/>
            <w:right w:val="none" w:sz="0" w:space="0" w:color="auto"/>
          </w:divBdr>
          <w:divsChild>
            <w:div w:id="1872836163">
              <w:marLeft w:val="0"/>
              <w:marRight w:val="0"/>
              <w:marTop w:val="0"/>
              <w:marBottom w:val="0"/>
              <w:divBdr>
                <w:top w:val="none" w:sz="0" w:space="0" w:color="auto"/>
                <w:left w:val="none" w:sz="0" w:space="0" w:color="auto"/>
                <w:bottom w:val="none" w:sz="0" w:space="0" w:color="auto"/>
                <w:right w:val="none" w:sz="0" w:space="0" w:color="auto"/>
              </w:divBdr>
              <w:divsChild>
                <w:div w:id="301615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3206724">
      <w:bodyDiv w:val="1"/>
      <w:marLeft w:val="0"/>
      <w:marRight w:val="0"/>
      <w:marTop w:val="0"/>
      <w:marBottom w:val="0"/>
      <w:divBdr>
        <w:top w:val="none" w:sz="0" w:space="0" w:color="auto"/>
        <w:left w:val="none" w:sz="0" w:space="0" w:color="auto"/>
        <w:bottom w:val="none" w:sz="0" w:space="0" w:color="auto"/>
        <w:right w:val="none" w:sz="0" w:space="0" w:color="auto"/>
      </w:divBdr>
    </w:div>
    <w:div w:id="1172138011">
      <w:bodyDiv w:val="1"/>
      <w:marLeft w:val="0"/>
      <w:marRight w:val="0"/>
      <w:marTop w:val="0"/>
      <w:marBottom w:val="0"/>
      <w:divBdr>
        <w:top w:val="none" w:sz="0" w:space="0" w:color="auto"/>
        <w:left w:val="none" w:sz="0" w:space="0" w:color="auto"/>
        <w:bottom w:val="none" w:sz="0" w:space="0" w:color="auto"/>
        <w:right w:val="none" w:sz="0" w:space="0" w:color="auto"/>
      </w:divBdr>
    </w:div>
    <w:div w:id="1180243410">
      <w:bodyDiv w:val="1"/>
      <w:marLeft w:val="0"/>
      <w:marRight w:val="0"/>
      <w:marTop w:val="0"/>
      <w:marBottom w:val="0"/>
      <w:divBdr>
        <w:top w:val="none" w:sz="0" w:space="0" w:color="auto"/>
        <w:left w:val="none" w:sz="0" w:space="0" w:color="auto"/>
        <w:bottom w:val="none" w:sz="0" w:space="0" w:color="auto"/>
        <w:right w:val="none" w:sz="0" w:space="0" w:color="auto"/>
      </w:divBdr>
      <w:divsChild>
        <w:div w:id="1688094880">
          <w:marLeft w:val="0"/>
          <w:marRight w:val="0"/>
          <w:marTop w:val="0"/>
          <w:marBottom w:val="0"/>
          <w:divBdr>
            <w:top w:val="none" w:sz="0" w:space="0" w:color="auto"/>
            <w:left w:val="none" w:sz="0" w:space="0" w:color="auto"/>
            <w:bottom w:val="none" w:sz="0" w:space="0" w:color="auto"/>
            <w:right w:val="none" w:sz="0" w:space="0" w:color="auto"/>
          </w:divBdr>
          <w:divsChild>
            <w:div w:id="1325550553">
              <w:marLeft w:val="0"/>
              <w:marRight w:val="0"/>
              <w:marTop w:val="0"/>
              <w:marBottom w:val="0"/>
              <w:divBdr>
                <w:top w:val="none" w:sz="0" w:space="0" w:color="auto"/>
                <w:left w:val="none" w:sz="0" w:space="0" w:color="auto"/>
                <w:bottom w:val="none" w:sz="0" w:space="0" w:color="auto"/>
                <w:right w:val="none" w:sz="0" w:space="0" w:color="auto"/>
              </w:divBdr>
              <w:divsChild>
                <w:div w:id="1485731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4729706">
      <w:bodyDiv w:val="1"/>
      <w:marLeft w:val="0"/>
      <w:marRight w:val="0"/>
      <w:marTop w:val="0"/>
      <w:marBottom w:val="0"/>
      <w:divBdr>
        <w:top w:val="none" w:sz="0" w:space="0" w:color="auto"/>
        <w:left w:val="none" w:sz="0" w:space="0" w:color="auto"/>
        <w:bottom w:val="none" w:sz="0" w:space="0" w:color="auto"/>
        <w:right w:val="none" w:sz="0" w:space="0" w:color="auto"/>
      </w:divBdr>
    </w:div>
    <w:div w:id="1231842410">
      <w:bodyDiv w:val="1"/>
      <w:marLeft w:val="0"/>
      <w:marRight w:val="0"/>
      <w:marTop w:val="0"/>
      <w:marBottom w:val="0"/>
      <w:divBdr>
        <w:top w:val="none" w:sz="0" w:space="0" w:color="auto"/>
        <w:left w:val="none" w:sz="0" w:space="0" w:color="auto"/>
        <w:bottom w:val="none" w:sz="0" w:space="0" w:color="auto"/>
        <w:right w:val="none" w:sz="0" w:space="0" w:color="auto"/>
      </w:divBdr>
    </w:div>
    <w:div w:id="1258248013">
      <w:bodyDiv w:val="1"/>
      <w:marLeft w:val="0"/>
      <w:marRight w:val="0"/>
      <w:marTop w:val="0"/>
      <w:marBottom w:val="0"/>
      <w:divBdr>
        <w:top w:val="none" w:sz="0" w:space="0" w:color="auto"/>
        <w:left w:val="none" w:sz="0" w:space="0" w:color="auto"/>
        <w:bottom w:val="none" w:sz="0" w:space="0" w:color="auto"/>
        <w:right w:val="none" w:sz="0" w:space="0" w:color="auto"/>
      </w:divBdr>
    </w:div>
    <w:div w:id="1296446446">
      <w:bodyDiv w:val="1"/>
      <w:marLeft w:val="0"/>
      <w:marRight w:val="0"/>
      <w:marTop w:val="0"/>
      <w:marBottom w:val="0"/>
      <w:divBdr>
        <w:top w:val="none" w:sz="0" w:space="0" w:color="auto"/>
        <w:left w:val="none" w:sz="0" w:space="0" w:color="auto"/>
        <w:bottom w:val="none" w:sz="0" w:space="0" w:color="auto"/>
        <w:right w:val="none" w:sz="0" w:space="0" w:color="auto"/>
      </w:divBdr>
    </w:div>
    <w:div w:id="1305702342">
      <w:bodyDiv w:val="1"/>
      <w:marLeft w:val="0"/>
      <w:marRight w:val="0"/>
      <w:marTop w:val="0"/>
      <w:marBottom w:val="0"/>
      <w:divBdr>
        <w:top w:val="none" w:sz="0" w:space="0" w:color="auto"/>
        <w:left w:val="none" w:sz="0" w:space="0" w:color="auto"/>
        <w:bottom w:val="none" w:sz="0" w:space="0" w:color="auto"/>
        <w:right w:val="none" w:sz="0" w:space="0" w:color="auto"/>
      </w:divBdr>
    </w:div>
    <w:div w:id="1319186724">
      <w:bodyDiv w:val="1"/>
      <w:marLeft w:val="0"/>
      <w:marRight w:val="0"/>
      <w:marTop w:val="0"/>
      <w:marBottom w:val="0"/>
      <w:divBdr>
        <w:top w:val="none" w:sz="0" w:space="0" w:color="auto"/>
        <w:left w:val="none" w:sz="0" w:space="0" w:color="auto"/>
        <w:bottom w:val="none" w:sz="0" w:space="0" w:color="auto"/>
        <w:right w:val="none" w:sz="0" w:space="0" w:color="auto"/>
      </w:divBdr>
    </w:div>
    <w:div w:id="1331836186">
      <w:bodyDiv w:val="1"/>
      <w:marLeft w:val="0"/>
      <w:marRight w:val="0"/>
      <w:marTop w:val="0"/>
      <w:marBottom w:val="0"/>
      <w:divBdr>
        <w:top w:val="none" w:sz="0" w:space="0" w:color="auto"/>
        <w:left w:val="none" w:sz="0" w:space="0" w:color="auto"/>
        <w:bottom w:val="none" w:sz="0" w:space="0" w:color="auto"/>
        <w:right w:val="none" w:sz="0" w:space="0" w:color="auto"/>
      </w:divBdr>
    </w:div>
    <w:div w:id="1345984131">
      <w:bodyDiv w:val="1"/>
      <w:marLeft w:val="0"/>
      <w:marRight w:val="0"/>
      <w:marTop w:val="0"/>
      <w:marBottom w:val="0"/>
      <w:divBdr>
        <w:top w:val="none" w:sz="0" w:space="0" w:color="auto"/>
        <w:left w:val="none" w:sz="0" w:space="0" w:color="auto"/>
        <w:bottom w:val="none" w:sz="0" w:space="0" w:color="auto"/>
        <w:right w:val="none" w:sz="0" w:space="0" w:color="auto"/>
      </w:divBdr>
    </w:div>
    <w:div w:id="1390958826">
      <w:bodyDiv w:val="1"/>
      <w:marLeft w:val="0"/>
      <w:marRight w:val="0"/>
      <w:marTop w:val="0"/>
      <w:marBottom w:val="0"/>
      <w:divBdr>
        <w:top w:val="none" w:sz="0" w:space="0" w:color="auto"/>
        <w:left w:val="none" w:sz="0" w:space="0" w:color="auto"/>
        <w:bottom w:val="none" w:sz="0" w:space="0" w:color="auto"/>
        <w:right w:val="none" w:sz="0" w:space="0" w:color="auto"/>
      </w:divBdr>
      <w:divsChild>
        <w:div w:id="998072939">
          <w:marLeft w:val="0"/>
          <w:marRight w:val="0"/>
          <w:marTop w:val="0"/>
          <w:marBottom w:val="0"/>
          <w:divBdr>
            <w:top w:val="none" w:sz="0" w:space="0" w:color="auto"/>
            <w:left w:val="none" w:sz="0" w:space="0" w:color="auto"/>
            <w:bottom w:val="none" w:sz="0" w:space="0" w:color="auto"/>
            <w:right w:val="none" w:sz="0" w:space="0" w:color="auto"/>
          </w:divBdr>
          <w:divsChild>
            <w:div w:id="751318411">
              <w:marLeft w:val="0"/>
              <w:marRight w:val="0"/>
              <w:marTop w:val="0"/>
              <w:marBottom w:val="0"/>
              <w:divBdr>
                <w:top w:val="none" w:sz="0" w:space="0" w:color="auto"/>
                <w:left w:val="none" w:sz="0" w:space="0" w:color="auto"/>
                <w:bottom w:val="none" w:sz="0" w:space="0" w:color="auto"/>
                <w:right w:val="none" w:sz="0" w:space="0" w:color="auto"/>
              </w:divBdr>
              <w:divsChild>
                <w:div w:id="74056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294275">
      <w:bodyDiv w:val="1"/>
      <w:marLeft w:val="0"/>
      <w:marRight w:val="0"/>
      <w:marTop w:val="0"/>
      <w:marBottom w:val="0"/>
      <w:divBdr>
        <w:top w:val="none" w:sz="0" w:space="0" w:color="auto"/>
        <w:left w:val="none" w:sz="0" w:space="0" w:color="auto"/>
        <w:bottom w:val="none" w:sz="0" w:space="0" w:color="auto"/>
        <w:right w:val="none" w:sz="0" w:space="0" w:color="auto"/>
      </w:divBdr>
    </w:div>
    <w:div w:id="1444807141">
      <w:bodyDiv w:val="1"/>
      <w:marLeft w:val="0"/>
      <w:marRight w:val="0"/>
      <w:marTop w:val="0"/>
      <w:marBottom w:val="0"/>
      <w:divBdr>
        <w:top w:val="none" w:sz="0" w:space="0" w:color="auto"/>
        <w:left w:val="none" w:sz="0" w:space="0" w:color="auto"/>
        <w:bottom w:val="none" w:sz="0" w:space="0" w:color="auto"/>
        <w:right w:val="none" w:sz="0" w:space="0" w:color="auto"/>
      </w:divBdr>
    </w:div>
    <w:div w:id="1462309227">
      <w:bodyDiv w:val="1"/>
      <w:marLeft w:val="0"/>
      <w:marRight w:val="0"/>
      <w:marTop w:val="0"/>
      <w:marBottom w:val="0"/>
      <w:divBdr>
        <w:top w:val="none" w:sz="0" w:space="0" w:color="auto"/>
        <w:left w:val="none" w:sz="0" w:space="0" w:color="auto"/>
        <w:bottom w:val="none" w:sz="0" w:space="0" w:color="auto"/>
        <w:right w:val="none" w:sz="0" w:space="0" w:color="auto"/>
      </w:divBdr>
      <w:divsChild>
        <w:div w:id="1343510620">
          <w:marLeft w:val="0"/>
          <w:marRight w:val="0"/>
          <w:marTop w:val="0"/>
          <w:marBottom w:val="0"/>
          <w:divBdr>
            <w:top w:val="none" w:sz="0" w:space="0" w:color="auto"/>
            <w:left w:val="none" w:sz="0" w:space="0" w:color="auto"/>
            <w:bottom w:val="none" w:sz="0" w:space="0" w:color="auto"/>
            <w:right w:val="none" w:sz="0" w:space="0" w:color="auto"/>
          </w:divBdr>
          <w:divsChild>
            <w:div w:id="893199922">
              <w:marLeft w:val="0"/>
              <w:marRight w:val="0"/>
              <w:marTop w:val="0"/>
              <w:marBottom w:val="0"/>
              <w:divBdr>
                <w:top w:val="none" w:sz="0" w:space="0" w:color="auto"/>
                <w:left w:val="none" w:sz="0" w:space="0" w:color="auto"/>
                <w:bottom w:val="none" w:sz="0" w:space="0" w:color="auto"/>
                <w:right w:val="none" w:sz="0" w:space="0" w:color="auto"/>
              </w:divBdr>
              <w:divsChild>
                <w:div w:id="210044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7700235">
      <w:bodyDiv w:val="1"/>
      <w:marLeft w:val="0"/>
      <w:marRight w:val="0"/>
      <w:marTop w:val="0"/>
      <w:marBottom w:val="0"/>
      <w:divBdr>
        <w:top w:val="none" w:sz="0" w:space="0" w:color="auto"/>
        <w:left w:val="none" w:sz="0" w:space="0" w:color="auto"/>
        <w:bottom w:val="none" w:sz="0" w:space="0" w:color="auto"/>
        <w:right w:val="none" w:sz="0" w:space="0" w:color="auto"/>
      </w:divBdr>
    </w:div>
    <w:div w:id="1557353969">
      <w:bodyDiv w:val="1"/>
      <w:marLeft w:val="0"/>
      <w:marRight w:val="0"/>
      <w:marTop w:val="0"/>
      <w:marBottom w:val="0"/>
      <w:divBdr>
        <w:top w:val="none" w:sz="0" w:space="0" w:color="auto"/>
        <w:left w:val="none" w:sz="0" w:space="0" w:color="auto"/>
        <w:bottom w:val="none" w:sz="0" w:space="0" w:color="auto"/>
        <w:right w:val="none" w:sz="0" w:space="0" w:color="auto"/>
      </w:divBdr>
    </w:div>
    <w:div w:id="1593199911">
      <w:bodyDiv w:val="1"/>
      <w:marLeft w:val="0"/>
      <w:marRight w:val="0"/>
      <w:marTop w:val="0"/>
      <w:marBottom w:val="0"/>
      <w:divBdr>
        <w:top w:val="none" w:sz="0" w:space="0" w:color="auto"/>
        <w:left w:val="none" w:sz="0" w:space="0" w:color="auto"/>
        <w:bottom w:val="none" w:sz="0" w:space="0" w:color="auto"/>
        <w:right w:val="none" w:sz="0" w:space="0" w:color="auto"/>
      </w:divBdr>
    </w:div>
    <w:div w:id="1603687438">
      <w:bodyDiv w:val="1"/>
      <w:marLeft w:val="0"/>
      <w:marRight w:val="0"/>
      <w:marTop w:val="0"/>
      <w:marBottom w:val="0"/>
      <w:divBdr>
        <w:top w:val="none" w:sz="0" w:space="0" w:color="auto"/>
        <w:left w:val="none" w:sz="0" w:space="0" w:color="auto"/>
        <w:bottom w:val="none" w:sz="0" w:space="0" w:color="auto"/>
        <w:right w:val="none" w:sz="0" w:space="0" w:color="auto"/>
      </w:divBdr>
    </w:div>
    <w:div w:id="1620457020">
      <w:bodyDiv w:val="1"/>
      <w:marLeft w:val="0"/>
      <w:marRight w:val="0"/>
      <w:marTop w:val="0"/>
      <w:marBottom w:val="0"/>
      <w:divBdr>
        <w:top w:val="none" w:sz="0" w:space="0" w:color="auto"/>
        <w:left w:val="none" w:sz="0" w:space="0" w:color="auto"/>
        <w:bottom w:val="none" w:sz="0" w:space="0" w:color="auto"/>
        <w:right w:val="none" w:sz="0" w:space="0" w:color="auto"/>
      </w:divBdr>
    </w:div>
    <w:div w:id="1643458538">
      <w:bodyDiv w:val="1"/>
      <w:marLeft w:val="0"/>
      <w:marRight w:val="0"/>
      <w:marTop w:val="0"/>
      <w:marBottom w:val="0"/>
      <w:divBdr>
        <w:top w:val="none" w:sz="0" w:space="0" w:color="auto"/>
        <w:left w:val="none" w:sz="0" w:space="0" w:color="auto"/>
        <w:bottom w:val="none" w:sz="0" w:space="0" w:color="auto"/>
        <w:right w:val="none" w:sz="0" w:space="0" w:color="auto"/>
      </w:divBdr>
      <w:divsChild>
        <w:div w:id="1116951447">
          <w:marLeft w:val="0"/>
          <w:marRight w:val="0"/>
          <w:marTop w:val="0"/>
          <w:marBottom w:val="0"/>
          <w:divBdr>
            <w:top w:val="none" w:sz="0" w:space="0" w:color="auto"/>
            <w:left w:val="none" w:sz="0" w:space="0" w:color="auto"/>
            <w:bottom w:val="none" w:sz="0" w:space="0" w:color="auto"/>
            <w:right w:val="none" w:sz="0" w:space="0" w:color="auto"/>
          </w:divBdr>
          <w:divsChild>
            <w:div w:id="1010058650">
              <w:marLeft w:val="0"/>
              <w:marRight w:val="0"/>
              <w:marTop w:val="0"/>
              <w:marBottom w:val="0"/>
              <w:divBdr>
                <w:top w:val="none" w:sz="0" w:space="0" w:color="auto"/>
                <w:left w:val="none" w:sz="0" w:space="0" w:color="auto"/>
                <w:bottom w:val="none" w:sz="0" w:space="0" w:color="auto"/>
                <w:right w:val="none" w:sz="0" w:space="0" w:color="auto"/>
              </w:divBdr>
              <w:divsChild>
                <w:div w:id="1790972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6741541">
      <w:bodyDiv w:val="1"/>
      <w:marLeft w:val="0"/>
      <w:marRight w:val="0"/>
      <w:marTop w:val="0"/>
      <w:marBottom w:val="0"/>
      <w:divBdr>
        <w:top w:val="none" w:sz="0" w:space="0" w:color="auto"/>
        <w:left w:val="none" w:sz="0" w:space="0" w:color="auto"/>
        <w:bottom w:val="none" w:sz="0" w:space="0" w:color="auto"/>
        <w:right w:val="none" w:sz="0" w:space="0" w:color="auto"/>
      </w:divBdr>
    </w:div>
    <w:div w:id="1648122420">
      <w:bodyDiv w:val="1"/>
      <w:marLeft w:val="0"/>
      <w:marRight w:val="0"/>
      <w:marTop w:val="0"/>
      <w:marBottom w:val="0"/>
      <w:divBdr>
        <w:top w:val="none" w:sz="0" w:space="0" w:color="auto"/>
        <w:left w:val="none" w:sz="0" w:space="0" w:color="auto"/>
        <w:bottom w:val="none" w:sz="0" w:space="0" w:color="auto"/>
        <w:right w:val="none" w:sz="0" w:space="0" w:color="auto"/>
      </w:divBdr>
    </w:div>
    <w:div w:id="1664357906">
      <w:bodyDiv w:val="1"/>
      <w:marLeft w:val="0"/>
      <w:marRight w:val="0"/>
      <w:marTop w:val="0"/>
      <w:marBottom w:val="0"/>
      <w:divBdr>
        <w:top w:val="none" w:sz="0" w:space="0" w:color="auto"/>
        <w:left w:val="none" w:sz="0" w:space="0" w:color="auto"/>
        <w:bottom w:val="none" w:sz="0" w:space="0" w:color="auto"/>
        <w:right w:val="none" w:sz="0" w:space="0" w:color="auto"/>
      </w:divBdr>
    </w:div>
    <w:div w:id="1692104316">
      <w:bodyDiv w:val="1"/>
      <w:marLeft w:val="0"/>
      <w:marRight w:val="0"/>
      <w:marTop w:val="0"/>
      <w:marBottom w:val="0"/>
      <w:divBdr>
        <w:top w:val="none" w:sz="0" w:space="0" w:color="auto"/>
        <w:left w:val="none" w:sz="0" w:space="0" w:color="auto"/>
        <w:bottom w:val="none" w:sz="0" w:space="0" w:color="auto"/>
        <w:right w:val="none" w:sz="0" w:space="0" w:color="auto"/>
      </w:divBdr>
    </w:div>
    <w:div w:id="1697776407">
      <w:bodyDiv w:val="1"/>
      <w:marLeft w:val="0"/>
      <w:marRight w:val="0"/>
      <w:marTop w:val="0"/>
      <w:marBottom w:val="0"/>
      <w:divBdr>
        <w:top w:val="none" w:sz="0" w:space="0" w:color="auto"/>
        <w:left w:val="none" w:sz="0" w:space="0" w:color="auto"/>
        <w:bottom w:val="none" w:sz="0" w:space="0" w:color="auto"/>
        <w:right w:val="none" w:sz="0" w:space="0" w:color="auto"/>
      </w:divBdr>
    </w:div>
    <w:div w:id="1704330168">
      <w:bodyDiv w:val="1"/>
      <w:marLeft w:val="0"/>
      <w:marRight w:val="0"/>
      <w:marTop w:val="0"/>
      <w:marBottom w:val="0"/>
      <w:divBdr>
        <w:top w:val="none" w:sz="0" w:space="0" w:color="auto"/>
        <w:left w:val="none" w:sz="0" w:space="0" w:color="auto"/>
        <w:bottom w:val="none" w:sz="0" w:space="0" w:color="auto"/>
        <w:right w:val="none" w:sz="0" w:space="0" w:color="auto"/>
      </w:divBdr>
    </w:div>
    <w:div w:id="1714188386">
      <w:bodyDiv w:val="1"/>
      <w:marLeft w:val="0"/>
      <w:marRight w:val="0"/>
      <w:marTop w:val="0"/>
      <w:marBottom w:val="0"/>
      <w:divBdr>
        <w:top w:val="none" w:sz="0" w:space="0" w:color="auto"/>
        <w:left w:val="none" w:sz="0" w:space="0" w:color="auto"/>
        <w:bottom w:val="none" w:sz="0" w:space="0" w:color="auto"/>
        <w:right w:val="none" w:sz="0" w:space="0" w:color="auto"/>
      </w:divBdr>
    </w:div>
    <w:div w:id="1765608931">
      <w:bodyDiv w:val="1"/>
      <w:marLeft w:val="0"/>
      <w:marRight w:val="0"/>
      <w:marTop w:val="0"/>
      <w:marBottom w:val="0"/>
      <w:divBdr>
        <w:top w:val="none" w:sz="0" w:space="0" w:color="auto"/>
        <w:left w:val="none" w:sz="0" w:space="0" w:color="auto"/>
        <w:bottom w:val="none" w:sz="0" w:space="0" w:color="auto"/>
        <w:right w:val="none" w:sz="0" w:space="0" w:color="auto"/>
      </w:divBdr>
    </w:div>
    <w:div w:id="1775052804">
      <w:bodyDiv w:val="1"/>
      <w:marLeft w:val="0"/>
      <w:marRight w:val="0"/>
      <w:marTop w:val="0"/>
      <w:marBottom w:val="0"/>
      <w:divBdr>
        <w:top w:val="none" w:sz="0" w:space="0" w:color="auto"/>
        <w:left w:val="none" w:sz="0" w:space="0" w:color="auto"/>
        <w:bottom w:val="none" w:sz="0" w:space="0" w:color="auto"/>
        <w:right w:val="none" w:sz="0" w:space="0" w:color="auto"/>
      </w:divBdr>
    </w:div>
    <w:div w:id="1802503467">
      <w:bodyDiv w:val="1"/>
      <w:marLeft w:val="0"/>
      <w:marRight w:val="0"/>
      <w:marTop w:val="0"/>
      <w:marBottom w:val="0"/>
      <w:divBdr>
        <w:top w:val="none" w:sz="0" w:space="0" w:color="auto"/>
        <w:left w:val="none" w:sz="0" w:space="0" w:color="auto"/>
        <w:bottom w:val="none" w:sz="0" w:space="0" w:color="auto"/>
        <w:right w:val="none" w:sz="0" w:space="0" w:color="auto"/>
      </w:divBdr>
    </w:div>
    <w:div w:id="1810976570">
      <w:bodyDiv w:val="1"/>
      <w:marLeft w:val="0"/>
      <w:marRight w:val="0"/>
      <w:marTop w:val="0"/>
      <w:marBottom w:val="0"/>
      <w:divBdr>
        <w:top w:val="none" w:sz="0" w:space="0" w:color="auto"/>
        <w:left w:val="none" w:sz="0" w:space="0" w:color="auto"/>
        <w:bottom w:val="none" w:sz="0" w:space="0" w:color="auto"/>
        <w:right w:val="none" w:sz="0" w:space="0" w:color="auto"/>
      </w:divBdr>
    </w:div>
    <w:div w:id="1853908189">
      <w:bodyDiv w:val="1"/>
      <w:marLeft w:val="0"/>
      <w:marRight w:val="0"/>
      <w:marTop w:val="0"/>
      <w:marBottom w:val="0"/>
      <w:divBdr>
        <w:top w:val="none" w:sz="0" w:space="0" w:color="auto"/>
        <w:left w:val="none" w:sz="0" w:space="0" w:color="auto"/>
        <w:bottom w:val="none" w:sz="0" w:space="0" w:color="auto"/>
        <w:right w:val="none" w:sz="0" w:space="0" w:color="auto"/>
      </w:divBdr>
    </w:div>
    <w:div w:id="1862090302">
      <w:bodyDiv w:val="1"/>
      <w:marLeft w:val="0"/>
      <w:marRight w:val="0"/>
      <w:marTop w:val="0"/>
      <w:marBottom w:val="0"/>
      <w:divBdr>
        <w:top w:val="none" w:sz="0" w:space="0" w:color="auto"/>
        <w:left w:val="none" w:sz="0" w:space="0" w:color="auto"/>
        <w:bottom w:val="none" w:sz="0" w:space="0" w:color="auto"/>
        <w:right w:val="none" w:sz="0" w:space="0" w:color="auto"/>
      </w:divBdr>
      <w:divsChild>
        <w:div w:id="747845172">
          <w:marLeft w:val="0"/>
          <w:marRight w:val="0"/>
          <w:marTop w:val="0"/>
          <w:marBottom w:val="0"/>
          <w:divBdr>
            <w:top w:val="none" w:sz="0" w:space="0" w:color="auto"/>
            <w:left w:val="none" w:sz="0" w:space="0" w:color="auto"/>
            <w:bottom w:val="none" w:sz="0" w:space="0" w:color="auto"/>
            <w:right w:val="none" w:sz="0" w:space="0" w:color="auto"/>
          </w:divBdr>
          <w:divsChild>
            <w:div w:id="285358405">
              <w:marLeft w:val="0"/>
              <w:marRight w:val="0"/>
              <w:marTop w:val="0"/>
              <w:marBottom w:val="0"/>
              <w:divBdr>
                <w:top w:val="none" w:sz="0" w:space="0" w:color="auto"/>
                <w:left w:val="none" w:sz="0" w:space="0" w:color="auto"/>
                <w:bottom w:val="none" w:sz="0" w:space="0" w:color="auto"/>
                <w:right w:val="none" w:sz="0" w:space="0" w:color="auto"/>
              </w:divBdr>
              <w:divsChild>
                <w:div w:id="44377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6120290">
      <w:bodyDiv w:val="1"/>
      <w:marLeft w:val="0"/>
      <w:marRight w:val="0"/>
      <w:marTop w:val="0"/>
      <w:marBottom w:val="0"/>
      <w:divBdr>
        <w:top w:val="none" w:sz="0" w:space="0" w:color="auto"/>
        <w:left w:val="none" w:sz="0" w:space="0" w:color="auto"/>
        <w:bottom w:val="none" w:sz="0" w:space="0" w:color="auto"/>
        <w:right w:val="none" w:sz="0" w:space="0" w:color="auto"/>
      </w:divBdr>
    </w:div>
    <w:div w:id="1895922690">
      <w:bodyDiv w:val="1"/>
      <w:marLeft w:val="0"/>
      <w:marRight w:val="0"/>
      <w:marTop w:val="0"/>
      <w:marBottom w:val="0"/>
      <w:divBdr>
        <w:top w:val="none" w:sz="0" w:space="0" w:color="auto"/>
        <w:left w:val="none" w:sz="0" w:space="0" w:color="auto"/>
        <w:bottom w:val="none" w:sz="0" w:space="0" w:color="auto"/>
        <w:right w:val="none" w:sz="0" w:space="0" w:color="auto"/>
      </w:divBdr>
    </w:div>
    <w:div w:id="1897202830">
      <w:bodyDiv w:val="1"/>
      <w:marLeft w:val="0"/>
      <w:marRight w:val="0"/>
      <w:marTop w:val="0"/>
      <w:marBottom w:val="0"/>
      <w:divBdr>
        <w:top w:val="none" w:sz="0" w:space="0" w:color="auto"/>
        <w:left w:val="none" w:sz="0" w:space="0" w:color="auto"/>
        <w:bottom w:val="none" w:sz="0" w:space="0" w:color="auto"/>
        <w:right w:val="none" w:sz="0" w:space="0" w:color="auto"/>
      </w:divBdr>
    </w:div>
    <w:div w:id="1912155129">
      <w:bodyDiv w:val="1"/>
      <w:marLeft w:val="0"/>
      <w:marRight w:val="0"/>
      <w:marTop w:val="0"/>
      <w:marBottom w:val="0"/>
      <w:divBdr>
        <w:top w:val="none" w:sz="0" w:space="0" w:color="auto"/>
        <w:left w:val="none" w:sz="0" w:space="0" w:color="auto"/>
        <w:bottom w:val="none" w:sz="0" w:space="0" w:color="auto"/>
        <w:right w:val="none" w:sz="0" w:space="0" w:color="auto"/>
      </w:divBdr>
    </w:div>
    <w:div w:id="1918976896">
      <w:bodyDiv w:val="1"/>
      <w:marLeft w:val="0"/>
      <w:marRight w:val="0"/>
      <w:marTop w:val="0"/>
      <w:marBottom w:val="0"/>
      <w:divBdr>
        <w:top w:val="none" w:sz="0" w:space="0" w:color="auto"/>
        <w:left w:val="none" w:sz="0" w:space="0" w:color="auto"/>
        <w:bottom w:val="none" w:sz="0" w:space="0" w:color="auto"/>
        <w:right w:val="none" w:sz="0" w:space="0" w:color="auto"/>
      </w:divBdr>
    </w:div>
    <w:div w:id="1934435242">
      <w:bodyDiv w:val="1"/>
      <w:marLeft w:val="0"/>
      <w:marRight w:val="0"/>
      <w:marTop w:val="0"/>
      <w:marBottom w:val="0"/>
      <w:divBdr>
        <w:top w:val="none" w:sz="0" w:space="0" w:color="auto"/>
        <w:left w:val="none" w:sz="0" w:space="0" w:color="auto"/>
        <w:bottom w:val="none" w:sz="0" w:space="0" w:color="auto"/>
        <w:right w:val="none" w:sz="0" w:space="0" w:color="auto"/>
      </w:divBdr>
    </w:div>
    <w:div w:id="2036542835">
      <w:bodyDiv w:val="1"/>
      <w:marLeft w:val="0"/>
      <w:marRight w:val="0"/>
      <w:marTop w:val="0"/>
      <w:marBottom w:val="0"/>
      <w:divBdr>
        <w:top w:val="none" w:sz="0" w:space="0" w:color="auto"/>
        <w:left w:val="none" w:sz="0" w:space="0" w:color="auto"/>
        <w:bottom w:val="none" w:sz="0" w:space="0" w:color="auto"/>
        <w:right w:val="none" w:sz="0" w:space="0" w:color="auto"/>
      </w:divBdr>
    </w:div>
    <w:div w:id="2045398350">
      <w:bodyDiv w:val="1"/>
      <w:marLeft w:val="0"/>
      <w:marRight w:val="0"/>
      <w:marTop w:val="0"/>
      <w:marBottom w:val="0"/>
      <w:divBdr>
        <w:top w:val="none" w:sz="0" w:space="0" w:color="auto"/>
        <w:left w:val="none" w:sz="0" w:space="0" w:color="auto"/>
        <w:bottom w:val="none" w:sz="0" w:space="0" w:color="auto"/>
        <w:right w:val="none" w:sz="0" w:space="0" w:color="auto"/>
      </w:divBdr>
    </w:div>
    <w:div w:id="2051225776">
      <w:bodyDiv w:val="1"/>
      <w:marLeft w:val="0"/>
      <w:marRight w:val="0"/>
      <w:marTop w:val="0"/>
      <w:marBottom w:val="0"/>
      <w:divBdr>
        <w:top w:val="none" w:sz="0" w:space="0" w:color="auto"/>
        <w:left w:val="none" w:sz="0" w:space="0" w:color="auto"/>
        <w:bottom w:val="none" w:sz="0" w:space="0" w:color="auto"/>
        <w:right w:val="none" w:sz="0" w:space="0" w:color="auto"/>
      </w:divBdr>
    </w:div>
    <w:div w:id="2099403938">
      <w:bodyDiv w:val="1"/>
      <w:marLeft w:val="0"/>
      <w:marRight w:val="0"/>
      <w:marTop w:val="0"/>
      <w:marBottom w:val="0"/>
      <w:divBdr>
        <w:top w:val="none" w:sz="0" w:space="0" w:color="auto"/>
        <w:left w:val="none" w:sz="0" w:space="0" w:color="auto"/>
        <w:bottom w:val="none" w:sz="0" w:space="0" w:color="auto"/>
        <w:right w:val="none" w:sz="0" w:space="0" w:color="auto"/>
      </w:divBdr>
    </w:div>
    <w:div w:id="2122455870">
      <w:bodyDiv w:val="1"/>
      <w:marLeft w:val="0"/>
      <w:marRight w:val="0"/>
      <w:marTop w:val="0"/>
      <w:marBottom w:val="0"/>
      <w:divBdr>
        <w:top w:val="none" w:sz="0" w:space="0" w:color="auto"/>
        <w:left w:val="none" w:sz="0" w:space="0" w:color="auto"/>
        <w:bottom w:val="none" w:sz="0" w:space="0" w:color="auto"/>
        <w:right w:val="none" w:sz="0" w:space="0" w:color="auto"/>
      </w:divBdr>
    </w:div>
    <w:div w:id="2136562175">
      <w:bodyDiv w:val="1"/>
      <w:marLeft w:val="0"/>
      <w:marRight w:val="0"/>
      <w:marTop w:val="0"/>
      <w:marBottom w:val="0"/>
      <w:divBdr>
        <w:top w:val="none" w:sz="0" w:space="0" w:color="auto"/>
        <w:left w:val="none" w:sz="0" w:space="0" w:color="auto"/>
        <w:bottom w:val="none" w:sz="0" w:space="0" w:color="auto"/>
        <w:right w:val="none" w:sz="0" w:space="0" w:color="auto"/>
      </w:divBdr>
      <w:divsChild>
        <w:div w:id="178012938">
          <w:marLeft w:val="0"/>
          <w:marRight w:val="0"/>
          <w:marTop w:val="0"/>
          <w:marBottom w:val="0"/>
          <w:divBdr>
            <w:top w:val="none" w:sz="0" w:space="0" w:color="auto"/>
            <w:left w:val="none" w:sz="0" w:space="0" w:color="auto"/>
            <w:bottom w:val="none" w:sz="0" w:space="0" w:color="auto"/>
            <w:right w:val="none" w:sz="0" w:space="0" w:color="auto"/>
          </w:divBdr>
          <w:divsChild>
            <w:div w:id="384064402">
              <w:marLeft w:val="0"/>
              <w:marRight w:val="0"/>
              <w:marTop w:val="0"/>
              <w:marBottom w:val="0"/>
              <w:divBdr>
                <w:top w:val="none" w:sz="0" w:space="0" w:color="auto"/>
                <w:left w:val="none" w:sz="0" w:space="0" w:color="auto"/>
                <w:bottom w:val="none" w:sz="0" w:space="0" w:color="auto"/>
                <w:right w:val="none" w:sz="0" w:space="0" w:color="auto"/>
              </w:divBdr>
              <w:divsChild>
                <w:div w:id="950357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9105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jp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3.jpg"/><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jpg"/></Relationships>
</file>

<file path=word/_rels/footnotes.xml.rels><?xml version="1.0" encoding="UTF-8" standalone="yes"?>
<Relationships xmlns="http://schemas.openxmlformats.org/package/2006/relationships"><Relationship Id="rId3" Type="http://schemas.openxmlformats.org/officeDocument/2006/relationships/hyperlink" Target="https://www.nytimes.com/2017/04/16/technology/inside-the-hotel-industrys-plan-to-combat-airbnb.html" TargetMode="External"/><Relationship Id="rId2" Type="http://schemas.openxmlformats.org/officeDocument/2006/relationships/hyperlink" Target="https://www.nytimes.com/2016/10/22/technology/new-york-passes-law-airbnb.html" TargetMode="External"/><Relationship Id="rId1" Type="http://schemas.openxmlformats.org/officeDocument/2006/relationships/hyperlink" Target="https://www.portland.gov/sites/default/files/code/207-accessory-short-term-rentals_0.pdf" TargetMode="External"/><Relationship Id="rId6" Type="http://schemas.openxmlformats.org/officeDocument/2006/relationships/hyperlink" Target="https://www.latimes.com/business/story/2019-09-17/airbnb-pledges-25-million-to-support-affordable-housing-and-small-business" TargetMode="External"/><Relationship Id="rId5" Type="http://schemas.openxmlformats.org/officeDocument/2006/relationships/hyperlink" Target="https://www.cnbc.com/2018/05/03/airbnb-raises-nyc-rents-comptroller.html" TargetMode="External"/><Relationship Id="rId4" Type="http://schemas.openxmlformats.org/officeDocument/2006/relationships/hyperlink" Target="https://www.forbes.com/sites/garybarker/2020/02/21/the-airbnb-effect-on-housing-and-ren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70D990DA88274847AA9B322BDE523A33" ma:contentTypeVersion="10" ma:contentTypeDescription="Crear nuevo documento." ma:contentTypeScope="" ma:versionID="b11f71a6ded2dda52e2cce7ffd6c49a9">
  <xsd:schema xmlns:xsd="http://www.w3.org/2001/XMLSchema" xmlns:xs="http://www.w3.org/2001/XMLSchema" xmlns:p="http://schemas.microsoft.com/office/2006/metadata/properties" xmlns:ns3="6a8c3d79-b429-44e5-9bbf-6084c5f0383f" targetNamespace="http://schemas.microsoft.com/office/2006/metadata/properties" ma:root="true" ma:fieldsID="5e4d2c70bb0c1ae7faf33a1e53f6a179" ns3:_="">
    <xsd:import namespace="6a8c3d79-b429-44e5-9bbf-6084c5f0383f"/>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a8c3d79-b429-44e5-9bbf-6084c5f0383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B4DAE6B-1A04-46AF-A52F-3DD85E1E3BFB}">
  <ds:schemaRefs>
    <ds:schemaRef ds:uri="http://schemas.microsoft.com/sharepoint/v3/contenttype/forms"/>
  </ds:schemaRefs>
</ds:datastoreItem>
</file>

<file path=customXml/itemProps2.xml><?xml version="1.0" encoding="utf-8"?>
<ds:datastoreItem xmlns:ds="http://schemas.openxmlformats.org/officeDocument/2006/customXml" ds:itemID="{CFAFAD61-802B-4134-8ACE-24BF14DED5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a8c3d79-b429-44e5-9bbf-6084c5f0383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8BCF2C0-4CC3-7448-8E5D-A6EDDC9BBC15}">
  <ds:schemaRefs>
    <ds:schemaRef ds:uri="http://schemas.openxmlformats.org/officeDocument/2006/bibliography"/>
  </ds:schemaRefs>
</ds:datastoreItem>
</file>

<file path=customXml/itemProps4.xml><?xml version="1.0" encoding="utf-8"?>
<ds:datastoreItem xmlns:ds="http://schemas.openxmlformats.org/officeDocument/2006/customXml" ds:itemID="{6DB5A9D4-E1D6-4C5C-B0DD-80BDE670F284}">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46</Pages>
  <Words>67849</Words>
  <Characters>386744</Characters>
  <Application>Microsoft Office Word</Application>
  <DocSecurity>0</DocSecurity>
  <Lines>3222</Lines>
  <Paragraphs>907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453686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cp:lastPrinted>2023-04-26T14:28:00Z</cp:lastPrinted>
  <dcterms:created xsi:type="dcterms:W3CDTF">2024-01-18T18:30:00Z</dcterms:created>
  <dcterms:modified xsi:type="dcterms:W3CDTF">2024-01-23T18:52:00Z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http://www.zotero.org/styles/academy-of-management-journal</vt:lpwstr>
  </property>
  <property fmtid="{D5CDD505-2E9C-101B-9397-08002B2CF9AE}" pid="3" name="Mendeley Recent Style Name 0_1">
    <vt:lpwstr>Academy of Management Journal</vt:lpwstr>
  </property>
  <property fmtid="{D5CDD505-2E9C-101B-9397-08002B2CF9AE}" pid="4" name="Mendeley Recent Style Id 1_1">
    <vt:lpwstr>http://www.zotero.org/styles/american-medical-association</vt:lpwstr>
  </property>
  <property fmtid="{D5CDD505-2E9C-101B-9397-08002B2CF9AE}" pid="5" name="Mendeley Recent Style Name 1_1">
    <vt:lpwstr>American Medical Association</vt:lpwstr>
  </property>
  <property fmtid="{D5CDD505-2E9C-101B-9397-08002B2CF9AE}" pid="6" name="Mendeley Recent Style Id 2_1">
    <vt:lpwstr>http://www.zotero.org/styles/american-political-science-association</vt:lpwstr>
  </property>
  <property fmtid="{D5CDD505-2E9C-101B-9397-08002B2CF9AE}" pid="7" name="Mendeley Recent Style Name 2_1">
    <vt:lpwstr>American Political Science Association</vt:lpwstr>
  </property>
  <property fmtid="{D5CDD505-2E9C-101B-9397-08002B2CF9AE}" pid="8" name="Mendeley Recent Style Id 3_1">
    <vt:lpwstr>http://www.zotero.org/styles/apa</vt:lpwstr>
  </property>
  <property fmtid="{D5CDD505-2E9C-101B-9397-08002B2CF9AE}" pid="9" name="Mendeley Recent Style Name 3_1">
    <vt:lpwstr>American Psychological Association 6th edition</vt:lpwstr>
  </property>
  <property fmtid="{D5CDD505-2E9C-101B-9397-08002B2CF9AE}" pid="10" name="Mendeley Recent Style Id 4_1">
    <vt:lpwstr>http://www.zotero.org/styles/american-sociological-association</vt:lpwstr>
  </property>
  <property fmtid="{D5CDD505-2E9C-101B-9397-08002B2CF9AE}" pid="11" name="Mendeley Recent Style Name 4_1">
    <vt:lpwstr>American Sociological Association</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http://www.zotero.org/styles/management-science</vt:lpwstr>
  </property>
  <property fmtid="{D5CDD505-2E9C-101B-9397-08002B2CF9AE}" pid="17" name="Mendeley Recent Style Name 7_1">
    <vt:lpwstr>Management Science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http://www.zotero.org/styles/organization-science</vt:lpwstr>
  </property>
  <property fmtid="{D5CDD505-2E9C-101B-9397-08002B2CF9AE}" pid="21" name="Mendeley Recent Style Name 9_1">
    <vt:lpwstr>Organization Science</vt:lpwstr>
  </property>
  <property fmtid="{D5CDD505-2E9C-101B-9397-08002B2CF9AE}" pid="22" name="Mendeley Document_1">
    <vt:lpwstr>True</vt:lpwstr>
  </property>
  <property fmtid="{D5CDD505-2E9C-101B-9397-08002B2CF9AE}" pid="23" name="Mendeley Unique User Id_1">
    <vt:lpwstr>5b7e67d9-9731-3aed-b718-ec4153f00f08</vt:lpwstr>
  </property>
  <property fmtid="{D5CDD505-2E9C-101B-9397-08002B2CF9AE}" pid="24" name="Mendeley Citation Style_1">
    <vt:lpwstr>http://www.zotero.org/styles/academy-of-management-journal</vt:lpwstr>
  </property>
  <property fmtid="{D5CDD505-2E9C-101B-9397-08002B2CF9AE}" pid="25" name="ContentTypeId">
    <vt:lpwstr>0x01010070D990DA88274847AA9B322BDE523A33</vt:lpwstr>
  </property>
  <property fmtid="{D5CDD505-2E9C-101B-9397-08002B2CF9AE}" pid="26" name="MSIP_Label_a73fd474-4f3c-44ed-88fb-5cc4bd2471bf_Enabled">
    <vt:lpwstr>true</vt:lpwstr>
  </property>
  <property fmtid="{D5CDD505-2E9C-101B-9397-08002B2CF9AE}" pid="27" name="MSIP_Label_a73fd474-4f3c-44ed-88fb-5cc4bd2471bf_SetDate">
    <vt:lpwstr>2023-09-27T16:43:19Z</vt:lpwstr>
  </property>
  <property fmtid="{D5CDD505-2E9C-101B-9397-08002B2CF9AE}" pid="28" name="MSIP_Label_a73fd474-4f3c-44ed-88fb-5cc4bd2471bf_Method">
    <vt:lpwstr>Standard</vt:lpwstr>
  </property>
  <property fmtid="{D5CDD505-2E9C-101B-9397-08002B2CF9AE}" pid="29" name="MSIP_Label_a73fd474-4f3c-44ed-88fb-5cc4bd2471bf_Name">
    <vt:lpwstr>defa4170-0d19-0005-0004-bc88714345d2</vt:lpwstr>
  </property>
  <property fmtid="{D5CDD505-2E9C-101B-9397-08002B2CF9AE}" pid="30" name="MSIP_Label_a73fd474-4f3c-44ed-88fb-5cc4bd2471bf_SiteId">
    <vt:lpwstr>8d1a69ec-03b5-4345-ae21-dad112f5fb4f</vt:lpwstr>
  </property>
  <property fmtid="{D5CDD505-2E9C-101B-9397-08002B2CF9AE}" pid="31" name="MSIP_Label_a73fd474-4f3c-44ed-88fb-5cc4bd2471bf_ActionId">
    <vt:lpwstr>856c3a58-c5c9-4b37-a0d2-13de8066cd38</vt:lpwstr>
  </property>
  <property fmtid="{D5CDD505-2E9C-101B-9397-08002B2CF9AE}" pid="32" name="MSIP_Label_a73fd474-4f3c-44ed-88fb-5cc4bd2471bf_ContentBits">
    <vt:lpwstr>0</vt:lpwstr>
  </property>
</Properties>
</file>